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606246" w14:textId="4EC1BD2F" w:rsidR="00CF31E9" w:rsidRDefault="00CF31E9" w:rsidP="00CF31E9">
      <w:pPr>
        <w:pStyle w:val="Title"/>
      </w:pPr>
      <w:r>
        <w:t>Annotated Bibliography</w:t>
      </w:r>
    </w:p>
    <w:p w14:paraId="45E72155" w14:textId="6E006645" w:rsidR="003B137C" w:rsidRDefault="003B137C">
      <w:pPr>
        <w:rPr>
          <w:b/>
          <w:bCs/>
          <w:sz w:val="20"/>
          <w:szCs w:val="20"/>
        </w:rPr>
      </w:pPr>
      <w:r w:rsidRPr="003B137C">
        <w:rPr>
          <w:b/>
          <w:bCs/>
          <w:sz w:val="20"/>
          <w:szCs w:val="20"/>
        </w:rPr>
        <w:t xml:space="preserve">Fox, J. (2014). Poppy Politics: Remembrance of Things Present. In </w:t>
      </w:r>
      <w:proofErr w:type="spellStart"/>
      <w:r w:rsidRPr="003B137C">
        <w:rPr>
          <w:b/>
          <w:bCs/>
          <w:sz w:val="20"/>
          <w:szCs w:val="20"/>
        </w:rPr>
        <w:t>Sandis</w:t>
      </w:r>
      <w:proofErr w:type="spellEnd"/>
      <w:r w:rsidRPr="003B137C">
        <w:rPr>
          <w:b/>
          <w:bCs/>
          <w:sz w:val="20"/>
          <w:szCs w:val="20"/>
        </w:rPr>
        <w:t xml:space="preserve"> C. (Ed.), Cultural Heritage Ethics: Between Theory and Practice (pp. 21-30). Cambridge, UK: Open Book. Retrieved from </w:t>
      </w:r>
      <w:hyperlink r:id="rId8" w:history="1">
        <w:r w:rsidRPr="008327E9">
          <w:rPr>
            <w:rStyle w:val="Hyperlink"/>
            <w:b/>
            <w:bCs/>
            <w:sz w:val="20"/>
            <w:szCs w:val="20"/>
          </w:rPr>
          <w:t>http://www.jstor.org.ezproxy.uwtsd.ac.uk/stable/j.ctt1287k16.8</w:t>
        </w:r>
      </w:hyperlink>
    </w:p>
    <w:p w14:paraId="6BAE4519" w14:textId="1F3D68C8" w:rsidR="003B137C" w:rsidRDefault="006A34E0">
      <w:pPr>
        <w:rPr>
          <w:sz w:val="20"/>
          <w:szCs w:val="20"/>
        </w:rPr>
      </w:pPr>
      <w:r>
        <w:rPr>
          <w:sz w:val="20"/>
          <w:szCs w:val="20"/>
        </w:rPr>
        <w:t>This work looks into the remembrance poppy, analysing its origins</w:t>
      </w:r>
      <w:r w:rsidR="00883929">
        <w:rPr>
          <w:sz w:val="20"/>
          <w:szCs w:val="20"/>
        </w:rPr>
        <w:t xml:space="preserve"> and discussing what it means to us now. Fox talks about how the symbolism of the poppy wasn’t originally a peaceful one but instead was McCrae’s way of calling out for more bloodshed, and for that reason became a great tool of propaganda in the first world war. After the war it took on a more memorial role, with its growing popularity demonstrated by Fox showing the figures of The Poppy Appeal organised by the Royal British Legions. Though he also mentions its </w:t>
      </w:r>
      <w:r w:rsidR="00663F44">
        <w:rPr>
          <w:sz w:val="20"/>
          <w:szCs w:val="20"/>
        </w:rPr>
        <w:t xml:space="preserve">criticisms, with immigrant groups rejecting it as a sign of ‘western imperialism’ and </w:t>
      </w:r>
      <w:r w:rsidR="00602184">
        <w:rPr>
          <w:sz w:val="20"/>
          <w:szCs w:val="20"/>
        </w:rPr>
        <w:t>veterans of Afghanistan and other more recent conflicts saying it glorifies battle and instead introducing the white poppy for peace</w:t>
      </w:r>
      <w:r w:rsidR="00270DC9">
        <w:rPr>
          <w:sz w:val="20"/>
          <w:szCs w:val="20"/>
        </w:rPr>
        <w:t>, not to mention the controversy in Ireland</w:t>
      </w:r>
      <w:r w:rsidR="002401B5">
        <w:rPr>
          <w:sz w:val="20"/>
          <w:szCs w:val="20"/>
        </w:rPr>
        <w:t xml:space="preserve">. Fox concludes that the remembrance poppy has become less about remembrance and more about political correctness. </w:t>
      </w:r>
      <w:r w:rsidR="0026547C">
        <w:rPr>
          <w:sz w:val="20"/>
          <w:szCs w:val="20"/>
        </w:rPr>
        <w:t xml:space="preserve"> </w:t>
      </w:r>
      <w:r w:rsidR="00883929">
        <w:rPr>
          <w:sz w:val="20"/>
          <w:szCs w:val="20"/>
        </w:rPr>
        <w:t xml:space="preserve">  </w:t>
      </w:r>
    </w:p>
    <w:p w14:paraId="11E9819F" w14:textId="217F0B4B" w:rsidR="0026547C" w:rsidRDefault="0026547C">
      <w:pPr>
        <w:rPr>
          <w:sz w:val="20"/>
          <w:szCs w:val="20"/>
        </w:rPr>
      </w:pPr>
      <w:r>
        <w:rPr>
          <w:sz w:val="20"/>
          <w:szCs w:val="20"/>
        </w:rPr>
        <w:t xml:space="preserve">Personally I found this work incredibly useful. The language used by Fox is simple and therefore easy to understand. The subject matter is highly relevant to </w:t>
      </w:r>
      <w:r w:rsidR="00A82397">
        <w:rPr>
          <w:sz w:val="20"/>
          <w:szCs w:val="20"/>
        </w:rPr>
        <w:t>today’s</w:t>
      </w:r>
      <w:r>
        <w:rPr>
          <w:sz w:val="20"/>
          <w:szCs w:val="20"/>
        </w:rPr>
        <w:t xml:space="preserve"> social climate and the perceptions of war in the 21</w:t>
      </w:r>
      <w:r w:rsidRPr="0026547C">
        <w:rPr>
          <w:sz w:val="20"/>
          <w:szCs w:val="20"/>
          <w:vertAlign w:val="superscript"/>
        </w:rPr>
        <w:t>st</w:t>
      </w:r>
      <w:r>
        <w:rPr>
          <w:sz w:val="20"/>
          <w:szCs w:val="20"/>
        </w:rPr>
        <w:t xml:space="preserve"> century. </w:t>
      </w:r>
      <w:r w:rsidR="00A82397">
        <w:rPr>
          <w:sz w:val="20"/>
          <w:szCs w:val="20"/>
        </w:rPr>
        <w:t xml:space="preserve">He uses a FIFA analogy a lot, talking about peoples anger towards those who do not wear a poppy and commemorate the day and while this is seen a lot in the media (both mainstream and social) </w:t>
      </w:r>
      <w:r w:rsidR="00E71242">
        <w:rPr>
          <w:sz w:val="20"/>
          <w:szCs w:val="20"/>
        </w:rPr>
        <w:t xml:space="preserve">I wonder how applicable this is to everyday lives? Personally I witnessed the remembrance service by the war memorial in Lampeter and the cars that drove past and people who walked by </w:t>
      </w:r>
      <w:r w:rsidR="002555D0">
        <w:rPr>
          <w:sz w:val="20"/>
          <w:szCs w:val="20"/>
        </w:rPr>
        <w:t xml:space="preserve">without stopping to pay respects weren’t treated with distain. Maybe Fox should have acknowledged that this is not the case everywhere and that although I’m not arguing that it isn’t a highly political symbol, it means different things to different people and that should be respected too.  </w:t>
      </w:r>
    </w:p>
    <w:p w14:paraId="21E0FFD6" w14:textId="4FC37076" w:rsidR="002555D0" w:rsidRDefault="002555D0">
      <w:pPr>
        <w:rPr>
          <w:sz w:val="20"/>
          <w:szCs w:val="20"/>
        </w:rPr>
      </w:pPr>
    </w:p>
    <w:p w14:paraId="17BE2FCB" w14:textId="0DF834DD" w:rsidR="002555D0" w:rsidRDefault="002555D0">
      <w:pPr>
        <w:rPr>
          <w:b/>
          <w:bCs/>
          <w:sz w:val="20"/>
          <w:szCs w:val="20"/>
        </w:rPr>
      </w:pPr>
      <w:r w:rsidRPr="002555D0">
        <w:rPr>
          <w:b/>
          <w:bCs/>
          <w:sz w:val="20"/>
          <w:szCs w:val="20"/>
        </w:rPr>
        <w:t>Greenberg, A. (1989). Lutyens's Cenotaph. Journal of the Society of Architectural Historians, 48(1), 5-23. doi:10.2307/990403</w:t>
      </w:r>
    </w:p>
    <w:p w14:paraId="0610A7E7" w14:textId="36C368F3" w:rsidR="002555D0" w:rsidRDefault="002555D0">
      <w:pPr>
        <w:rPr>
          <w:sz w:val="20"/>
          <w:szCs w:val="20"/>
        </w:rPr>
      </w:pPr>
      <w:r>
        <w:rPr>
          <w:sz w:val="20"/>
          <w:szCs w:val="20"/>
        </w:rPr>
        <w:t xml:space="preserve">In this article, Greenberg discusses the Cenotaph at Whitehall, Its original design and creation and the move to make it permanent. He states straight away that the main purpose of the victory parade in </w:t>
      </w:r>
      <w:r w:rsidR="00D75A7C">
        <w:rPr>
          <w:sz w:val="20"/>
          <w:szCs w:val="20"/>
        </w:rPr>
        <w:t>which</w:t>
      </w:r>
      <w:r>
        <w:rPr>
          <w:sz w:val="20"/>
          <w:szCs w:val="20"/>
        </w:rPr>
        <w:t xml:space="preserve"> it was designed for was to settle the people </w:t>
      </w:r>
      <w:r w:rsidR="00D75A7C">
        <w:rPr>
          <w:sz w:val="20"/>
          <w:szCs w:val="20"/>
        </w:rPr>
        <w:t xml:space="preserve">feeling discontented after the war, but they had no idea that it would work so well. </w:t>
      </w:r>
      <w:r w:rsidR="00F84868">
        <w:rPr>
          <w:sz w:val="20"/>
          <w:szCs w:val="20"/>
        </w:rPr>
        <w:t xml:space="preserve">The Peace Day celebrations were discussed as a joint effort between Britain and France, so when France stated that they would be passing and saluting a catafalque, Lloyd George suggested a need for something similar in Briton. It was </w:t>
      </w:r>
      <w:proofErr w:type="spellStart"/>
      <w:r w:rsidR="00F84868">
        <w:rPr>
          <w:sz w:val="20"/>
          <w:szCs w:val="20"/>
        </w:rPr>
        <w:t>Lutyen’s</w:t>
      </w:r>
      <w:proofErr w:type="spellEnd"/>
      <w:r w:rsidR="00F84868">
        <w:rPr>
          <w:sz w:val="20"/>
          <w:szCs w:val="20"/>
        </w:rPr>
        <w:t xml:space="preserve"> idea to install a cenotaph instead of something more religious like a catafalque or a giant cross and was actually only a small part of the Peace Day preparations, so insignificant that it isn’t even mentioned in the minutes of the committee.  When it received a huge public response, many argued for the moving of the official site yet </w:t>
      </w:r>
      <w:r w:rsidR="00763E1C">
        <w:rPr>
          <w:sz w:val="20"/>
          <w:szCs w:val="20"/>
        </w:rPr>
        <w:t>Lutyens</w:t>
      </w:r>
      <w:r w:rsidR="00F84868">
        <w:rPr>
          <w:sz w:val="20"/>
          <w:szCs w:val="20"/>
        </w:rPr>
        <w:t xml:space="preserve"> argued for its remainder at Whitehall due to the salutes it has received there</w:t>
      </w:r>
      <w:r w:rsidR="00763E1C">
        <w:rPr>
          <w:sz w:val="20"/>
          <w:szCs w:val="20"/>
        </w:rPr>
        <w:t xml:space="preserve">. Greenberg discusses the changes made to the design such as the writing and position of the flags and possible inspirations for the final design but ultimately concludes that the cenotaph is a symbol for the reality of death in an unstable world. </w:t>
      </w:r>
    </w:p>
    <w:p w14:paraId="019DF0EC" w14:textId="02D4E57E" w:rsidR="00763E1C" w:rsidRDefault="003F07A4">
      <w:pPr>
        <w:rPr>
          <w:sz w:val="20"/>
          <w:szCs w:val="20"/>
        </w:rPr>
      </w:pPr>
      <w:r>
        <w:rPr>
          <w:sz w:val="20"/>
          <w:szCs w:val="20"/>
        </w:rPr>
        <w:t xml:space="preserve">I personally didn’t find this article as useful as I hoped. Due to its nature as an entry in a book of architectural history I would expect more of a blend of topics, however the bulk ended up being facts about its physical appearance but only very little of it contributed to the historical significance of this monument. I did appreciate the range of </w:t>
      </w:r>
      <w:r w:rsidR="00C64C20">
        <w:rPr>
          <w:sz w:val="20"/>
          <w:szCs w:val="20"/>
        </w:rPr>
        <w:t xml:space="preserve">images, Greenberg included both original sketches along with photographs of the original </w:t>
      </w:r>
      <w:r w:rsidR="00775080">
        <w:rPr>
          <w:sz w:val="20"/>
          <w:szCs w:val="20"/>
        </w:rPr>
        <w:t>temporary</w:t>
      </w:r>
      <w:r w:rsidR="00C64C20">
        <w:rPr>
          <w:sz w:val="20"/>
          <w:szCs w:val="20"/>
        </w:rPr>
        <w:t xml:space="preserve"> structure and the permanent one through</w:t>
      </w:r>
      <w:r w:rsidR="00211F7E">
        <w:rPr>
          <w:sz w:val="20"/>
          <w:szCs w:val="20"/>
        </w:rPr>
        <w:t>ou</w:t>
      </w:r>
      <w:r w:rsidR="00C64C20">
        <w:rPr>
          <w:sz w:val="20"/>
          <w:szCs w:val="20"/>
        </w:rPr>
        <w:t xml:space="preserve">t the years. These visual aids helped to break up the text and was a welcome relief especially when the text got figure heavy.  </w:t>
      </w:r>
      <w:r w:rsidR="00211F7E">
        <w:rPr>
          <w:sz w:val="20"/>
          <w:szCs w:val="20"/>
        </w:rPr>
        <w:t xml:space="preserve">Nevertheless it is a very well researched article, I personally would have appreciated more information on its cultural significance. </w:t>
      </w:r>
    </w:p>
    <w:p w14:paraId="153982AE" w14:textId="77777777" w:rsidR="008D6A06" w:rsidRDefault="008D6A06">
      <w:pPr>
        <w:rPr>
          <w:b/>
          <w:bCs/>
          <w:sz w:val="20"/>
          <w:szCs w:val="20"/>
        </w:rPr>
      </w:pPr>
    </w:p>
    <w:p w14:paraId="597CB22F" w14:textId="77777777" w:rsidR="008D6A06" w:rsidRDefault="008D6A06">
      <w:pPr>
        <w:rPr>
          <w:b/>
          <w:bCs/>
          <w:sz w:val="20"/>
          <w:szCs w:val="20"/>
        </w:rPr>
      </w:pPr>
    </w:p>
    <w:p w14:paraId="04E9E050" w14:textId="77777777" w:rsidR="008D6A06" w:rsidRDefault="008D6A06">
      <w:pPr>
        <w:rPr>
          <w:b/>
          <w:bCs/>
          <w:sz w:val="20"/>
          <w:szCs w:val="20"/>
        </w:rPr>
      </w:pPr>
    </w:p>
    <w:p w14:paraId="58D25905" w14:textId="1FCC8A7F" w:rsidR="00775080" w:rsidRDefault="00775080">
      <w:pPr>
        <w:rPr>
          <w:b/>
          <w:bCs/>
          <w:sz w:val="20"/>
          <w:szCs w:val="20"/>
        </w:rPr>
      </w:pPr>
      <w:r w:rsidRPr="00775080">
        <w:rPr>
          <w:b/>
          <w:bCs/>
          <w:sz w:val="20"/>
          <w:szCs w:val="20"/>
        </w:rPr>
        <w:t xml:space="preserve">Goebel, S. (2004). Re-Membered and Re-Mobilized: The 'Sleeping Dead' in Interwar Germany and Britain. Journal of Contemporary History, 39(4), 487-501. Retrieved from </w:t>
      </w:r>
      <w:hyperlink r:id="rId9" w:history="1">
        <w:r w:rsidRPr="00EA135D">
          <w:rPr>
            <w:rStyle w:val="Hyperlink"/>
            <w:b/>
            <w:bCs/>
            <w:sz w:val="20"/>
            <w:szCs w:val="20"/>
          </w:rPr>
          <w:t>www.jstor.org/stable/4141407</w:t>
        </w:r>
      </w:hyperlink>
    </w:p>
    <w:p w14:paraId="2E4E4CEF" w14:textId="3BA6AB21" w:rsidR="00775080" w:rsidRDefault="00775080">
      <w:pPr>
        <w:rPr>
          <w:sz w:val="20"/>
          <w:szCs w:val="20"/>
        </w:rPr>
      </w:pPr>
      <w:r>
        <w:rPr>
          <w:sz w:val="20"/>
          <w:szCs w:val="20"/>
        </w:rPr>
        <w:t xml:space="preserve">In this article, Goebel </w:t>
      </w:r>
      <w:r w:rsidR="00CB3119">
        <w:rPr>
          <w:sz w:val="20"/>
          <w:szCs w:val="20"/>
        </w:rPr>
        <w:t xml:space="preserve">explores how the dead were presented in the interwar periods in both Germany and Britain. He starts by discussing war memorials as ‘graves’ for those who died overseas and weren’t brought home for burial (as British and German soldiers weren’t) arguing that </w:t>
      </w:r>
      <w:r w:rsidR="00931CC0">
        <w:rPr>
          <w:sz w:val="20"/>
          <w:szCs w:val="20"/>
        </w:rPr>
        <w:t>these were for personal bereavement, yes but also worked in tandem with the politics of the time</w:t>
      </w:r>
      <w:r w:rsidR="008D6A06">
        <w:rPr>
          <w:sz w:val="20"/>
          <w:szCs w:val="20"/>
        </w:rPr>
        <w:t xml:space="preserve"> to promote unity and political agendas through shared grief. The ‘Sleeping Dead’ Goebel argues was firstly a German move, associating fallen soldiers with fallen medieval knights, placing sculptures in crypts or chapels ‘like the relics of saints’ hoping for resurrection. While Germans emulated Sleeping Beauty or Barbarossa, British sculptures went down the same vein but idolising the times of King Arthur. </w:t>
      </w:r>
      <w:r w:rsidR="001720AF">
        <w:rPr>
          <w:sz w:val="20"/>
          <w:szCs w:val="20"/>
        </w:rPr>
        <w:t xml:space="preserve">The best representation of this is the Unknown Warrior being put to rest in Westminster Abbey, something inconceivable before then. Goebel concludes that this symbolism failed in its notion to make loss easier by comparing death to an enchanted sleep however it did stir up political unrest, especially in Germany.  </w:t>
      </w:r>
      <w:r w:rsidR="008D6A06">
        <w:rPr>
          <w:sz w:val="20"/>
          <w:szCs w:val="20"/>
        </w:rPr>
        <w:t xml:space="preserve">  </w:t>
      </w:r>
      <w:r w:rsidR="007E643F">
        <w:rPr>
          <w:sz w:val="20"/>
          <w:szCs w:val="20"/>
        </w:rPr>
        <w:t xml:space="preserve"> </w:t>
      </w:r>
    </w:p>
    <w:p w14:paraId="76061402" w14:textId="673D260A" w:rsidR="00A73AFC" w:rsidRDefault="001720AF">
      <w:pPr>
        <w:rPr>
          <w:sz w:val="20"/>
          <w:szCs w:val="20"/>
        </w:rPr>
      </w:pPr>
      <w:r>
        <w:rPr>
          <w:sz w:val="20"/>
          <w:szCs w:val="20"/>
        </w:rPr>
        <w:t xml:space="preserve">I found this article a truly interesting read. I haven’t read many that blatantly compares British and German tactics, especially in what is known as the inter-war period. The language used by Goebel is easy to understand and he uses some good images to emphasise his points, I would maybe add one or two more, perhaps of the sculpture that he discusses in the first few paragraphs? </w:t>
      </w:r>
      <w:r w:rsidR="00A73AFC">
        <w:rPr>
          <w:sz w:val="20"/>
          <w:szCs w:val="20"/>
        </w:rPr>
        <w:t xml:space="preserve">The theory that peoples attention was drawn away from the violence of war is a common one, the enchanted sleep theory he brings about is an interesting one, the immortality of those who die in battle is a common one seen in Viking myths of Valhalla as well as Greek and Roman mythologies as well- this could have been a nice parallel to make alongside the myths of the ‘once and future king’. </w:t>
      </w:r>
    </w:p>
    <w:p w14:paraId="2FE93E67" w14:textId="220BB70F" w:rsidR="00240E87" w:rsidRDefault="00240E87">
      <w:pPr>
        <w:rPr>
          <w:sz w:val="20"/>
          <w:szCs w:val="20"/>
        </w:rPr>
      </w:pPr>
    </w:p>
    <w:p w14:paraId="367A726C" w14:textId="12EB141A" w:rsidR="00240E87" w:rsidRDefault="00240E87">
      <w:pPr>
        <w:rPr>
          <w:b/>
          <w:bCs/>
          <w:sz w:val="20"/>
          <w:szCs w:val="20"/>
        </w:rPr>
      </w:pPr>
      <w:proofErr w:type="spellStart"/>
      <w:r w:rsidRPr="00240E87">
        <w:rPr>
          <w:b/>
          <w:bCs/>
          <w:sz w:val="20"/>
          <w:szCs w:val="20"/>
        </w:rPr>
        <w:t>Trumpener</w:t>
      </w:r>
      <w:proofErr w:type="spellEnd"/>
      <w:r w:rsidRPr="00240E87">
        <w:rPr>
          <w:b/>
          <w:bCs/>
          <w:sz w:val="20"/>
          <w:szCs w:val="20"/>
        </w:rPr>
        <w:t>, K. (2000). Memories Carved in Granite: Great War Memorials and Everyday Life. PMLA, 115(5), 1096-1103. doi:10.2307/463281</w:t>
      </w:r>
    </w:p>
    <w:p w14:paraId="5F6EDF64" w14:textId="39ECACCE" w:rsidR="00240E87" w:rsidRDefault="00240E87">
      <w:pPr>
        <w:rPr>
          <w:sz w:val="20"/>
          <w:szCs w:val="20"/>
        </w:rPr>
      </w:pPr>
      <w:r>
        <w:rPr>
          <w:sz w:val="20"/>
          <w:szCs w:val="20"/>
        </w:rPr>
        <w:t xml:space="preserve">In this article, Katie </w:t>
      </w:r>
      <w:proofErr w:type="spellStart"/>
      <w:r>
        <w:rPr>
          <w:sz w:val="20"/>
          <w:szCs w:val="20"/>
        </w:rPr>
        <w:t>Trumpner</w:t>
      </w:r>
      <w:proofErr w:type="spellEnd"/>
      <w:r>
        <w:rPr>
          <w:sz w:val="20"/>
          <w:szCs w:val="20"/>
        </w:rPr>
        <w:t xml:space="preserve"> discusses how people preserved memories of the war, and how that effects everyday life. She starts by discussing British Great Memorials and how they inspired more recent monuments such as the Vietnam memorial in Washington. Commenting on the irony of the British idealism not to leave a soldier without a name abroad, yet the main monuments locally are the cenotaph and unknown warrior, both of which are nameless. She then moves on to discuss </w:t>
      </w:r>
      <w:r w:rsidR="00731F5A">
        <w:rPr>
          <w:sz w:val="20"/>
          <w:szCs w:val="20"/>
        </w:rPr>
        <w:t xml:space="preserve">other authors ideas concerning memorials, paying special attention to female authors claiming that male modernists present a ‘false sense of closure’. </w:t>
      </w:r>
      <w:r w:rsidR="003205C4">
        <w:rPr>
          <w:sz w:val="20"/>
          <w:szCs w:val="20"/>
        </w:rPr>
        <w:t xml:space="preserve">Noting how easy it was to twist national commemoration to personal gain, </w:t>
      </w:r>
      <w:proofErr w:type="spellStart"/>
      <w:r w:rsidR="003205C4">
        <w:rPr>
          <w:sz w:val="20"/>
          <w:szCs w:val="20"/>
        </w:rPr>
        <w:t>Trumpener</w:t>
      </w:r>
      <w:proofErr w:type="spellEnd"/>
      <w:r w:rsidR="003205C4">
        <w:rPr>
          <w:sz w:val="20"/>
          <w:szCs w:val="20"/>
        </w:rPr>
        <w:t xml:space="preserve"> argues that most women had ambivalent thoughts on the war and this continued after 1918, the mixed feelings not helped by the public discontent and making them not so easily calmed by the remembrance campaigns. She concludes by stating that the relationship between private mourning and institutionalised memory is a tricky one to grasp, but is easily recognised in the gentleman that solutes the memorial out of habit, rather than heart. </w:t>
      </w:r>
    </w:p>
    <w:p w14:paraId="6F085E24" w14:textId="620DB225" w:rsidR="003205C4" w:rsidRDefault="003205C4">
      <w:pPr>
        <w:rPr>
          <w:sz w:val="20"/>
          <w:szCs w:val="20"/>
        </w:rPr>
      </w:pPr>
      <w:r>
        <w:rPr>
          <w:sz w:val="20"/>
          <w:szCs w:val="20"/>
        </w:rPr>
        <w:t xml:space="preserve">I found this article a little hard to follow at times, and found the title quite misleading. From an article entitled ‘memories carved in granite’ I would expect more on memorials themselves, rather than brief mentions of the cenotaph and the unknown </w:t>
      </w:r>
      <w:proofErr w:type="spellStart"/>
      <w:r>
        <w:rPr>
          <w:sz w:val="20"/>
          <w:szCs w:val="20"/>
        </w:rPr>
        <w:t>solider</w:t>
      </w:r>
      <w:proofErr w:type="spellEnd"/>
      <w:r>
        <w:rPr>
          <w:sz w:val="20"/>
          <w:szCs w:val="20"/>
        </w:rPr>
        <w:t>. She also seems to struggle to find her own words and spends most of the article repeating what others have said rather than critiquing it</w:t>
      </w:r>
      <w:r w:rsidR="00A25042">
        <w:rPr>
          <w:sz w:val="20"/>
          <w:szCs w:val="20"/>
        </w:rPr>
        <w:t xml:space="preserve">. The points she brings together are interesting ones to compare but her conclusion seems inconclusive and up in the air to me. </w:t>
      </w:r>
      <w:r w:rsidR="000727E5">
        <w:rPr>
          <w:sz w:val="20"/>
          <w:szCs w:val="20"/>
        </w:rPr>
        <w:t xml:space="preserve">  </w:t>
      </w:r>
    </w:p>
    <w:p w14:paraId="42781593" w14:textId="66C25CFB" w:rsidR="00ED748C" w:rsidRDefault="00ED748C">
      <w:pPr>
        <w:rPr>
          <w:sz w:val="20"/>
          <w:szCs w:val="20"/>
        </w:rPr>
      </w:pPr>
    </w:p>
    <w:p w14:paraId="4975FB73" w14:textId="4E3C44B1" w:rsidR="00FA3015" w:rsidRDefault="00FA3015">
      <w:pPr>
        <w:rPr>
          <w:sz w:val="20"/>
          <w:szCs w:val="20"/>
        </w:rPr>
      </w:pPr>
    </w:p>
    <w:p w14:paraId="792412F0" w14:textId="77F77CD1" w:rsidR="00FA3015" w:rsidRDefault="00FA3015">
      <w:pPr>
        <w:rPr>
          <w:sz w:val="20"/>
          <w:szCs w:val="20"/>
        </w:rPr>
      </w:pPr>
    </w:p>
    <w:p w14:paraId="6C7C5309" w14:textId="788A7CDF" w:rsidR="00FA3015" w:rsidRDefault="00FA3015">
      <w:pPr>
        <w:rPr>
          <w:sz w:val="20"/>
          <w:szCs w:val="20"/>
        </w:rPr>
      </w:pPr>
    </w:p>
    <w:p w14:paraId="73E579E9" w14:textId="77777777" w:rsidR="00FA3015" w:rsidRDefault="00FA3015">
      <w:pPr>
        <w:rPr>
          <w:sz w:val="20"/>
          <w:szCs w:val="20"/>
        </w:rPr>
      </w:pPr>
    </w:p>
    <w:p w14:paraId="27337339" w14:textId="6337CD77" w:rsidR="00ED748C" w:rsidRDefault="00ED748C">
      <w:pPr>
        <w:rPr>
          <w:b/>
          <w:bCs/>
          <w:sz w:val="20"/>
          <w:szCs w:val="20"/>
        </w:rPr>
      </w:pPr>
      <w:proofErr w:type="spellStart"/>
      <w:r w:rsidRPr="00ED748C">
        <w:rPr>
          <w:b/>
          <w:bCs/>
          <w:sz w:val="20"/>
          <w:szCs w:val="20"/>
        </w:rPr>
        <w:t>Heathorn</w:t>
      </w:r>
      <w:proofErr w:type="spellEnd"/>
      <w:r w:rsidRPr="00ED748C">
        <w:rPr>
          <w:b/>
          <w:bCs/>
          <w:sz w:val="20"/>
          <w:szCs w:val="20"/>
        </w:rPr>
        <w:t xml:space="preserve">, S. (2005). The Mnemonic Turn in the Cultural Historiography of Britain's Great War. The Historical Journal,48(4), 1103-1124. Retrieved from </w:t>
      </w:r>
      <w:hyperlink r:id="rId10" w:history="1">
        <w:r w:rsidRPr="003C470F">
          <w:rPr>
            <w:rStyle w:val="Hyperlink"/>
            <w:b/>
            <w:bCs/>
            <w:sz w:val="20"/>
            <w:szCs w:val="20"/>
          </w:rPr>
          <w:t>http://www.jstor.org.ezproxy.uwtsd.ac.uk/stable/4091650</w:t>
        </w:r>
      </w:hyperlink>
    </w:p>
    <w:p w14:paraId="15E661A9" w14:textId="1F3EBAC9" w:rsidR="00ED748C" w:rsidRDefault="00ED748C">
      <w:pPr>
        <w:rPr>
          <w:sz w:val="20"/>
          <w:szCs w:val="20"/>
        </w:rPr>
      </w:pPr>
      <w:r>
        <w:rPr>
          <w:sz w:val="20"/>
          <w:szCs w:val="20"/>
        </w:rPr>
        <w:t xml:space="preserve">This article concerns the way in which The Great War should be remembered and taught. </w:t>
      </w:r>
      <w:proofErr w:type="spellStart"/>
      <w:r w:rsidR="00C24829">
        <w:rPr>
          <w:sz w:val="20"/>
          <w:szCs w:val="20"/>
        </w:rPr>
        <w:t>Trumpener</w:t>
      </w:r>
      <w:proofErr w:type="spellEnd"/>
      <w:r w:rsidR="00C24829">
        <w:rPr>
          <w:sz w:val="20"/>
          <w:szCs w:val="20"/>
        </w:rPr>
        <w:t xml:space="preserve"> </w:t>
      </w:r>
      <w:r w:rsidR="003523B0">
        <w:rPr>
          <w:sz w:val="20"/>
          <w:szCs w:val="20"/>
        </w:rPr>
        <w:t>discusses the three main arguments on how we should look at the war, from the cultural historians approach in that we should look at the aesthetic movements that came after the war in order to understand it, to the more military revisionist view that we should look at it from a militaristic viewpoint of victory and the results of said victory. She also looks at the feminist discourse on ho</w:t>
      </w:r>
      <w:r w:rsidR="00BF7171">
        <w:rPr>
          <w:sz w:val="20"/>
          <w:szCs w:val="20"/>
        </w:rPr>
        <w:t xml:space="preserve">w motherhood was central to women at that time and disagrees stating that it </w:t>
      </w:r>
      <w:r w:rsidR="00BB5D1B">
        <w:rPr>
          <w:sz w:val="20"/>
          <w:szCs w:val="20"/>
        </w:rPr>
        <w:t>‘</w:t>
      </w:r>
      <w:r w:rsidR="00BF7171">
        <w:rPr>
          <w:sz w:val="20"/>
          <w:szCs w:val="20"/>
        </w:rPr>
        <w:t>does</w:t>
      </w:r>
      <w:r w:rsidR="00BB5D1B">
        <w:rPr>
          <w:sz w:val="20"/>
          <w:szCs w:val="20"/>
        </w:rPr>
        <w:t xml:space="preserve"> </w:t>
      </w:r>
      <w:r w:rsidR="00BF7171">
        <w:rPr>
          <w:sz w:val="20"/>
          <w:szCs w:val="20"/>
        </w:rPr>
        <w:t>n</w:t>
      </w:r>
      <w:r w:rsidR="00BB5D1B">
        <w:rPr>
          <w:sz w:val="20"/>
          <w:szCs w:val="20"/>
        </w:rPr>
        <w:t>o</w:t>
      </w:r>
      <w:r w:rsidR="00BF7171">
        <w:rPr>
          <w:sz w:val="20"/>
          <w:szCs w:val="20"/>
        </w:rPr>
        <w:t>t</w:t>
      </w:r>
      <w:r w:rsidR="00BB5D1B">
        <w:rPr>
          <w:sz w:val="20"/>
          <w:szCs w:val="20"/>
        </w:rPr>
        <w:t xml:space="preserve"> itself</w:t>
      </w:r>
      <w:r w:rsidR="00BF7171">
        <w:rPr>
          <w:sz w:val="20"/>
          <w:szCs w:val="20"/>
        </w:rPr>
        <w:t xml:space="preserve"> explain the character of </w:t>
      </w:r>
      <w:r w:rsidR="00BB5D1B">
        <w:rPr>
          <w:sz w:val="20"/>
          <w:szCs w:val="20"/>
        </w:rPr>
        <w:t>inter</w:t>
      </w:r>
      <w:r w:rsidR="00BF7171">
        <w:rPr>
          <w:sz w:val="20"/>
          <w:szCs w:val="20"/>
        </w:rPr>
        <w:t>war British feminism</w:t>
      </w:r>
      <w:r w:rsidR="00BB5D1B">
        <w:rPr>
          <w:sz w:val="20"/>
          <w:szCs w:val="20"/>
        </w:rPr>
        <w:t>’</w:t>
      </w:r>
      <w:r w:rsidR="00BF7171">
        <w:rPr>
          <w:sz w:val="20"/>
          <w:szCs w:val="20"/>
        </w:rPr>
        <w:t xml:space="preserve">. </w:t>
      </w:r>
      <w:r w:rsidR="00FA3015">
        <w:rPr>
          <w:sz w:val="20"/>
          <w:szCs w:val="20"/>
        </w:rPr>
        <w:t xml:space="preserve">She discusses the argument that text is no longer used as a tool for remembrance, noting the irony of this whole debate being started by looking into literature. She concludes by arguing that the medium of remembrance is something that always needs to be considered in analysis. </w:t>
      </w:r>
    </w:p>
    <w:p w14:paraId="4849ABC6" w14:textId="77777777" w:rsidR="00CF31E9" w:rsidRDefault="00FA3015">
      <w:pPr>
        <w:rPr>
          <w:sz w:val="20"/>
          <w:szCs w:val="20"/>
        </w:rPr>
      </w:pPr>
      <w:r>
        <w:rPr>
          <w:sz w:val="20"/>
          <w:szCs w:val="20"/>
        </w:rPr>
        <w:t xml:space="preserve">I found </w:t>
      </w:r>
      <w:proofErr w:type="spellStart"/>
      <w:r>
        <w:rPr>
          <w:sz w:val="20"/>
          <w:szCs w:val="20"/>
        </w:rPr>
        <w:t>Trumpeners</w:t>
      </w:r>
      <w:proofErr w:type="spellEnd"/>
      <w:r>
        <w:rPr>
          <w:sz w:val="20"/>
          <w:szCs w:val="20"/>
        </w:rPr>
        <w:t xml:space="preserve"> work to be interesting. Her aim to examine the different ways that people look at the great war comes off very convoluted, but that is perhaps just a side-effect of the topic. With so many different academical approaches it is easy to lose focus </w:t>
      </w:r>
      <w:r w:rsidR="00975F39">
        <w:rPr>
          <w:sz w:val="20"/>
          <w:szCs w:val="20"/>
        </w:rPr>
        <w:t xml:space="preserve">but she brings it back by the end of each chapter. </w:t>
      </w:r>
      <w:r w:rsidR="00B91A13">
        <w:rPr>
          <w:sz w:val="20"/>
          <w:szCs w:val="20"/>
        </w:rPr>
        <w:t xml:space="preserve">I found the discussions of </w:t>
      </w:r>
      <w:r w:rsidR="00302EB5">
        <w:rPr>
          <w:sz w:val="20"/>
          <w:szCs w:val="20"/>
        </w:rPr>
        <w:t xml:space="preserve">interwar feminism particularly </w:t>
      </w:r>
      <w:r w:rsidR="002007CE">
        <w:rPr>
          <w:sz w:val="20"/>
          <w:szCs w:val="20"/>
        </w:rPr>
        <w:t xml:space="preserve">interesting as it was a discourse I was not previously familiar with but </w:t>
      </w:r>
      <w:proofErr w:type="spellStart"/>
      <w:r w:rsidR="002007CE">
        <w:rPr>
          <w:sz w:val="20"/>
          <w:szCs w:val="20"/>
        </w:rPr>
        <w:t>Trumpener</w:t>
      </w:r>
      <w:proofErr w:type="spellEnd"/>
      <w:r w:rsidR="002007CE">
        <w:rPr>
          <w:sz w:val="20"/>
          <w:szCs w:val="20"/>
        </w:rPr>
        <w:t xml:space="preserve"> managed to lay out a lot of opinions very concisely and easy to understand.  </w:t>
      </w:r>
      <w:r w:rsidR="00302EB5">
        <w:rPr>
          <w:sz w:val="20"/>
          <w:szCs w:val="20"/>
        </w:rPr>
        <w:t xml:space="preserve"> </w:t>
      </w:r>
    </w:p>
    <w:p w14:paraId="022939FC" w14:textId="77777777" w:rsidR="00CF31E9" w:rsidRDefault="00CF31E9">
      <w:pPr>
        <w:rPr>
          <w:sz w:val="20"/>
          <w:szCs w:val="20"/>
        </w:rPr>
      </w:pPr>
    </w:p>
    <w:p w14:paraId="23D8A456" w14:textId="77777777" w:rsidR="00CF31E9" w:rsidRDefault="00CF31E9">
      <w:pPr>
        <w:rPr>
          <w:sz w:val="20"/>
          <w:szCs w:val="20"/>
        </w:rPr>
      </w:pPr>
    </w:p>
    <w:p w14:paraId="35E6AA57" w14:textId="77777777" w:rsidR="00CF31E9" w:rsidRDefault="00CF31E9">
      <w:pPr>
        <w:rPr>
          <w:sz w:val="20"/>
          <w:szCs w:val="20"/>
        </w:rPr>
      </w:pPr>
    </w:p>
    <w:p w14:paraId="3F78B0B7" w14:textId="77777777" w:rsidR="00CF31E9" w:rsidRDefault="00CF31E9">
      <w:pPr>
        <w:rPr>
          <w:sz w:val="20"/>
          <w:szCs w:val="20"/>
        </w:rPr>
      </w:pPr>
    </w:p>
    <w:p w14:paraId="320D4242" w14:textId="77777777" w:rsidR="00CF31E9" w:rsidRDefault="00CF31E9">
      <w:pPr>
        <w:rPr>
          <w:sz w:val="20"/>
          <w:szCs w:val="20"/>
        </w:rPr>
      </w:pPr>
    </w:p>
    <w:p w14:paraId="228F0D6A" w14:textId="77777777" w:rsidR="00CF31E9" w:rsidRDefault="00CF31E9">
      <w:pPr>
        <w:rPr>
          <w:sz w:val="20"/>
          <w:szCs w:val="20"/>
        </w:rPr>
      </w:pPr>
    </w:p>
    <w:p w14:paraId="29A4B148" w14:textId="77777777" w:rsidR="00CF31E9" w:rsidRDefault="00CF31E9">
      <w:pPr>
        <w:rPr>
          <w:sz w:val="20"/>
          <w:szCs w:val="20"/>
        </w:rPr>
      </w:pPr>
    </w:p>
    <w:p w14:paraId="4C2E015C" w14:textId="77777777" w:rsidR="00CF31E9" w:rsidRDefault="00CF31E9">
      <w:pPr>
        <w:rPr>
          <w:sz w:val="20"/>
          <w:szCs w:val="20"/>
        </w:rPr>
      </w:pPr>
    </w:p>
    <w:p w14:paraId="70BD3A62" w14:textId="77777777" w:rsidR="00CF31E9" w:rsidRDefault="00CF31E9">
      <w:pPr>
        <w:rPr>
          <w:sz w:val="20"/>
          <w:szCs w:val="20"/>
        </w:rPr>
      </w:pPr>
    </w:p>
    <w:p w14:paraId="0EEF09B5" w14:textId="77777777" w:rsidR="00CF31E9" w:rsidRDefault="00CF31E9">
      <w:pPr>
        <w:rPr>
          <w:sz w:val="20"/>
          <w:szCs w:val="20"/>
        </w:rPr>
      </w:pPr>
    </w:p>
    <w:p w14:paraId="4BE4C499" w14:textId="77777777" w:rsidR="00CF31E9" w:rsidRDefault="00CF31E9">
      <w:pPr>
        <w:rPr>
          <w:sz w:val="20"/>
          <w:szCs w:val="20"/>
        </w:rPr>
      </w:pPr>
    </w:p>
    <w:p w14:paraId="7D546E47" w14:textId="77777777" w:rsidR="00CF31E9" w:rsidRDefault="00CF31E9">
      <w:pPr>
        <w:rPr>
          <w:sz w:val="20"/>
          <w:szCs w:val="20"/>
        </w:rPr>
      </w:pPr>
    </w:p>
    <w:p w14:paraId="42C3A5A9" w14:textId="77777777" w:rsidR="00CF31E9" w:rsidRDefault="00CF31E9">
      <w:pPr>
        <w:rPr>
          <w:sz w:val="20"/>
          <w:szCs w:val="20"/>
        </w:rPr>
      </w:pPr>
    </w:p>
    <w:p w14:paraId="1A51D27F" w14:textId="77777777" w:rsidR="00CF31E9" w:rsidRDefault="00CF31E9">
      <w:pPr>
        <w:rPr>
          <w:sz w:val="20"/>
          <w:szCs w:val="20"/>
        </w:rPr>
      </w:pPr>
    </w:p>
    <w:p w14:paraId="6EAEE76F" w14:textId="77777777" w:rsidR="00CF31E9" w:rsidRDefault="00CF31E9">
      <w:pPr>
        <w:rPr>
          <w:sz w:val="20"/>
          <w:szCs w:val="20"/>
        </w:rPr>
      </w:pPr>
    </w:p>
    <w:p w14:paraId="390F058D" w14:textId="77777777" w:rsidR="00CF31E9" w:rsidRDefault="00CF31E9">
      <w:pPr>
        <w:rPr>
          <w:sz w:val="20"/>
          <w:szCs w:val="20"/>
        </w:rPr>
      </w:pPr>
    </w:p>
    <w:p w14:paraId="1E3F8958" w14:textId="77777777" w:rsidR="00CF31E9" w:rsidRDefault="00CF31E9">
      <w:pPr>
        <w:rPr>
          <w:sz w:val="20"/>
          <w:szCs w:val="20"/>
        </w:rPr>
      </w:pPr>
    </w:p>
    <w:p w14:paraId="2B10C5A6" w14:textId="77777777" w:rsidR="00CF31E9" w:rsidRDefault="00CF31E9">
      <w:pPr>
        <w:rPr>
          <w:sz w:val="20"/>
          <w:szCs w:val="20"/>
        </w:rPr>
      </w:pPr>
    </w:p>
    <w:p w14:paraId="391674A1" w14:textId="77777777" w:rsidR="00CF31E9" w:rsidRDefault="00CF31E9">
      <w:pPr>
        <w:rPr>
          <w:sz w:val="20"/>
          <w:szCs w:val="20"/>
        </w:rPr>
      </w:pPr>
    </w:p>
    <w:p w14:paraId="6684B2B6" w14:textId="77777777" w:rsidR="00CF31E9" w:rsidRDefault="00CF31E9">
      <w:pPr>
        <w:rPr>
          <w:sz w:val="20"/>
          <w:szCs w:val="20"/>
        </w:rPr>
      </w:pPr>
    </w:p>
    <w:p w14:paraId="35457C25" w14:textId="77777777" w:rsidR="00CF31E9" w:rsidRDefault="00CF31E9">
      <w:pPr>
        <w:rPr>
          <w:sz w:val="20"/>
          <w:szCs w:val="20"/>
        </w:rPr>
      </w:pPr>
    </w:p>
    <w:p w14:paraId="620187D7" w14:textId="7F2253DD" w:rsidR="00CF31E9" w:rsidRDefault="002F6A47" w:rsidP="00CF31E9">
      <w:pPr>
        <w:pStyle w:val="Title"/>
      </w:pPr>
      <w:r>
        <w:rPr>
          <w:noProof/>
        </w:rPr>
        <w:lastRenderedPageBreak/>
        <mc:AlternateContent>
          <mc:Choice Requires="wps">
            <w:drawing>
              <wp:anchor distT="45720" distB="45720" distL="114300" distR="114300" simplePos="0" relativeHeight="251661312" behindDoc="1" locked="0" layoutInCell="1" allowOverlap="1" wp14:anchorId="0CC9B8B0" wp14:editId="1438031C">
                <wp:simplePos x="0" y="0"/>
                <wp:positionH relativeFrom="column">
                  <wp:posOffset>3479165</wp:posOffset>
                </wp:positionH>
                <wp:positionV relativeFrom="paragraph">
                  <wp:posOffset>1684020</wp:posOffset>
                </wp:positionV>
                <wp:extent cx="2360930" cy="1404620"/>
                <wp:effectExtent l="3492" t="0" r="23813" b="23812"/>
                <wp:wrapTight wrapText="bothSides">
                  <wp:wrapPolygon edited="0">
                    <wp:start x="21568" y="-100"/>
                    <wp:lineTo x="-44" y="-100"/>
                    <wp:lineTo x="-44" y="21736"/>
                    <wp:lineTo x="21568" y="21736"/>
                    <wp:lineTo x="21568" y="-10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360930" cy="1404620"/>
                        </a:xfrm>
                        <a:prstGeom prst="rect">
                          <a:avLst/>
                        </a:prstGeom>
                        <a:solidFill>
                          <a:schemeClr val="tx1"/>
                        </a:solidFill>
                        <a:ln w="9525">
                          <a:solidFill>
                            <a:srgbClr val="000000"/>
                          </a:solidFill>
                          <a:miter lim="800000"/>
                          <a:headEnd/>
                          <a:tailEnd/>
                        </a:ln>
                      </wps:spPr>
                      <wps:txbx>
                        <w:txbxContent>
                          <w:p w14:paraId="132343FE" w14:textId="3F28C3F0" w:rsidR="002F6A47" w:rsidRDefault="002F6A47">
                            <w:r w:rsidRPr="002F6A47">
                              <w:rPr>
                                <w:color w:val="FFFFFF" w:themeColor="background1"/>
                              </w:rPr>
                              <w:t xml:space="preserve">Image taken from </w:t>
                            </w:r>
                            <w:hyperlink r:id="rId11" w:history="1">
                              <w:r w:rsidRPr="002D0AED">
                                <w:rPr>
                                  <w:rStyle w:val="Hyperlink"/>
                                </w:rPr>
                                <w:t>https://www.bl.uk/world-war-one/articles/voluntary-recruiting</w:t>
                              </w:r>
                            </w:hyperlink>
                            <w:r>
                              <w:t xml:space="preserve"> </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0</wp14:pctHeight>
                </wp14:sizeRelV>
              </wp:anchor>
            </w:drawing>
          </mc:Choice>
          <mc:Fallback>
            <w:pict>
              <v:shapetype w14:anchorId="0CC9B8B0" id="_x0000_t202" coordsize="21600,21600" o:spt="202" path="m,l,21600r21600,l21600,xe">
                <v:stroke joinstyle="miter"/>
                <v:path gradientshapeok="t" o:connecttype="rect"/>
              </v:shapetype>
              <v:shape id="Text Box 2" o:spid="_x0000_s1026" type="#_x0000_t202" style="position:absolute;margin-left:273.95pt;margin-top:132.6pt;width:185.9pt;height:110.6pt;rotation:-90;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" fillcolor="black [3213]">
                <v:textbox style="mso-fit-shape-to-text:t">
                  <w:txbxContent>
                    <w:p w14:paraId="132343FE" w14:textId="3F28C3F0" w:rsidR="002F6A47" w:rsidRDefault="002F6A47">
                      <w:r w:rsidRPr="002F6A47">
                        <w:rPr>
                          <w:color w:val="FFFFFF" w:themeColor="background1"/>
                        </w:rPr>
                        <w:t xml:space="preserve">Image taken from </w:t>
                      </w:r>
                      <w:hyperlink r:id="rId12" w:history="1">
                        <w:r w:rsidRPr="002D0AED">
                          <w:rPr>
                            <w:rStyle w:val="Hyperlink"/>
                          </w:rPr>
                          <w:t>https://www.bl.uk/world-war-one/articles/voluntary-recruiting</w:t>
                        </w:r>
                      </w:hyperlink>
                      <w:r>
                        <w:t xml:space="preserve"> </w:t>
                      </w:r>
                    </w:p>
                  </w:txbxContent>
                </v:textbox>
                <w10:wrap type="tight"/>
              </v:shape>
            </w:pict>
          </mc:Fallback>
        </mc:AlternateContent>
      </w:r>
      <w:r w:rsidRPr="002F6A47">
        <w:rPr>
          <w:noProof/>
        </w:rPr>
        <w:drawing>
          <wp:anchor distT="0" distB="0" distL="114300" distR="114300" simplePos="0" relativeHeight="251660288" behindDoc="1" locked="0" layoutInCell="1" allowOverlap="1" wp14:anchorId="3C83F170" wp14:editId="62F8499B">
            <wp:simplePos x="0" y="0"/>
            <wp:positionH relativeFrom="column">
              <wp:posOffset>-127000</wp:posOffset>
            </wp:positionH>
            <wp:positionV relativeFrom="paragraph">
              <wp:posOffset>527050</wp:posOffset>
            </wp:positionV>
            <wp:extent cx="5731510" cy="3223895"/>
            <wp:effectExtent l="0" t="0" r="2540" b="0"/>
            <wp:wrapTight wrapText="bothSides">
              <wp:wrapPolygon edited="0">
                <wp:start x="0" y="0"/>
                <wp:lineTo x="0" y="21443"/>
                <wp:lineTo x="21538" y="21443"/>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CF31E9">
        <w:t xml:space="preserve">Document Report </w:t>
      </w:r>
    </w:p>
    <w:p w14:paraId="02B207F3" w14:textId="5984D47B" w:rsidR="007E2AF6" w:rsidRDefault="00FA3015" w:rsidP="002F6A47">
      <w:r>
        <w:t xml:space="preserve"> </w:t>
      </w:r>
      <w:r w:rsidR="002F6A47">
        <w:t>The primary source I will be discussing is a recruitment poster published in 1915</w:t>
      </w:r>
      <w:r w:rsidR="006A0CDD">
        <w:t xml:space="preserve"> which consists of a young girl with an open book sat on her father’s knee with a boy knelt at his feet wearing what appears to be army fatigues and playing with toy soldiers. The text is written below in a cursive font except for the word  ‘you’ which is in all caps and underlined, ‘Daddy, what did YOU do in the Great War?’. </w:t>
      </w:r>
      <w:r w:rsidR="002F6A47">
        <w:t>It was designed by Savile Lumley</w:t>
      </w:r>
      <w:r w:rsidR="004649D7">
        <w:t>-</w:t>
      </w:r>
      <w:r w:rsidR="002F6A47">
        <w:t xml:space="preserve"> a book illustrator and poster designer</w:t>
      </w:r>
      <w:r w:rsidR="004649D7">
        <w:t>-</w:t>
      </w:r>
      <w:r w:rsidR="002F6A47">
        <w:t xml:space="preserve"> under the </w:t>
      </w:r>
      <w:r w:rsidR="004649D7">
        <w:t xml:space="preserve">commission of The </w:t>
      </w:r>
      <w:r w:rsidR="004649D7" w:rsidRPr="004649D7">
        <w:t>British Parliamentary Recruiting Committee</w:t>
      </w:r>
      <w:r w:rsidR="00C1029B">
        <w:t xml:space="preserve"> (PRC)</w:t>
      </w:r>
      <w:r w:rsidR="004649D7">
        <w:t xml:space="preserve">. </w:t>
      </w:r>
      <w:r w:rsidR="00C1029B">
        <w:rPr>
          <w:rStyle w:val="FootnoteReference"/>
        </w:rPr>
        <w:footnoteReference w:id="1"/>
      </w:r>
      <w:r w:rsidR="00C1029B">
        <w:t xml:space="preserve"> </w:t>
      </w:r>
      <w:r w:rsidR="004314C0">
        <w:t xml:space="preserve"> </w:t>
      </w:r>
      <w:r w:rsidR="0089700C">
        <w:t xml:space="preserve"> </w:t>
      </w:r>
      <w:r w:rsidR="00632745">
        <w:t xml:space="preserve">We know that this is a genuinely a worry already on the minds of men as Paul Gunn admitted after the war that his own father thought of the now famous line while discussing going to war with his wife. </w:t>
      </w:r>
      <w:r w:rsidR="00632745">
        <w:rPr>
          <w:rStyle w:val="FootnoteReference"/>
        </w:rPr>
        <w:footnoteReference w:id="2"/>
      </w:r>
    </w:p>
    <w:p w14:paraId="593040B9" w14:textId="02032842" w:rsidR="00E0756F" w:rsidRDefault="0089700C" w:rsidP="002F6A47">
      <w:r>
        <w:t xml:space="preserve">In 1915, Britain had been at war for at least 5 months and recruitment was drying up. Lord Kitchener’s stern face </w:t>
      </w:r>
      <w:r w:rsidR="008A4E61">
        <w:t xml:space="preserve">on the ‘We Need You’ poster </w:t>
      </w:r>
      <w:r>
        <w:t>was no longer the inspirational</w:t>
      </w:r>
      <w:r w:rsidR="008A4E61">
        <w:t xml:space="preserve"> symbol after word got back to Britain from their friends and family in the trenches. War was no longer seeming like the glorious adventure many young men had signed up for and by now was starting to look like hell. </w:t>
      </w:r>
      <w:r w:rsidR="00E0756F">
        <w:t xml:space="preserve">Propaganda posters had to get sneakier, and this is the perfect example of the mood in Britain during the war- emotional blackmail was rife. </w:t>
      </w:r>
      <w:r w:rsidR="00D42C38">
        <w:t>Karyn Burnham blames British propaganda posters of the first world war for the consistency of toxic masculinity in Britain. They create a fa</w:t>
      </w:r>
      <w:r w:rsidR="00377B8B">
        <w:t>l</w:t>
      </w:r>
      <w:r w:rsidR="00D42C38">
        <w:t xml:space="preserve">se idea of ‘manhood’ being </w:t>
      </w:r>
      <w:r w:rsidR="00377B8B">
        <w:t xml:space="preserve">people willing to fight for ‘King and Country’ </w:t>
      </w:r>
      <w:r w:rsidR="00863811">
        <w:t xml:space="preserve">and support the condemnation of those who cant or wont fight. </w:t>
      </w:r>
    </w:p>
    <w:p w14:paraId="2954503C" w14:textId="721A16D3" w:rsidR="0089700C" w:rsidRDefault="00E0756F" w:rsidP="002F6A47">
      <w:r>
        <w:t xml:space="preserve">The man in the poster is staring right into the eyes of the reader with a questioning look on his face. ‘what do I tell them?’ he seems to ask the person reading the poster. </w:t>
      </w:r>
      <w:r w:rsidR="004D682C">
        <w:t xml:space="preserve">It can be inferred that the man in the picture is supposed to be someone who never enlisted and is now feeling that he let his family down. His children are seen to idolise the war, with the boy in particular dressed in the colours of a soldier and playing with brightly coloured toy army men- presumably bright red to make them stand out more against the bland background. </w:t>
      </w:r>
      <w:r w:rsidR="008C0726">
        <w:t xml:space="preserve">The poster is personally targeting any young fathers or men </w:t>
      </w:r>
      <w:r w:rsidR="008C0726">
        <w:lastRenderedPageBreak/>
        <w:t xml:space="preserve">who intend to be fathers. To suggest that they would be a poor role model for their children and would be a disappointment to their families, the families that they are supposed to support in a still very patriarchal society. How are they supporting their families when their own kids will be ashamed of them and their non-action. </w:t>
      </w:r>
      <w:r w:rsidR="0089700C">
        <w:t xml:space="preserve"> </w:t>
      </w:r>
      <w:r w:rsidR="00BA5140">
        <w:t xml:space="preserve">The family is also shown to be quite wealthy </w:t>
      </w:r>
      <w:r w:rsidR="00B91428">
        <w:t xml:space="preserve">as seen in the clothes they wear and the decorations around them, this could be symbolism for how the father chose to </w:t>
      </w:r>
      <w:proofErr w:type="spellStart"/>
      <w:r w:rsidR="00AF06FD">
        <w:t>to</w:t>
      </w:r>
      <w:proofErr w:type="spellEnd"/>
      <w:r w:rsidR="00AF06FD">
        <w:t xml:space="preserve"> gather wealth in order to live comfortably instead of a period of </w:t>
      </w:r>
      <w:proofErr w:type="spellStart"/>
      <w:r w:rsidR="00AF06FD">
        <w:t>uncomfort</w:t>
      </w:r>
      <w:proofErr w:type="spellEnd"/>
      <w:r w:rsidR="00AF06FD">
        <w:t xml:space="preserve"> serve his country. </w:t>
      </w:r>
      <w:r w:rsidR="0029216E">
        <w:t xml:space="preserve"> </w:t>
      </w:r>
      <w:r w:rsidR="0036261B">
        <w:t xml:space="preserve"> </w:t>
      </w:r>
    </w:p>
    <w:p w14:paraId="56468D82" w14:textId="4C3D06AF" w:rsidR="007B0D07" w:rsidRDefault="0036261B" w:rsidP="002F6A47">
      <w:r>
        <w:t xml:space="preserve">This poster forces them to think on how the war will be remembered, and how they want their part in it to be remembered. Of course, there is the opposite side in thinking, surely this poster will remind men that they want to be around to see their children to tell them about the war, and the only way they’ll be able to do that is to stick around in Britain rather than being sent abroad to be shot at? </w:t>
      </w:r>
      <w:r w:rsidR="00D53639">
        <w:t xml:space="preserve">Anti-war trade-union leader Robert </w:t>
      </w:r>
      <w:proofErr w:type="spellStart"/>
      <w:r w:rsidR="00D53639">
        <w:t>Smilie</w:t>
      </w:r>
      <w:proofErr w:type="spellEnd"/>
      <w:r w:rsidR="00D53639">
        <w:t xml:space="preserve"> publicly condemned the poster, stating that they should change the caption to ‘I tried to stop the bloody thing, my child’. </w:t>
      </w:r>
      <w:r w:rsidR="00E92F2F">
        <w:rPr>
          <w:rStyle w:val="FootnoteReference"/>
        </w:rPr>
        <w:footnoteReference w:id="3"/>
      </w:r>
    </w:p>
    <w:p w14:paraId="1B0C4FA3" w14:textId="09A24178" w:rsidR="002967C5" w:rsidRDefault="0036261B" w:rsidP="002F6A47">
      <w:r>
        <w:t xml:space="preserve">However, you have to remember the social climate in Britain during the war. Remembrance and commemoration was already being used as a tool for recruitment and emotional manipulation alongside it. An </w:t>
      </w:r>
      <w:r w:rsidR="007368FF">
        <w:t>example of th</w:t>
      </w:r>
      <w:r>
        <w:t>e</w:t>
      </w:r>
      <w:r w:rsidR="007368FF">
        <w:t xml:space="preserve"> kind of emotional manipulation seen around this time ca</w:t>
      </w:r>
      <w:r w:rsidR="00A72690">
        <w:t>n</w:t>
      </w:r>
      <w:r w:rsidR="007368FF">
        <w:t xml:space="preserve"> be found in the ‘white feather girls’</w:t>
      </w:r>
      <w:r w:rsidR="00A72690">
        <w:t xml:space="preserve">. These were groups of girls first commissioned in 1914 by Admiral Fitzgerald </w:t>
      </w:r>
      <w:r w:rsidR="00FE5FE0">
        <w:t xml:space="preserve">in Folkstone </w:t>
      </w:r>
      <w:r w:rsidR="00A72690">
        <w:t xml:space="preserve">to </w:t>
      </w:r>
      <w:r w:rsidR="00632745">
        <w:t>publicly</w:t>
      </w:r>
      <w:r w:rsidR="00A72690">
        <w:t xml:space="preserve"> hand out white feathers (a symbol of cowardice) to any young man </w:t>
      </w:r>
      <w:r w:rsidR="00FE5FE0">
        <w:t>wearing casual clothes instead of uniform.</w:t>
      </w:r>
      <w:r w:rsidR="00FE5FE0">
        <w:rPr>
          <w:rStyle w:val="FootnoteReference"/>
        </w:rPr>
        <w:footnoteReference w:id="4"/>
      </w:r>
      <w:r w:rsidR="007368FF">
        <w:t xml:space="preserve"> </w:t>
      </w:r>
      <w:r w:rsidR="00FE5FE0">
        <w:t>This soon got out of hand</w:t>
      </w:r>
      <w:r w:rsidR="004D1708">
        <w:t xml:space="preserve"> (</w:t>
      </w:r>
      <w:r w:rsidR="00FE5FE0">
        <w:t>especially with enlistment being brought in in 1916</w:t>
      </w:r>
      <w:r w:rsidR="004D1708">
        <w:t>)</w:t>
      </w:r>
      <w:r w:rsidR="00FE5FE0">
        <w:t xml:space="preserve"> with men on leave being given feathers as well as honourable discharges and men unable to fight in the first place. </w:t>
      </w:r>
      <w:r w:rsidR="002967C5">
        <w:t xml:space="preserve"> So as well as thinking how do I want to be remembered, young men also had to deal with social peers pressures and think ‘how do I want to be seen NOW?’</w:t>
      </w:r>
      <w:r w:rsidR="00824F2E">
        <w:t xml:space="preserve">. </w:t>
      </w:r>
      <w:r w:rsidR="00515B68">
        <w:t xml:space="preserve"> </w:t>
      </w:r>
    </w:p>
    <w:p w14:paraId="23E5F412" w14:textId="7DDCC67C" w:rsidR="00BF7BB7" w:rsidRDefault="00BF7BB7" w:rsidP="002F6A47">
      <w:r>
        <w:t xml:space="preserve">This poster is clearly a product of its time, the emotional manipulation only shows the governments desperation for more soldiers, if they are resulting to what could even be called blackmail in order to get recruits. For me, it is an idea of what is coming, the fact that conscription </w:t>
      </w:r>
      <w:r w:rsidR="00347057">
        <w:t xml:space="preserve">isn’t too far behind proves this theory. </w:t>
      </w:r>
      <w:r w:rsidR="00DF4E64">
        <w:t>The fact that the man is looking straight at you is a common theme in war recruitment posters (the famous Lord Kitchener’s ‘we need you’ for example) and really hits home of the personal attacks that the government made in order to convince recruits</w:t>
      </w:r>
      <w:r w:rsidR="005F24B3">
        <w:t xml:space="preserve"> and their effectiveness, especially in that social climate</w:t>
      </w:r>
      <w:r w:rsidR="004B5E8A">
        <w:t xml:space="preserve">. </w:t>
      </w:r>
    </w:p>
    <w:p w14:paraId="108D9195" w14:textId="77777777" w:rsidR="00515B68" w:rsidRDefault="00515B68" w:rsidP="002F6A47"/>
    <w:p w14:paraId="2834D80C" w14:textId="19F738FE" w:rsidR="00A30973" w:rsidRDefault="00A30973" w:rsidP="002F6A47"/>
    <w:p w14:paraId="6CAB2CED" w14:textId="141FD4B7" w:rsidR="007B0D07" w:rsidRDefault="007B0D07" w:rsidP="002F6A47"/>
    <w:p w14:paraId="24301B91" w14:textId="649E4E29" w:rsidR="00E92F2F" w:rsidRDefault="00E92F2F" w:rsidP="002F6A47"/>
    <w:p w14:paraId="2829557C" w14:textId="54C140AD" w:rsidR="00E92F2F" w:rsidRDefault="00E92F2F" w:rsidP="002F6A47"/>
    <w:p w14:paraId="14DB0365" w14:textId="311DE54D" w:rsidR="00E92F2F" w:rsidRDefault="00E92F2F" w:rsidP="002F6A47"/>
    <w:p w14:paraId="62F289DF" w14:textId="0DA0141F" w:rsidR="00E92F2F" w:rsidRDefault="00E92F2F" w:rsidP="002F6A47"/>
    <w:p w14:paraId="51309026" w14:textId="4F16E60F" w:rsidR="00E92F2F" w:rsidRDefault="00E92F2F" w:rsidP="002F6A47"/>
    <w:p w14:paraId="3C84A8A3" w14:textId="4846513A" w:rsidR="00E92F2F" w:rsidRDefault="00E92F2F" w:rsidP="002F6A47"/>
    <w:p w14:paraId="4CA6FA02" w14:textId="3CD1F3B2" w:rsidR="00E92F2F" w:rsidRDefault="00E92F2F" w:rsidP="002F6A47"/>
    <w:p w14:paraId="46238593" w14:textId="77777777" w:rsidR="00632745" w:rsidRDefault="00632745" w:rsidP="002F6A47"/>
    <w:p w14:paraId="031A7DCC" w14:textId="3B68FFA1" w:rsidR="00E92F2F" w:rsidRDefault="00E92F2F" w:rsidP="002F6A47">
      <w:r>
        <w:t xml:space="preserve">Bibliography </w:t>
      </w:r>
    </w:p>
    <w:p w14:paraId="482A8E64" w14:textId="228AAD8C" w:rsidR="00632745" w:rsidRDefault="00632745" w:rsidP="00E92F2F">
      <w:pPr>
        <w:pStyle w:val="ListParagraph"/>
        <w:numPr>
          <w:ilvl w:val="0"/>
          <w:numId w:val="1"/>
        </w:numPr>
      </w:pPr>
      <w:proofErr w:type="spellStart"/>
      <w:r w:rsidRPr="00632745">
        <w:t>Gullace</w:t>
      </w:r>
      <w:proofErr w:type="spellEnd"/>
      <w:r w:rsidRPr="00632745">
        <w:t>, N. (1997). White Feathers and Wounded Men: Female Patriotism and the Memory of the Great War. Journal of British Studies, 36(2), 178-206. Retrieved from www.jstor.org/stable/176011</w:t>
      </w:r>
    </w:p>
    <w:p w14:paraId="6EF03B3D" w14:textId="01133F48" w:rsidR="00E92F2F" w:rsidRDefault="00E92F2F" w:rsidP="00E92F2F">
      <w:pPr>
        <w:pStyle w:val="ListParagraph"/>
        <w:numPr>
          <w:ilvl w:val="0"/>
          <w:numId w:val="1"/>
        </w:numPr>
      </w:pPr>
      <w:r w:rsidRPr="00E92F2F">
        <w:t>Hochschild, Adam (2011). To End All Wars: a Story of Loyalty and Rebellion. New York: Houghton Mifflin Harcourt. ISBN 978-0-618-75828-9.</w:t>
      </w:r>
      <w:r>
        <w:t xml:space="preserve"> </w:t>
      </w:r>
      <w:r w:rsidR="00632745">
        <w:t xml:space="preserve"> </w:t>
      </w:r>
    </w:p>
    <w:p w14:paraId="5A6F4D00" w14:textId="4B0A424C" w:rsidR="006479E4" w:rsidRDefault="006479E4" w:rsidP="00E92F2F">
      <w:pPr>
        <w:pStyle w:val="ListParagraph"/>
        <w:numPr>
          <w:ilvl w:val="0"/>
          <w:numId w:val="1"/>
        </w:numPr>
      </w:pPr>
      <w:r>
        <w:t xml:space="preserve">Simkin, John (1997) </w:t>
      </w:r>
      <w:r w:rsidRPr="006479E4">
        <w:t>Savile Lumley</w:t>
      </w:r>
      <w:r>
        <w:t xml:space="preserve">. Spartacus Education. Retrieved from </w:t>
      </w:r>
      <w:hyperlink r:id="rId14" w:history="1">
        <w:r w:rsidRPr="005D5CE9">
          <w:rPr>
            <w:rStyle w:val="Hyperlink"/>
          </w:rPr>
          <w:t>https://spartacus-educational.com/ARTlumley.htm</w:t>
        </w:r>
      </w:hyperlink>
      <w:r>
        <w:t xml:space="preserve"> </w:t>
      </w:r>
    </w:p>
    <w:p w14:paraId="639E3D5E" w14:textId="2E46A58D" w:rsidR="006479E4" w:rsidRDefault="006479E4" w:rsidP="00E92F2F">
      <w:pPr>
        <w:pStyle w:val="ListParagraph"/>
        <w:numPr>
          <w:ilvl w:val="0"/>
          <w:numId w:val="1"/>
        </w:numPr>
      </w:pPr>
      <w:r>
        <w:t xml:space="preserve">Simkins, Peter (2014) </w:t>
      </w:r>
      <w:r w:rsidRPr="006479E4">
        <w:t>Voluntary recruiting in Britain, 1914-1915</w:t>
      </w:r>
      <w:r>
        <w:t xml:space="preserve">. British Library. Retrieved from </w:t>
      </w:r>
      <w:bookmarkStart w:id="0" w:name="_GoBack"/>
      <w:bookmarkEnd w:id="0"/>
      <w:r w:rsidRPr="006479E4">
        <w:t>https://www.bl.uk/world-war-one/articles/voluntary-recruiting</w:t>
      </w:r>
      <w:r>
        <w:t xml:space="preserve"> </w:t>
      </w:r>
    </w:p>
    <w:p w14:paraId="0E859DF8" w14:textId="393A4786" w:rsidR="00632745" w:rsidRPr="00ED748C" w:rsidRDefault="00632745" w:rsidP="00632745">
      <w:pPr>
        <w:pStyle w:val="ListParagraph"/>
      </w:pPr>
    </w:p>
    <w:sectPr w:rsidR="00632745" w:rsidRPr="00ED748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25CBC96" w14:textId="77777777" w:rsidR="00505B2F" w:rsidRDefault="00505B2F" w:rsidP="00C1029B">
      <w:pPr>
        <w:spacing w:after="0" w:line="240" w:lineRule="auto"/>
      </w:pPr>
      <w:r>
        <w:separator/>
      </w:r>
    </w:p>
  </w:endnote>
  <w:endnote w:type="continuationSeparator" w:id="0">
    <w:p w14:paraId="1CF1184F" w14:textId="77777777" w:rsidR="00505B2F" w:rsidRDefault="00505B2F" w:rsidP="00C10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13EA83E" w14:textId="77777777" w:rsidR="00505B2F" w:rsidRDefault="00505B2F" w:rsidP="00C1029B">
      <w:pPr>
        <w:spacing w:after="0" w:line="240" w:lineRule="auto"/>
      </w:pPr>
      <w:r>
        <w:separator/>
      </w:r>
    </w:p>
  </w:footnote>
  <w:footnote w:type="continuationSeparator" w:id="0">
    <w:p w14:paraId="3138EC21" w14:textId="77777777" w:rsidR="00505B2F" w:rsidRDefault="00505B2F" w:rsidP="00C1029B">
      <w:pPr>
        <w:spacing w:after="0" w:line="240" w:lineRule="auto"/>
      </w:pPr>
      <w:r>
        <w:continuationSeparator/>
      </w:r>
    </w:p>
  </w:footnote>
  <w:footnote w:id="1">
    <w:p w14:paraId="664143DD" w14:textId="62A84817" w:rsidR="00C1029B" w:rsidRDefault="00C1029B">
      <w:pPr>
        <w:pStyle w:val="FootnoteText"/>
      </w:pPr>
      <w:r>
        <w:rPr>
          <w:rStyle w:val="FootnoteReference"/>
        </w:rPr>
        <w:footnoteRef/>
      </w:r>
      <w:r>
        <w:t xml:space="preserve"> </w:t>
      </w:r>
      <w:hyperlink r:id="rId1" w:history="1">
        <w:r>
          <w:rPr>
            <w:rStyle w:val="Hyperlink"/>
          </w:rPr>
          <w:t>https://www.bl.uk/world-war-one/</w:t>
        </w:r>
        <w:r>
          <w:rPr>
            <w:rStyle w:val="Hyperlink"/>
          </w:rPr>
          <w:t>a</w:t>
        </w:r>
        <w:r>
          <w:rPr>
            <w:rStyle w:val="Hyperlink"/>
          </w:rPr>
          <w:t>rticles/voluntary-recruiting</w:t>
        </w:r>
      </w:hyperlink>
      <w:r>
        <w:t xml:space="preserve"> </w:t>
      </w:r>
    </w:p>
  </w:footnote>
  <w:footnote w:id="2">
    <w:p w14:paraId="57D85D4E" w14:textId="260CA0B5" w:rsidR="00632745" w:rsidRDefault="00632745">
      <w:pPr>
        <w:pStyle w:val="FootnoteText"/>
      </w:pPr>
      <w:r>
        <w:rPr>
          <w:rStyle w:val="FootnoteReference"/>
        </w:rPr>
        <w:footnoteRef/>
      </w:r>
      <w:r>
        <w:t xml:space="preserve"> </w:t>
      </w:r>
      <w:hyperlink r:id="rId2" w:history="1">
        <w:r w:rsidRPr="005D5CE9">
          <w:rPr>
            <w:rStyle w:val="Hyperlink"/>
          </w:rPr>
          <w:t>https://spartacus-educational.com/ARTlumley.htm</w:t>
        </w:r>
      </w:hyperlink>
      <w:r>
        <w:t xml:space="preserve"> </w:t>
      </w:r>
    </w:p>
  </w:footnote>
  <w:footnote w:id="3">
    <w:p w14:paraId="1642FF03" w14:textId="6B6F9218" w:rsidR="00E92F2F" w:rsidRDefault="00E92F2F">
      <w:pPr>
        <w:pStyle w:val="FootnoteText"/>
      </w:pPr>
      <w:r>
        <w:rPr>
          <w:rStyle w:val="FootnoteReference"/>
        </w:rPr>
        <w:footnoteRef/>
      </w:r>
      <w:r>
        <w:t xml:space="preserve"> </w:t>
      </w:r>
      <w:r w:rsidR="000C09A6">
        <w:t>Hochschild (2011) p151</w:t>
      </w:r>
    </w:p>
  </w:footnote>
  <w:footnote w:id="4">
    <w:p w14:paraId="47F8A496" w14:textId="36A061C1" w:rsidR="00FE5FE0" w:rsidRDefault="00FE5FE0">
      <w:pPr>
        <w:pStyle w:val="FootnoteText"/>
      </w:pPr>
      <w:r>
        <w:rPr>
          <w:rStyle w:val="FootnoteReference"/>
        </w:rPr>
        <w:footnoteRef/>
      </w:r>
      <w:r>
        <w:t xml:space="preserve"> </w:t>
      </w:r>
      <w:proofErr w:type="spellStart"/>
      <w:r>
        <w:t>Gullace</w:t>
      </w:r>
      <w:proofErr w:type="spellEnd"/>
      <w:r>
        <w:t xml:space="preserve"> (1997) p178</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6E74CAC"/>
    <w:multiLevelType w:val="hybridMultilevel"/>
    <w:tmpl w:val="72E065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137C"/>
    <w:rsid w:val="00002129"/>
    <w:rsid w:val="00055052"/>
    <w:rsid w:val="000727E5"/>
    <w:rsid w:val="000733A3"/>
    <w:rsid w:val="000C09A6"/>
    <w:rsid w:val="001011AC"/>
    <w:rsid w:val="001720AF"/>
    <w:rsid w:val="001C71C4"/>
    <w:rsid w:val="002007CE"/>
    <w:rsid w:val="00211F7E"/>
    <w:rsid w:val="00220324"/>
    <w:rsid w:val="002401B5"/>
    <w:rsid w:val="00240E87"/>
    <w:rsid w:val="002555D0"/>
    <w:rsid w:val="002576BC"/>
    <w:rsid w:val="0026547C"/>
    <w:rsid w:val="00270DC9"/>
    <w:rsid w:val="002732B3"/>
    <w:rsid w:val="0029216E"/>
    <w:rsid w:val="002967C5"/>
    <w:rsid w:val="002A207E"/>
    <w:rsid w:val="002B7959"/>
    <w:rsid w:val="002F2BFE"/>
    <w:rsid w:val="002F6A47"/>
    <w:rsid w:val="00302EB5"/>
    <w:rsid w:val="003205C4"/>
    <w:rsid w:val="00330060"/>
    <w:rsid w:val="00347057"/>
    <w:rsid w:val="003523B0"/>
    <w:rsid w:val="0036261B"/>
    <w:rsid w:val="00377B8B"/>
    <w:rsid w:val="003A35E3"/>
    <w:rsid w:val="003B137C"/>
    <w:rsid w:val="003F07A4"/>
    <w:rsid w:val="004314C0"/>
    <w:rsid w:val="004649D7"/>
    <w:rsid w:val="00497521"/>
    <w:rsid w:val="004B5E8A"/>
    <w:rsid w:val="004D1708"/>
    <w:rsid w:val="004D682C"/>
    <w:rsid w:val="00505B2F"/>
    <w:rsid w:val="00515B68"/>
    <w:rsid w:val="00575ABE"/>
    <w:rsid w:val="00582F15"/>
    <w:rsid w:val="00594CFB"/>
    <w:rsid w:val="005E31B9"/>
    <w:rsid w:val="005F24B3"/>
    <w:rsid w:val="00602184"/>
    <w:rsid w:val="00632745"/>
    <w:rsid w:val="006365B6"/>
    <w:rsid w:val="006479E4"/>
    <w:rsid w:val="00663F44"/>
    <w:rsid w:val="006A0CDD"/>
    <w:rsid w:val="006A34E0"/>
    <w:rsid w:val="006B0075"/>
    <w:rsid w:val="00731F5A"/>
    <w:rsid w:val="007368FF"/>
    <w:rsid w:val="00763E1C"/>
    <w:rsid w:val="00775080"/>
    <w:rsid w:val="00775DC1"/>
    <w:rsid w:val="007B0D07"/>
    <w:rsid w:val="007E2AF6"/>
    <w:rsid w:val="007E643F"/>
    <w:rsid w:val="00824F2E"/>
    <w:rsid w:val="00863811"/>
    <w:rsid w:val="00883929"/>
    <w:rsid w:val="0089700C"/>
    <w:rsid w:val="008A4E61"/>
    <w:rsid w:val="008C0726"/>
    <w:rsid w:val="008D6A06"/>
    <w:rsid w:val="0091325F"/>
    <w:rsid w:val="00931CC0"/>
    <w:rsid w:val="00975F39"/>
    <w:rsid w:val="00982A0B"/>
    <w:rsid w:val="00A25042"/>
    <w:rsid w:val="00A30973"/>
    <w:rsid w:val="00A72690"/>
    <w:rsid w:val="00A73AFC"/>
    <w:rsid w:val="00A82397"/>
    <w:rsid w:val="00A84194"/>
    <w:rsid w:val="00AA04E4"/>
    <w:rsid w:val="00AF06FD"/>
    <w:rsid w:val="00AF1F0B"/>
    <w:rsid w:val="00B521D3"/>
    <w:rsid w:val="00B568B1"/>
    <w:rsid w:val="00B91428"/>
    <w:rsid w:val="00B91A13"/>
    <w:rsid w:val="00B9344D"/>
    <w:rsid w:val="00B94827"/>
    <w:rsid w:val="00BA5140"/>
    <w:rsid w:val="00BB5D1B"/>
    <w:rsid w:val="00BC4B4A"/>
    <w:rsid w:val="00BE401D"/>
    <w:rsid w:val="00BF7171"/>
    <w:rsid w:val="00BF7BB7"/>
    <w:rsid w:val="00C1029B"/>
    <w:rsid w:val="00C24829"/>
    <w:rsid w:val="00C32DB4"/>
    <w:rsid w:val="00C64C20"/>
    <w:rsid w:val="00CB3119"/>
    <w:rsid w:val="00CF31E9"/>
    <w:rsid w:val="00D2348C"/>
    <w:rsid w:val="00D42C38"/>
    <w:rsid w:val="00D53639"/>
    <w:rsid w:val="00D75A7C"/>
    <w:rsid w:val="00DD579C"/>
    <w:rsid w:val="00DF4E64"/>
    <w:rsid w:val="00E0756F"/>
    <w:rsid w:val="00E71242"/>
    <w:rsid w:val="00E92F2F"/>
    <w:rsid w:val="00ED748C"/>
    <w:rsid w:val="00F84868"/>
    <w:rsid w:val="00F95538"/>
    <w:rsid w:val="00FA3015"/>
    <w:rsid w:val="00FD7391"/>
    <w:rsid w:val="00FE5FE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F4A0AF"/>
  <w15:chartTrackingRefBased/>
  <w15:docId w15:val="{5FEA9DAB-C771-4049-97F7-FB786C9889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3B137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B137C"/>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3B137C"/>
    <w:rPr>
      <w:color w:val="0563C1" w:themeColor="hyperlink"/>
      <w:u w:val="single"/>
    </w:rPr>
  </w:style>
  <w:style w:type="character" w:styleId="UnresolvedMention">
    <w:name w:val="Unresolved Mention"/>
    <w:basedOn w:val="DefaultParagraphFont"/>
    <w:uiPriority w:val="99"/>
    <w:semiHidden/>
    <w:unhideWhenUsed/>
    <w:rsid w:val="003B137C"/>
    <w:rPr>
      <w:color w:val="605E5C"/>
      <w:shd w:val="clear" w:color="auto" w:fill="E1DFDD"/>
    </w:rPr>
  </w:style>
  <w:style w:type="character" w:styleId="FollowedHyperlink">
    <w:name w:val="FollowedHyperlink"/>
    <w:basedOn w:val="DefaultParagraphFont"/>
    <w:uiPriority w:val="99"/>
    <w:semiHidden/>
    <w:unhideWhenUsed/>
    <w:rsid w:val="00775080"/>
    <w:rPr>
      <w:color w:val="954F72" w:themeColor="followedHyperlink"/>
      <w:u w:val="single"/>
    </w:rPr>
  </w:style>
  <w:style w:type="paragraph" w:styleId="FootnoteText">
    <w:name w:val="footnote text"/>
    <w:basedOn w:val="Normal"/>
    <w:link w:val="FootnoteTextChar"/>
    <w:uiPriority w:val="99"/>
    <w:semiHidden/>
    <w:unhideWhenUsed/>
    <w:rsid w:val="00C1029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C1029B"/>
    <w:rPr>
      <w:sz w:val="20"/>
      <w:szCs w:val="20"/>
    </w:rPr>
  </w:style>
  <w:style w:type="character" w:styleId="FootnoteReference">
    <w:name w:val="footnote reference"/>
    <w:basedOn w:val="DefaultParagraphFont"/>
    <w:uiPriority w:val="99"/>
    <w:semiHidden/>
    <w:unhideWhenUsed/>
    <w:rsid w:val="00C1029B"/>
    <w:rPr>
      <w:vertAlign w:val="superscript"/>
    </w:rPr>
  </w:style>
  <w:style w:type="paragraph" w:styleId="ListParagraph">
    <w:name w:val="List Paragraph"/>
    <w:basedOn w:val="Normal"/>
    <w:uiPriority w:val="34"/>
    <w:qFormat/>
    <w:rsid w:val="00E92F2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9866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jstor.org.ezproxy.uwtsd.ac.uk/stable/j.ctt1287k16.8" TargetMode="External"/><Relationship Id="rId13"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bl.uk/world-war-one/articles/voluntary-recruiting"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l.uk/world-war-one/articles/voluntary-recruiting"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jstor.org.ezproxy.uwtsd.ac.uk/stable/4091650" TargetMode="External"/><Relationship Id="rId4" Type="http://schemas.openxmlformats.org/officeDocument/2006/relationships/settings" Target="settings.xml"/><Relationship Id="rId9" Type="http://schemas.openxmlformats.org/officeDocument/2006/relationships/hyperlink" Target="http://www.jstor.org/stable/4141407" TargetMode="External"/><Relationship Id="rId14" Type="http://schemas.openxmlformats.org/officeDocument/2006/relationships/hyperlink" Target="https://spartacus-educational.com/ARTlumley.htm"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spartacus-educational.com/ARTlumley.htm" TargetMode="External"/><Relationship Id="rId1" Type="http://schemas.openxmlformats.org/officeDocument/2006/relationships/hyperlink" Target="https://www.bl.uk/world-war-one/articles/voluntary-recruit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038135E-2943-47C5-BCB3-622F768865A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636</TotalTime>
  <Pages>6</Pages>
  <Words>2326</Words>
  <Characters>13260</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 Plunkett</dc:creator>
  <cp:keywords/>
  <dc:description/>
  <cp:lastModifiedBy>Jess Plunkett</cp:lastModifiedBy>
  <cp:revision>89</cp:revision>
  <dcterms:created xsi:type="dcterms:W3CDTF">2019-11-15T03:32:00Z</dcterms:created>
  <dcterms:modified xsi:type="dcterms:W3CDTF">2019-11-15T21:50:00Z</dcterms:modified>
</cp:coreProperties>
</file>