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1582C" w:rsidRDefault="00D1582C">
      <w:pPr>
        <w:rPr>
          <w:rFonts w:ascii="Arial" w:eastAsia="Arial" w:hAnsi="Arial" w:cs="Arial"/>
          <w:sz w:val="22"/>
          <w:szCs w:val="22"/>
        </w:rPr>
      </w:pPr>
    </w:p>
    <w:p w14:paraId="00000002" w14:textId="77777777" w:rsidR="00D1582C" w:rsidRPr="006E7ECF" w:rsidRDefault="00D1582C">
      <w:pPr>
        <w:rPr>
          <w:rFonts w:ascii="Arial" w:eastAsia="Arial" w:hAnsi="Arial" w:cs="Arial"/>
          <w:sz w:val="28"/>
          <w:szCs w:val="28"/>
        </w:rPr>
      </w:pPr>
    </w:p>
    <w:p w14:paraId="00000003" w14:textId="77777777" w:rsidR="00D1582C" w:rsidRPr="006E7ECF" w:rsidRDefault="006E7ECF">
      <w:pPr>
        <w:jc w:val="center"/>
        <w:rPr>
          <w:rFonts w:ascii="Arial" w:eastAsia="Arial" w:hAnsi="Arial" w:cs="Arial"/>
          <w:b/>
          <w:sz w:val="28"/>
          <w:szCs w:val="28"/>
        </w:rPr>
      </w:pPr>
      <w:r w:rsidRPr="006E7ECF">
        <w:rPr>
          <w:rFonts w:ascii="Arial" w:eastAsia="Arial" w:hAnsi="Arial" w:cs="Arial"/>
          <w:b/>
          <w:sz w:val="28"/>
          <w:szCs w:val="28"/>
        </w:rPr>
        <w:t>Module: Psychology for Health and Social Care</w:t>
      </w:r>
    </w:p>
    <w:p w14:paraId="00000004" w14:textId="77777777" w:rsidR="00D1582C" w:rsidRPr="006E7ECF" w:rsidRDefault="006E7ECF">
      <w:pPr>
        <w:jc w:val="center"/>
        <w:rPr>
          <w:rFonts w:ascii="Arial" w:eastAsia="Arial" w:hAnsi="Arial" w:cs="Arial"/>
          <w:b/>
          <w:sz w:val="28"/>
          <w:szCs w:val="28"/>
        </w:rPr>
      </w:pPr>
      <w:r w:rsidRPr="006E7ECF">
        <w:rPr>
          <w:rFonts w:ascii="Arial" w:eastAsia="Arial" w:hAnsi="Arial" w:cs="Arial"/>
          <w:b/>
          <w:sz w:val="28"/>
          <w:szCs w:val="28"/>
        </w:rPr>
        <w:t>Module code: BMHP4003_BIRM</w:t>
      </w:r>
    </w:p>
    <w:p w14:paraId="00000005" w14:textId="77777777" w:rsidR="00D1582C" w:rsidRDefault="00D1582C">
      <w:pPr>
        <w:jc w:val="center"/>
        <w:rPr>
          <w:rFonts w:ascii="Arial" w:eastAsia="Arial" w:hAnsi="Arial" w:cs="Arial"/>
          <w:sz w:val="22"/>
          <w:szCs w:val="22"/>
        </w:rPr>
      </w:pPr>
    </w:p>
    <w:p w14:paraId="00000006" w14:textId="1AD97B8D" w:rsidR="00D1582C" w:rsidRDefault="00D1582C">
      <w:pPr>
        <w:jc w:val="center"/>
        <w:rPr>
          <w:rFonts w:ascii="Arial" w:eastAsia="Arial" w:hAnsi="Arial" w:cs="Arial"/>
          <w:sz w:val="22"/>
          <w:szCs w:val="22"/>
        </w:rPr>
      </w:pPr>
    </w:p>
    <w:p w14:paraId="2465A1E6" w14:textId="6A00A794" w:rsidR="006E7ECF" w:rsidRDefault="006E7ECF">
      <w:pPr>
        <w:jc w:val="center"/>
        <w:rPr>
          <w:rFonts w:ascii="Arial" w:eastAsia="Arial" w:hAnsi="Arial" w:cs="Arial"/>
          <w:sz w:val="22"/>
          <w:szCs w:val="22"/>
        </w:rPr>
      </w:pPr>
    </w:p>
    <w:p w14:paraId="3629CD5B" w14:textId="77777777" w:rsidR="006E7ECF" w:rsidRDefault="006E7ECF">
      <w:pPr>
        <w:jc w:val="center"/>
        <w:rPr>
          <w:rFonts w:ascii="Arial" w:eastAsia="Arial" w:hAnsi="Arial" w:cs="Arial"/>
          <w:sz w:val="22"/>
          <w:szCs w:val="22"/>
        </w:rPr>
      </w:pPr>
    </w:p>
    <w:p w14:paraId="00000007" w14:textId="77777777" w:rsidR="00D1582C" w:rsidRDefault="00D1582C">
      <w:pPr>
        <w:jc w:val="center"/>
        <w:rPr>
          <w:rFonts w:ascii="Arial" w:eastAsia="Arial" w:hAnsi="Arial" w:cs="Arial"/>
          <w:sz w:val="22"/>
          <w:szCs w:val="22"/>
        </w:rPr>
      </w:pPr>
    </w:p>
    <w:p w14:paraId="00000008" w14:textId="77777777" w:rsidR="00D1582C" w:rsidRDefault="00D1582C">
      <w:pPr>
        <w:jc w:val="center"/>
        <w:rPr>
          <w:rFonts w:ascii="Arial" w:eastAsia="Arial" w:hAnsi="Arial" w:cs="Arial"/>
          <w:sz w:val="22"/>
          <w:szCs w:val="22"/>
        </w:rPr>
      </w:pPr>
    </w:p>
    <w:p w14:paraId="00000009" w14:textId="0EF91AAA" w:rsidR="00D1582C" w:rsidRPr="006E7ECF" w:rsidRDefault="006E7ECF">
      <w:pPr>
        <w:jc w:val="center"/>
        <w:rPr>
          <w:rFonts w:ascii="Arial" w:eastAsia="Arial" w:hAnsi="Arial" w:cs="Arial"/>
          <w:b/>
          <w:bCs/>
        </w:rPr>
      </w:pPr>
      <w:r w:rsidRPr="006E7ECF">
        <w:rPr>
          <w:rFonts w:ascii="Arial" w:eastAsia="Arial" w:hAnsi="Arial" w:cs="Arial"/>
          <w:b/>
          <w:bCs/>
        </w:rPr>
        <w:t xml:space="preserve">Student Name: </w:t>
      </w:r>
      <w:r w:rsidR="004E1D62">
        <w:rPr>
          <w:rFonts w:ascii="Arial" w:eastAsia="Arial" w:hAnsi="Arial" w:cs="Arial"/>
          <w:b/>
          <w:bCs/>
        </w:rPr>
        <w:t xml:space="preserve">Edie </w:t>
      </w:r>
      <w:proofErr w:type="spellStart"/>
      <w:r w:rsidR="004E1D62">
        <w:rPr>
          <w:rFonts w:ascii="Arial" w:eastAsia="Arial" w:hAnsi="Arial" w:cs="Arial"/>
          <w:b/>
          <w:bCs/>
        </w:rPr>
        <w:t>Jobe-Njie</w:t>
      </w:r>
      <w:proofErr w:type="spellEnd"/>
    </w:p>
    <w:p w14:paraId="0000000A" w14:textId="5188BDAA" w:rsidR="00D1582C" w:rsidRDefault="006E7ECF">
      <w:pPr>
        <w:jc w:val="center"/>
        <w:rPr>
          <w:rFonts w:ascii="Arial" w:eastAsia="Arial" w:hAnsi="Arial" w:cs="Arial"/>
          <w:b/>
          <w:bCs/>
        </w:rPr>
      </w:pPr>
      <w:r w:rsidRPr="006E7ECF">
        <w:rPr>
          <w:rFonts w:ascii="Arial" w:eastAsia="Arial" w:hAnsi="Arial" w:cs="Arial"/>
          <w:b/>
          <w:bCs/>
        </w:rPr>
        <w:t xml:space="preserve">Student ID: </w:t>
      </w:r>
      <w:r w:rsidR="004E1D62">
        <w:rPr>
          <w:rFonts w:ascii="Arial" w:eastAsia="Arial" w:hAnsi="Arial" w:cs="Arial"/>
          <w:b/>
          <w:bCs/>
        </w:rPr>
        <w:t>1917941</w:t>
      </w:r>
    </w:p>
    <w:p w14:paraId="05E0FA0E" w14:textId="51F32200" w:rsidR="004E1D62" w:rsidRPr="006E7ECF" w:rsidRDefault="004E1D62">
      <w:pPr>
        <w:jc w:val="center"/>
        <w:rPr>
          <w:rFonts w:ascii="Arial" w:eastAsia="Arial" w:hAnsi="Arial" w:cs="Arial"/>
          <w:b/>
          <w:bCs/>
        </w:rPr>
      </w:pPr>
      <w:r>
        <w:rPr>
          <w:rFonts w:ascii="Arial" w:eastAsia="Arial" w:hAnsi="Arial" w:cs="Arial"/>
          <w:b/>
          <w:bCs/>
        </w:rPr>
        <w:t>Lecturers Name: Rebecca Kavanagh</w:t>
      </w:r>
    </w:p>
    <w:p w14:paraId="0000000B" w14:textId="77777777" w:rsidR="00D1582C" w:rsidRPr="006E7ECF" w:rsidRDefault="006E7ECF">
      <w:pPr>
        <w:rPr>
          <w:rFonts w:ascii="Calibri" w:eastAsia="Calibri" w:hAnsi="Calibri" w:cs="Calibri"/>
          <w:b/>
          <w:bCs/>
          <w:color w:val="2F5496"/>
          <w:sz w:val="36"/>
          <w:szCs w:val="36"/>
        </w:rPr>
      </w:pPr>
      <w:r w:rsidRPr="006E7ECF">
        <w:rPr>
          <w:b/>
          <w:bCs/>
          <w:sz w:val="28"/>
          <w:szCs w:val="28"/>
        </w:rPr>
        <w:br w:type="page"/>
      </w:r>
    </w:p>
    <w:p w14:paraId="0000000C" w14:textId="77777777" w:rsidR="00D1582C" w:rsidRDefault="006E7ECF">
      <w:pPr>
        <w:keepNext/>
        <w:keepLines/>
        <w:pBdr>
          <w:top w:val="nil"/>
          <w:left w:val="nil"/>
          <w:bottom w:val="nil"/>
          <w:right w:val="nil"/>
          <w:between w:val="nil"/>
        </w:pBdr>
        <w:spacing w:before="240" w:after="0" w:line="259" w:lineRule="auto"/>
        <w:jc w:val="left"/>
        <w:rPr>
          <w:b/>
          <w:color w:val="1F3864"/>
          <w:sz w:val="28"/>
          <w:szCs w:val="28"/>
        </w:rPr>
      </w:pPr>
      <w:r>
        <w:rPr>
          <w:b/>
          <w:color w:val="1F3864"/>
          <w:sz w:val="28"/>
          <w:szCs w:val="28"/>
        </w:rPr>
        <w:lastRenderedPageBreak/>
        <w:t>Table of Contents</w:t>
      </w:r>
    </w:p>
    <w:sdt>
      <w:sdtPr>
        <w:id w:val="-1418481033"/>
        <w:docPartObj>
          <w:docPartGallery w:val="Table of Contents"/>
          <w:docPartUnique/>
        </w:docPartObj>
      </w:sdtPr>
      <w:sdtEndPr/>
      <w:sdtContent>
        <w:p w14:paraId="0000000D" w14:textId="77777777" w:rsidR="00D1582C" w:rsidRDefault="006E7ECF">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0000000E" w14:textId="77777777" w:rsidR="00D1582C" w:rsidRDefault="004E1D62">
          <w:pPr>
            <w:pBdr>
              <w:top w:val="nil"/>
              <w:left w:val="nil"/>
              <w:bottom w:val="nil"/>
              <w:right w:val="nil"/>
              <w:between w:val="nil"/>
            </w:pBdr>
            <w:tabs>
              <w:tab w:val="right" w:pos="9350"/>
            </w:tabs>
            <w:spacing w:after="100"/>
            <w:rPr>
              <w:color w:val="000000"/>
            </w:rPr>
          </w:pPr>
          <w:hyperlink w:anchor="_heading=h.30j0zll">
            <w:r w:rsidR="006E7ECF">
              <w:rPr>
                <w:color w:val="000000"/>
              </w:rPr>
              <w:t>Social Identity theory</w:t>
            </w:r>
            <w:r w:rsidR="006E7ECF">
              <w:rPr>
                <w:color w:val="000000"/>
              </w:rPr>
              <w:tab/>
              <w:t>3</w:t>
            </w:r>
          </w:hyperlink>
        </w:p>
        <w:p w14:paraId="0000000F" w14:textId="77777777" w:rsidR="00D1582C" w:rsidRDefault="004E1D62">
          <w:pPr>
            <w:pBdr>
              <w:top w:val="nil"/>
              <w:left w:val="nil"/>
              <w:bottom w:val="nil"/>
              <w:right w:val="nil"/>
              <w:between w:val="nil"/>
            </w:pBdr>
            <w:tabs>
              <w:tab w:val="right" w:pos="9350"/>
            </w:tabs>
            <w:spacing w:after="100"/>
            <w:rPr>
              <w:color w:val="000000"/>
            </w:rPr>
          </w:pPr>
          <w:hyperlink w:anchor="_heading=h.1fob9te">
            <w:r w:rsidR="006E7ECF">
              <w:rPr>
                <w:color w:val="000000"/>
              </w:rPr>
              <w:t>Attribution theory</w:t>
            </w:r>
            <w:r w:rsidR="006E7ECF">
              <w:rPr>
                <w:color w:val="000000"/>
              </w:rPr>
              <w:tab/>
              <w:t>3</w:t>
            </w:r>
          </w:hyperlink>
        </w:p>
        <w:p w14:paraId="00000010" w14:textId="77777777" w:rsidR="00D1582C" w:rsidRDefault="004E1D62">
          <w:pPr>
            <w:pBdr>
              <w:top w:val="nil"/>
              <w:left w:val="nil"/>
              <w:bottom w:val="nil"/>
              <w:right w:val="nil"/>
              <w:between w:val="nil"/>
            </w:pBdr>
            <w:tabs>
              <w:tab w:val="right" w:pos="9350"/>
            </w:tabs>
            <w:spacing w:after="100"/>
            <w:rPr>
              <w:color w:val="000000"/>
            </w:rPr>
          </w:pPr>
          <w:hyperlink w:anchor="_heading=h.3znysh7">
            <w:r w:rsidR="006E7ECF">
              <w:rPr>
                <w:color w:val="000000"/>
              </w:rPr>
              <w:t>Frustration aggression hypothesis</w:t>
            </w:r>
            <w:r w:rsidR="006E7ECF">
              <w:rPr>
                <w:color w:val="000000"/>
              </w:rPr>
              <w:tab/>
              <w:t>4</w:t>
            </w:r>
          </w:hyperlink>
        </w:p>
        <w:p w14:paraId="00000011" w14:textId="77777777" w:rsidR="00D1582C" w:rsidRDefault="004E1D62">
          <w:pPr>
            <w:pBdr>
              <w:top w:val="nil"/>
              <w:left w:val="nil"/>
              <w:bottom w:val="nil"/>
              <w:right w:val="nil"/>
              <w:between w:val="nil"/>
            </w:pBdr>
            <w:tabs>
              <w:tab w:val="right" w:pos="9350"/>
            </w:tabs>
            <w:spacing w:after="100"/>
            <w:rPr>
              <w:color w:val="000000"/>
            </w:rPr>
          </w:pPr>
          <w:hyperlink w:anchor="_heading=h.2et92p0">
            <w:r w:rsidR="006E7ECF">
              <w:rPr>
                <w:color w:val="000000"/>
              </w:rPr>
              <w:t>The service User’s condition</w:t>
            </w:r>
            <w:r w:rsidR="006E7ECF">
              <w:rPr>
                <w:color w:val="000000"/>
              </w:rPr>
              <w:tab/>
              <w:t>5</w:t>
            </w:r>
          </w:hyperlink>
        </w:p>
        <w:p w14:paraId="00000012" w14:textId="77777777" w:rsidR="00D1582C" w:rsidRDefault="004E1D62">
          <w:pPr>
            <w:pBdr>
              <w:top w:val="nil"/>
              <w:left w:val="nil"/>
              <w:bottom w:val="nil"/>
              <w:right w:val="nil"/>
              <w:between w:val="nil"/>
            </w:pBdr>
            <w:tabs>
              <w:tab w:val="right" w:pos="9350"/>
            </w:tabs>
            <w:spacing w:after="100"/>
            <w:rPr>
              <w:color w:val="000000"/>
            </w:rPr>
          </w:pPr>
          <w:hyperlink w:anchor="_heading=h.tyjcwt">
            <w:r w:rsidR="006E7ECF">
              <w:rPr>
                <w:color w:val="000000"/>
              </w:rPr>
              <w:t>Impact of counselling for individuals</w:t>
            </w:r>
            <w:r w:rsidR="006E7ECF">
              <w:rPr>
                <w:color w:val="000000"/>
              </w:rPr>
              <w:tab/>
              <w:t>5</w:t>
            </w:r>
          </w:hyperlink>
        </w:p>
        <w:p w14:paraId="00000013" w14:textId="77777777" w:rsidR="00D1582C" w:rsidRDefault="004E1D62">
          <w:pPr>
            <w:pBdr>
              <w:top w:val="nil"/>
              <w:left w:val="nil"/>
              <w:bottom w:val="nil"/>
              <w:right w:val="nil"/>
              <w:between w:val="nil"/>
            </w:pBdr>
            <w:tabs>
              <w:tab w:val="right" w:pos="9350"/>
            </w:tabs>
            <w:spacing w:after="100"/>
            <w:rPr>
              <w:color w:val="000000"/>
            </w:rPr>
          </w:pPr>
          <w:hyperlink w:anchor="_heading=h.3dy6vkm">
            <w:r w:rsidR="006E7ECF">
              <w:rPr>
                <w:color w:val="000000"/>
              </w:rPr>
              <w:t>Rates of suicide in the 15 years age group</w:t>
            </w:r>
            <w:r w:rsidR="006E7ECF">
              <w:rPr>
                <w:color w:val="000000"/>
              </w:rPr>
              <w:tab/>
              <w:t>6</w:t>
            </w:r>
          </w:hyperlink>
        </w:p>
        <w:p w14:paraId="00000014" w14:textId="77777777" w:rsidR="00D1582C" w:rsidRDefault="004E1D62">
          <w:pPr>
            <w:pBdr>
              <w:top w:val="nil"/>
              <w:left w:val="nil"/>
              <w:bottom w:val="nil"/>
              <w:right w:val="nil"/>
              <w:between w:val="nil"/>
            </w:pBdr>
            <w:tabs>
              <w:tab w:val="right" w:pos="9350"/>
            </w:tabs>
            <w:spacing w:after="100"/>
            <w:rPr>
              <w:color w:val="000000"/>
            </w:rPr>
          </w:pPr>
          <w:hyperlink w:anchor="_heading=h.1t3h5sf">
            <w:r w:rsidR="006E7ECF">
              <w:rPr>
                <w:color w:val="000000"/>
              </w:rPr>
              <w:t>Recommendations</w:t>
            </w:r>
            <w:r w:rsidR="006E7ECF">
              <w:rPr>
                <w:color w:val="000000"/>
              </w:rPr>
              <w:tab/>
              <w:t>6</w:t>
            </w:r>
          </w:hyperlink>
        </w:p>
        <w:p w14:paraId="00000015" w14:textId="77777777" w:rsidR="00D1582C" w:rsidRDefault="004E1D62">
          <w:pPr>
            <w:pBdr>
              <w:top w:val="nil"/>
              <w:left w:val="nil"/>
              <w:bottom w:val="nil"/>
              <w:right w:val="nil"/>
              <w:between w:val="nil"/>
            </w:pBdr>
            <w:tabs>
              <w:tab w:val="right" w:pos="9350"/>
            </w:tabs>
            <w:spacing w:after="100"/>
            <w:rPr>
              <w:color w:val="000000"/>
            </w:rPr>
          </w:pPr>
          <w:hyperlink w:anchor="_heading=h.4d34og8">
            <w:r w:rsidR="006E7ECF">
              <w:rPr>
                <w:color w:val="000000"/>
              </w:rPr>
              <w:t>Conclusion</w:t>
            </w:r>
            <w:r w:rsidR="006E7ECF">
              <w:rPr>
                <w:color w:val="000000"/>
              </w:rPr>
              <w:tab/>
              <w:t>6</w:t>
            </w:r>
          </w:hyperlink>
        </w:p>
        <w:p w14:paraId="00000016" w14:textId="77777777" w:rsidR="00D1582C" w:rsidRDefault="004E1D62">
          <w:pPr>
            <w:pBdr>
              <w:top w:val="nil"/>
              <w:left w:val="nil"/>
              <w:bottom w:val="nil"/>
              <w:right w:val="nil"/>
              <w:between w:val="nil"/>
            </w:pBdr>
            <w:tabs>
              <w:tab w:val="right" w:pos="9350"/>
            </w:tabs>
            <w:spacing w:after="100"/>
            <w:rPr>
              <w:color w:val="000000"/>
            </w:rPr>
          </w:pPr>
          <w:hyperlink w:anchor="_heading=h.2s8eyo1">
            <w:r w:rsidR="006E7ECF">
              <w:rPr>
                <w:color w:val="000000"/>
              </w:rPr>
              <w:t>References</w:t>
            </w:r>
            <w:r w:rsidR="006E7ECF">
              <w:rPr>
                <w:color w:val="000000"/>
              </w:rPr>
              <w:tab/>
              <w:t>7</w:t>
            </w:r>
          </w:hyperlink>
        </w:p>
        <w:p w14:paraId="00000017" w14:textId="77777777" w:rsidR="00D1582C" w:rsidRDefault="006E7ECF">
          <w:r>
            <w:fldChar w:fldCharType="end"/>
          </w:r>
        </w:p>
      </w:sdtContent>
    </w:sdt>
    <w:p w14:paraId="00000018" w14:textId="77777777" w:rsidR="00D1582C" w:rsidRDefault="00D1582C">
      <w:pPr>
        <w:pStyle w:val="Heading1"/>
      </w:pPr>
    </w:p>
    <w:p w14:paraId="00000019" w14:textId="77777777" w:rsidR="00D1582C" w:rsidRDefault="006E7ECF">
      <w:pPr>
        <w:rPr>
          <w:rFonts w:ascii="Calibri" w:eastAsia="Calibri" w:hAnsi="Calibri" w:cs="Calibri"/>
          <w:color w:val="2F5496"/>
          <w:sz w:val="32"/>
          <w:szCs w:val="32"/>
        </w:rPr>
      </w:pPr>
      <w:r>
        <w:br w:type="page"/>
      </w:r>
    </w:p>
    <w:p w14:paraId="0000001A" w14:textId="77777777" w:rsidR="00D1582C" w:rsidRDefault="006E7ECF">
      <w:pPr>
        <w:pStyle w:val="Heading1"/>
      </w:pPr>
      <w:bookmarkStart w:id="0" w:name="_heading=h.gjdgxs" w:colFirst="0" w:colLast="0"/>
      <w:bookmarkEnd w:id="0"/>
      <w:r>
        <w:lastRenderedPageBreak/>
        <w:t>Introduction</w:t>
      </w:r>
    </w:p>
    <w:p w14:paraId="0000001B" w14:textId="77777777" w:rsidR="00D1582C" w:rsidRDefault="006E7ECF">
      <w:r>
        <w:t xml:space="preserve">Health care can be said to be a susceptible industry. Within this industry, the care receivers are almost always under physical ailment. In such circumstances, the caregivers must show a high degree of empathy. The caregivers should also be well aware of the different theories and should be able to understand the underlying reasons behind specific behaviour of the care receivers (Buchbinder, 2016). This report will analyse the case of a local counselling centre while shedding light on the reasons behind a particular interaction between an employee of the organisation and the care receiver. </w:t>
      </w:r>
    </w:p>
    <w:p w14:paraId="0000001C" w14:textId="77777777" w:rsidR="00D1582C" w:rsidRDefault="006E7ECF">
      <w:pPr>
        <w:pStyle w:val="Heading1"/>
      </w:pPr>
      <w:bookmarkStart w:id="1" w:name="_heading=h.30j0zll" w:colFirst="0" w:colLast="0"/>
      <w:bookmarkEnd w:id="1"/>
      <w:r>
        <w:t>Social Identity theory</w:t>
      </w:r>
    </w:p>
    <w:p w14:paraId="0000001D" w14:textId="77777777" w:rsidR="00D1582C" w:rsidRDefault="006E7ECF">
      <w:r>
        <w:t xml:space="preserve">Social identity theory is a theoretical demonstration and analysis of the behaviours of individuals which is believed to be impacted by the perceived social standing of an individual. This theory states that the inclusion of an individual in particular social groups acts as a source of identity and pride for an individual (Hayden, 2017). The individuals who are in a social group perceive themselves to be different from the other social groups. In this case, the 15-year-old boy could be observed to be part of a football team which he had to, unfortunately, lose his spot on due to his medical condition. Based on the group an individual perceives himself or herself in, they broadly categorise all other groups and their groups in two primary types. The group types are in groups and out-groups. The stages in this social identity theory include three crucial stages. The first stage is categorisation. At this stage, an individual assesses different social groups and categorises them based on their perceived similarities and dissimilarities. The second stage is social identification. At this stage, the individual joins a group and identifies himself or herself to be a part of that group. In this case, it could be observed that the 15-year-old patient identifies himself to be part of the athletic, social group. The final stage is social comparison. At this stage, an individual compares their group with other social groups and analyses the perceived similarities and distinctions. This stage also acts as a source of self-esteem for the individual as they compare themselves with other social groups. </w:t>
      </w:r>
    </w:p>
    <w:p w14:paraId="0000001E" w14:textId="77777777" w:rsidR="00D1582C" w:rsidRDefault="006E7ECF">
      <w:pPr>
        <w:rPr>
          <w:b/>
          <w:color w:val="1F3864"/>
          <w:sz w:val="28"/>
          <w:szCs w:val="28"/>
        </w:rPr>
      </w:pPr>
      <w:bookmarkStart w:id="2" w:name="_heading=h.1fob9te" w:colFirst="0" w:colLast="0"/>
      <w:bookmarkEnd w:id="2"/>
      <w:r>
        <w:br w:type="page"/>
      </w:r>
    </w:p>
    <w:p w14:paraId="0000001F" w14:textId="77777777" w:rsidR="00D1582C" w:rsidRDefault="006E7ECF">
      <w:pPr>
        <w:pStyle w:val="Heading1"/>
      </w:pPr>
      <w:r>
        <w:lastRenderedPageBreak/>
        <w:t>Attribution theory</w:t>
      </w:r>
    </w:p>
    <w:p w14:paraId="00000020" w14:textId="77777777" w:rsidR="00D1582C" w:rsidRDefault="006E7ECF">
      <w:r>
        <w:t xml:space="preserve">Attribution theory aims at explaining the underlying causes for particular behaviour in certain conditions. This theory aims to understand how people react to certain information and tries to piece together an explanation for certain behaviours in certain circumstances based on the available information. This theory was developed by Heider in 1958. He presumed that the natural propensity of humans is to develop a cause and effect relationship in every circumstance (Little, 2016). In this case, however, this theory could be applied. The first case that could be analysed under this theory would be that of the misbehaviour of the 15-year-old boy. The misbehaviour could be attributed to his reception of the bad news regarding his physical condition. There were also additional factors, such as his dismissal from the football team. He then being under physical pain can also cause his misbehaviour. The second case that could be analysed is the behaviour of the caregiver. The caregiver raising her voice could be attributed to the repeated misbehaviour she received from the 15-year-old boy. </w:t>
      </w:r>
    </w:p>
    <w:p w14:paraId="00000021" w14:textId="77777777" w:rsidR="00D1582C" w:rsidRDefault="006E7ECF">
      <w:pPr>
        <w:pStyle w:val="Heading1"/>
      </w:pPr>
      <w:bookmarkStart w:id="3" w:name="_heading=h.3znysh7" w:colFirst="0" w:colLast="0"/>
      <w:bookmarkEnd w:id="3"/>
      <w:r>
        <w:t>Frustration aggression hypothesis</w:t>
      </w:r>
    </w:p>
    <w:p w14:paraId="00000022" w14:textId="77777777" w:rsidR="00D1582C" w:rsidRDefault="006E7ECF">
      <w:r>
        <w:t xml:space="preserve">The frustration-aggression hypothesis could be a handy tool in understanding the behaviour of both the employee and patient in the given case. The frustration-aggression hypothesis states that the aggression or aggressive behaviour of an individual is often caused by the failure of the individual in meeting their goals. And that frustration often results in aggressive behaviour. In such a context, the frustrated individuals select one as their scapegoat and as a release for their frustration, they behave aggressively. This scapegoating behaviour is often aimed at social minorities or groups perceived to be weaker than the individual (Marks, 2018). In this case, it could be observed that the 15-year boy was without a doubt frustrated with his life given the medical condition. He, unfortunately, could not achieve his goal of playing football despite initially having the qualification to join the football team—this frustration, along with his medical condition, brought out the aggressive behaviour of the individual. The caregiver is a medical professional, and listening to the news of his physical condition from a similar medical condition, he might have selected medical professionals as the scapegoat for this aggressive behaviour. In the case of the caregiver, she had the goal of being an efficient employee in an environment where everyone follows the due procedure. But the aggression of the young boy stood in the way of her goal. This led to her frustration and later the aggression towards the boy. </w:t>
      </w:r>
    </w:p>
    <w:p w14:paraId="00000023" w14:textId="77777777" w:rsidR="00D1582C" w:rsidRDefault="006E7ECF">
      <w:pPr>
        <w:pStyle w:val="Heading1"/>
      </w:pPr>
      <w:bookmarkStart w:id="4" w:name="_heading=h.2et92p0" w:colFirst="0" w:colLast="0"/>
      <w:bookmarkEnd w:id="4"/>
      <w:r>
        <w:lastRenderedPageBreak/>
        <w:t>The service User’s condition</w:t>
      </w:r>
    </w:p>
    <w:p w14:paraId="00000024" w14:textId="77777777" w:rsidR="00D1582C" w:rsidRDefault="006E7ECF">
      <w:r>
        <w:t>The service user in the case could be observed to be a 15-year-old boy. The boy has been diagnosed with Emery-</w:t>
      </w:r>
      <w:proofErr w:type="spellStart"/>
      <w:r>
        <w:t>Dreifuss</w:t>
      </w:r>
      <w:proofErr w:type="spellEnd"/>
      <w:r>
        <w:t xml:space="preserve"> Muscular Dystrophy. He was initially a part of Aston Villa football academy, but he had to give up his place in that social group due to his physical condition. He also has anxiety and depression resulting from his physical condition and following events. In such a state, he had even attempted suicide. Given the condition, he had an aggressive outburst in the local counselling centre. </w:t>
      </w:r>
    </w:p>
    <w:p w14:paraId="00000025" w14:textId="77777777" w:rsidR="00D1582C" w:rsidRDefault="006E7ECF">
      <w:pPr>
        <w:pStyle w:val="Heading1"/>
      </w:pPr>
      <w:bookmarkStart w:id="5" w:name="_heading=h.tyjcwt" w:colFirst="0" w:colLast="0"/>
      <w:bookmarkEnd w:id="5"/>
      <w:r>
        <w:t>Impact of counselling for individuals</w:t>
      </w:r>
    </w:p>
    <w:p w14:paraId="00000026" w14:textId="77777777" w:rsidR="00D1582C" w:rsidRDefault="006E7ECF">
      <w:r>
        <w:t xml:space="preserve">The impact of counselling could be different on different individuals. The impact and the nature of the counselling would be different in almost every case based on the nature of the problem of the care receiver. The more generalised impact of counselling is mentioned below. </w:t>
      </w:r>
    </w:p>
    <w:p w14:paraId="00000027" w14:textId="77777777" w:rsidR="00D1582C" w:rsidRDefault="006E7ECF">
      <w:pPr>
        <w:rPr>
          <w:b/>
        </w:rPr>
      </w:pPr>
      <w:r>
        <w:rPr>
          <w:b/>
        </w:rPr>
        <w:t xml:space="preserve">Mental Support: </w:t>
      </w:r>
      <w:r>
        <w:t xml:space="preserve">The first impact counselling can have for an individual would be undeniable mental support. Once in a while, everybody needs someone to listen. The counsellor provides their valuable time in listening to the problems. This makes an individual feel valued (Hobson, 2016). </w:t>
      </w:r>
    </w:p>
    <w:p w14:paraId="00000028" w14:textId="77777777" w:rsidR="00D1582C" w:rsidRDefault="006E7ECF">
      <w:pPr>
        <w:rPr>
          <w:b/>
        </w:rPr>
      </w:pPr>
      <w:r>
        <w:rPr>
          <w:b/>
        </w:rPr>
        <w:t xml:space="preserve">Sheds light into the bright side: </w:t>
      </w:r>
      <w:r>
        <w:t xml:space="preserve">The second impact of counselling for an individual is that it helps them to see the better sides of their current condition. Taking the help of a therapist or counsellor enables one to see a thing from a broader perspective. </w:t>
      </w:r>
    </w:p>
    <w:p w14:paraId="00000029" w14:textId="77777777" w:rsidR="00D1582C" w:rsidRDefault="006E7ECF">
      <w:pPr>
        <w:rPr>
          <w:b/>
        </w:rPr>
      </w:pPr>
      <w:r>
        <w:rPr>
          <w:b/>
        </w:rPr>
        <w:t xml:space="preserve">Identifies what an individual can do differently: </w:t>
      </w:r>
      <w:r>
        <w:t xml:space="preserve">The third advantage of counselling remains that it helps identify behavioural changes that can help an individual. With counselling, the individual understands the current predicament better. The therapist can also identify what the care receiver can do differently to have a different outcome (Eddington, 2017). </w:t>
      </w:r>
    </w:p>
    <w:p w14:paraId="0000002A" w14:textId="77777777" w:rsidR="00D1582C" w:rsidRDefault="006E7ECF">
      <w:pPr>
        <w:rPr>
          <w:b/>
        </w:rPr>
      </w:pPr>
      <w:r>
        <w:rPr>
          <w:b/>
        </w:rPr>
        <w:t xml:space="preserve">Helps to face the thoughts: </w:t>
      </w:r>
      <w:r>
        <w:t xml:space="preserve">Often, the reason behind resentment, anxiety and depression are subconscious thoughts. While in ordinary circumstances, one might not want to face such thoughts, they, however, hurt mental health. The help of a therapist helps face such thoughts and overcome mental duress. </w:t>
      </w:r>
    </w:p>
    <w:p w14:paraId="0000002B" w14:textId="77777777" w:rsidR="00D1582C" w:rsidRDefault="006E7ECF">
      <w:pPr>
        <w:rPr>
          <w:b/>
        </w:rPr>
      </w:pPr>
      <w:r>
        <w:rPr>
          <w:b/>
        </w:rPr>
        <w:t xml:space="preserve">Learning new skills: </w:t>
      </w:r>
      <w:r>
        <w:t xml:space="preserve">Many problems individuals have in their personal and professional life that prompts one to seek help from a therapist results from the lack of a coping mechanism to problems </w:t>
      </w:r>
      <w:r>
        <w:lastRenderedPageBreak/>
        <w:t xml:space="preserve">(Craig, 2019). The help of a therapist could help one to identify skills that would enable them to cope with specific situations. </w:t>
      </w:r>
    </w:p>
    <w:p w14:paraId="0000002C" w14:textId="77777777" w:rsidR="00D1582C" w:rsidRDefault="006E7ECF">
      <w:pPr>
        <w:pStyle w:val="Heading1"/>
      </w:pPr>
      <w:bookmarkStart w:id="6" w:name="_heading=h.3dy6vkm" w:colFirst="0" w:colLast="0"/>
      <w:bookmarkEnd w:id="6"/>
      <w:r>
        <w:t>Rates of suicide in the 15 years age group</w:t>
      </w:r>
    </w:p>
    <w:p w14:paraId="0000002D" w14:textId="77777777" w:rsidR="00D1582C" w:rsidRDefault="006E7ECF">
      <w:r>
        <w:t xml:space="preserve">One of the most problematic aspects of our modern society is the lack of support for young adults. This lack of support sometimes results in depression and often takes a more sinister turn with suicide. But unfortunately, the symptom of this problem being suicide, can be seen to be on the rise. Based on a survey by WHO on suicide and mortality rate, the suicide rate for individuals within the 15-25 age group is a staggering number of 100,000 in the USA (Wasserman, 2016). This problem, however, is only the symptom of more deep-rooted issues within society. To name a few, such problems could include intense pressure, lack of support and lack of adequate help.   </w:t>
      </w:r>
    </w:p>
    <w:p w14:paraId="0000002E" w14:textId="77777777" w:rsidR="00D1582C" w:rsidRDefault="006E7ECF">
      <w:pPr>
        <w:pStyle w:val="Heading1"/>
      </w:pPr>
      <w:bookmarkStart w:id="7" w:name="_heading=h.1t3h5sf" w:colFirst="0" w:colLast="0"/>
      <w:bookmarkEnd w:id="7"/>
      <w:r>
        <w:t>Recommendations</w:t>
      </w:r>
    </w:p>
    <w:p w14:paraId="00000031" w14:textId="7CB7E7CF" w:rsidR="00D1582C" w:rsidRDefault="006E7ECF">
      <w:r>
        <w:t xml:space="preserve">I believe in the light of the information provided by the case, the complaint against the staff member should be upheld. The behaviour of the staff member in the counselling centre under no circumstances is acceptable. But it should also be considered that showing aggression while being shouted and swore upon is only a human reaction. But the caregiver is working in a counselling centre; her job is to ensure that the care-receiver feels supported. And despite the younger guy swearing at her, she should have kept her cool. The employee in question, however, should be compelled to take customer management training, and her behaviour should be kept under observation. </w:t>
      </w:r>
    </w:p>
    <w:p w14:paraId="00000032" w14:textId="77777777" w:rsidR="00D1582C" w:rsidRDefault="006E7ECF">
      <w:pPr>
        <w:pStyle w:val="Heading1"/>
      </w:pPr>
      <w:bookmarkStart w:id="8" w:name="_heading=h.4d34og8" w:colFirst="0" w:colLast="0"/>
      <w:bookmarkEnd w:id="8"/>
      <w:r>
        <w:t>Conclusion</w:t>
      </w:r>
    </w:p>
    <w:p w14:paraId="00000033" w14:textId="77777777" w:rsidR="00D1582C" w:rsidRDefault="006E7ECF">
      <w:r>
        <w:t xml:space="preserve">To conclude, it could be said that the case mentioned is an intriguing one. The behaviour from the care receiver is undoubtedly unexpected, but the behaviour from the employee is unacceptable as well. The behavioural theories, however, helped us to shed light on the underlying reasons behind both of their behaviour. </w:t>
      </w:r>
    </w:p>
    <w:p w14:paraId="00000034" w14:textId="77777777" w:rsidR="00D1582C" w:rsidRDefault="006E7ECF">
      <w:r>
        <w:br w:type="page"/>
      </w:r>
    </w:p>
    <w:p w14:paraId="00000035" w14:textId="77777777" w:rsidR="00D1582C" w:rsidRDefault="006E7ECF">
      <w:pPr>
        <w:pStyle w:val="Heading1"/>
      </w:pPr>
      <w:bookmarkStart w:id="9" w:name="_heading=h.2s8eyo1" w:colFirst="0" w:colLast="0"/>
      <w:bookmarkEnd w:id="9"/>
      <w:r>
        <w:lastRenderedPageBreak/>
        <w:t>References</w:t>
      </w:r>
    </w:p>
    <w:p w14:paraId="00000036" w14:textId="77777777" w:rsidR="00D1582C" w:rsidRDefault="006E7ECF">
      <w:pPr>
        <w:pBdr>
          <w:top w:val="nil"/>
          <w:left w:val="nil"/>
          <w:bottom w:val="nil"/>
          <w:right w:val="nil"/>
          <w:between w:val="nil"/>
        </w:pBdr>
        <w:rPr>
          <w:color w:val="000000"/>
        </w:rPr>
      </w:pPr>
      <w:r>
        <w:rPr>
          <w:color w:val="000000"/>
        </w:rPr>
        <w:t xml:space="preserve">Buchbinder, 2016. </w:t>
      </w:r>
      <w:r>
        <w:rPr>
          <w:i/>
          <w:color w:val="000000"/>
        </w:rPr>
        <w:t xml:space="preserve">Introduction to Health Care Management. </w:t>
      </w:r>
      <w:proofErr w:type="spellStart"/>
      <w:r>
        <w:rPr>
          <w:color w:val="000000"/>
        </w:rPr>
        <w:t>s.l.:Jones</w:t>
      </w:r>
      <w:proofErr w:type="spellEnd"/>
      <w:r>
        <w:rPr>
          <w:color w:val="000000"/>
        </w:rPr>
        <w:t xml:space="preserve"> &amp; Bartlett Publishers.</w:t>
      </w:r>
    </w:p>
    <w:p w14:paraId="00000037" w14:textId="77777777" w:rsidR="00D1582C" w:rsidRDefault="006E7ECF">
      <w:pPr>
        <w:pBdr>
          <w:top w:val="nil"/>
          <w:left w:val="nil"/>
          <w:bottom w:val="nil"/>
          <w:right w:val="nil"/>
          <w:between w:val="nil"/>
        </w:pBdr>
        <w:rPr>
          <w:color w:val="000000"/>
        </w:rPr>
      </w:pPr>
      <w:r>
        <w:rPr>
          <w:color w:val="000000"/>
        </w:rPr>
        <w:t xml:space="preserve">Craig, E., 2019. </w:t>
      </w:r>
      <w:r>
        <w:rPr>
          <w:i/>
          <w:color w:val="000000"/>
        </w:rPr>
        <w:t xml:space="preserve">The Wiley World Handbook of Existential Therapy. </w:t>
      </w:r>
      <w:proofErr w:type="spellStart"/>
      <w:r>
        <w:rPr>
          <w:color w:val="000000"/>
        </w:rPr>
        <w:t>s.l.</w:t>
      </w:r>
      <w:proofErr w:type="spellEnd"/>
      <w:r>
        <w:rPr>
          <w:color w:val="000000"/>
        </w:rPr>
        <w:t>: John Wiley &amp; Sons.</w:t>
      </w:r>
    </w:p>
    <w:p w14:paraId="00000038" w14:textId="77777777" w:rsidR="00D1582C" w:rsidRDefault="006E7ECF">
      <w:pPr>
        <w:pBdr>
          <w:top w:val="nil"/>
          <w:left w:val="nil"/>
          <w:bottom w:val="nil"/>
          <w:right w:val="nil"/>
          <w:between w:val="nil"/>
        </w:pBdr>
        <w:rPr>
          <w:color w:val="000000"/>
        </w:rPr>
      </w:pPr>
      <w:r>
        <w:rPr>
          <w:color w:val="000000"/>
        </w:rPr>
        <w:t xml:space="preserve">Eddington, K., 2017. </w:t>
      </w:r>
      <w:r>
        <w:rPr>
          <w:i/>
          <w:color w:val="000000"/>
        </w:rPr>
        <w:t xml:space="preserve">Self-System Therapy for Depression: Therapist Guide. </w:t>
      </w:r>
      <w:proofErr w:type="spellStart"/>
      <w:r>
        <w:rPr>
          <w:color w:val="000000"/>
        </w:rPr>
        <w:t>s.l.</w:t>
      </w:r>
      <w:proofErr w:type="spellEnd"/>
      <w:r>
        <w:rPr>
          <w:color w:val="000000"/>
        </w:rPr>
        <w:t>: Oxford University Press.</w:t>
      </w:r>
    </w:p>
    <w:p w14:paraId="00000039" w14:textId="77777777" w:rsidR="00D1582C" w:rsidRDefault="006E7ECF">
      <w:pPr>
        <w:pBdr>
          <w:top w:val="nil"/>
          <w:left w:val="nil"/>
          <w:bottom w:val="nil"/>
          <w:right w:val="nil"/>
          <w:between w:val="nil"/>
        </w:pBdr>
        <w:rPr>
          <w:color w:val="000000"/>
        </w:rPr>
      </w:pPr>
      <w:r>
        <w:rPr>
          <w:color w:val="000000"/>
        </w:rPr>
        <w:t xml:space="preserve">Hayden, 2017. </w:t>
      </w:r>
      <w:r>
        <w:rPr>
          <w:i/>
          <w:color w:val="000000"/>
        </w:rPr>
        <w:t xml:space="preserve">Introduction to Health </w:t>
      </w:r>
      <w:r>
        <w:rPr>
          <w:i/>
        </w:rPr>
        <w:t>Behaviour</w:t>
      </w:r>
      <w:r>
        <w:rPr>
          <w:i/>
          <w:color w:val="000000"/>
        </w:rPr>
        <w:t xml:space="preserve"> Theory. </w:t>
      </w:r>
      <w:proofErr w:type="spellStart"/>
      <w:r>
        <w:rPr>
          <w:color w:val="000000"/>
        </w:rPr>
        <w:t>s.l.:Jones</w:t>
      </w:r>
      <w:proofErr w:type="spellEnd"/>
      <w:r>
        <w:rPr>
          <w:color w:val="000000"/>
        </w:rPr>
        <w:t xml:space="preserve"> &amp; Bartlett Learning.</w:t>
      </w:r>
    </w:p>
    <w:p w14:paraId="0000003A" w14:textId="77777777" w:rsidR="00D1582C" w:rsidRDefault="006E7ECF">
      <w:pPr>
        <w:pBdr>
          <w:top w:val="nil"/>
          <w:left w:val="nil"/>
          <w:bottom w:val="nil"/>
          <w:right w:val="nil"/>
          <w:between w:val="nil"/>
        </w:pBdr>
        <w:rPr>
          <w:color w:val="000000"/>
        </w:rPr>
      </w:pPr>
      <w:r>
        <w:rPr>
          <w:color w:val="000000"/>
        </w:rPr>
        <w:t xml:space="preserve">Hobson, P., 2016. </w:t>
      </w:r>
      <w:r>
        <w:rPr>
          <w:i/>
          <w:color w:val="000000"/>
        </w:rPr>
        <w:t xml:space="preserve">Brief Psychoanalytic Therapy. </w:t>
      </w:r>
      <w:proofErr w:type="spellStart"/>
      <w:r>
        <w:rPr>
          <w:color w:val="000000"/>
        </w:rPr>
        <w:t>s.l.</w:t>
      </w:r>
      <w:proofErr w:type="spellEnd"/>
      <w:r>
        <w:rPr>
          <w:color w:val="000000"/>
        </w:rPr>
        <w:t>: Oxford University Press.</w:t>
      </w:r>
    </w:p>
    <w:p w14:paraId="0000003B" w14:textId="77777777" w:rsidR="00D1582C" w:rsidRDefault="006E7ECF">
      <w:pPr>
        <w:pBdr>
          <w:top w:val="nil"/>
          <w:left w:val="nil"/>
          <w:bottom w:val="nil"/>
          <w:right w:val="nil"/>
          <w:between w:val="nil"/>
        </w:pBdr>
        <w:rPr>
          <w:color w:val="000000"/>
        </w:rPr>
      </w:pPr>
      <w:r>
        <w:rPr>
          <w:color w:val="000000"/>
        </w:rPr>
        <w:t xml:space="preserve">Little, L., 2016. </w:t>
      </w:r>
      <w:r>
        <w:rPr>
          <w:i/>
          <w:color w:val="000000"/>
        </w:rPr>
        <w:t xml:space="preserve">Behaviour Change Research and Theory: Psychological and Technological Perspectives. </w:t>
      </w:r>
      <w:proofErr w:type="spellStart"/>
      <w:r>
        <w:rPr>
          <w:color w:val="000000"/>
        </w:rPr>
        <w:t>s.l.</w:t>
      </w:r>
      <w:proofErr w:type="spellEnd"/>
      <w:r>
        <w:rPr>
          <w:color w:val="000000"/>
        </w:rPr>
        <w:t>: Elsevier Science.</w:t>
      </w:r>
    </w:p>
    <w:p w14:paraId="0000003C" w14:textId="77777777" w:rsidR="00D1582C" w:rsidRDefault="006E7ECF">
      <w:pPr>
        <w:pBdr>
          <w:top w:val="nil"/>
          <w:left w:val="nil"/>
          <w:bottom w:val="nil"/>
          <w:right w:val="nil"/>
          <w:between w:val="nil"/>
        </w:pBdr>
        <w:rPr>
          <w:color w:val="000000"/>
        </w:rPr>
      </w:pPr>
      <w:r>
        <w:rPr>
          <w:color w:val="000000"/>
        </w:rPr>
        <w:t xml:space="preserve">Marks, D. F., 2018. </w:t>
      </w:r>
      <w:r>
        <w:rPr>
          <w:i/>
          <w:color w:val="000000"/>
        </w:rPr>
        <w:t xml:space="preserve">A General Theory of Behaviour. </w:t>
      </w:r>
      <w:proofErr w:type="spellStart"/>
      <w:r>
        <w:rPr>
          <w:color w:val="000000"/>
        </w:rPr>
        <w:t>s.l.:SAGE</w:t>
      </w:r>
      <w:proofErr w:type="spellEnd"/>
      <w:r>
        <w:rPr>
          <w:color w:val="000000"/>
        </w:rPr>
        <w:t>.</w:t>
      </w:r>
    </w:p>
    <w:p w14:paraId="0000003D" w14:textId="77777777" w:rsidR="00D1582C" w:rsidRDefault="006E7ECF">
      <w:pPr>
        <w:pBdr>
          <w:top w:val="nil"/>
          <w:left w:val="nil"/>
          <w:bottom w:val="nil"/>
          <w:right w:val="nil"/>
          <w:between w:val="nil"/>
        </w:pBdr>
        <w:rPr>
          <w:color w:val="000000"/>
        </w:rPr>
      </w:pPr>
      <w:r>
        <w:rPr>
          <w:color w:val="000000"/>
        </w:rPr>
        <w:t xml:space="preserve">Wasserman, D., 2016. </w:t>
      </w:r>
      <w:r>
        <w:rPr>
          <w:i/>
          <w:color w:val="000000"/>
        </w:rPr>
        <w:t xml:space="preserve">Suicide: An Unnecessary Death. </w:t>
      </w:r>
      <w:proofErr w:type="spellStart"/>
      <w:r>
        <w:rPr>
          <w:color w:val="000000"/>
        </w:rPr>
        <w:t>s.l.</w:t>
      </w:r>
      <w:proofErr w:type="spellEnd"/>
      <w:r>
        <w:rPr>
          <w:color w:val="000000"/>
        </w:rPr>
        <w:t>: Oxford University Press.</w:t>
      </w:r>
    </w:p>
    <w:p w14:paraId="0000003E" w14:textId="77777777" w:rsidR="00D1582C" w:rsidRDefault="00D1582C"/>
    <w:p w14:paraId="0000003F" w14:textId="77777777" w:rsidR="00D1582C" w:rsidRDefault="00D1582C"/>
    <w:sectPr w:rsidR="00D1582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82C"/>
    <w:rsid w:val="004E1D62"/>
    <w:rsid w:val="006E7ECF"/>
    <w:rsid w:val="00D1582C"/>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6E12F"/>
  <w15:docId w15:val="{C1B6E211-5FEB-9648-9FD1-6D3307D6E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147"/>
    <w:pPr>
      <w:keepNext/>
      <w:keepLines/>
      <w:spacing w:before="240" w:after="0"/>
      <w:outlineLvl w:val="0"/>
    </w:pPr>
    <w:rPr>
      <w:rFonts w:asciiTheme="majorBidi" w:eastAsiaTheme="majorEastAsia" w:hAnsiTheme="majorBidi" w:cstheme="majorBidi"/>
      <w:b/>
      <w:color w:val="1F3864" w:themeColor="accent1" w:themeShade="80"/>
      <w:sz w:val="28"/>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D3147"/>
    <w:rPr>
      <w:rFonts w:asciiTheme="majorBidi" w:eastAsiaTheme="majorEastAsia" w:hAnsiTheme="majorBidi" w:cstheme="majorBidi"/>
      <w:b/>
      <w:color w:val="1F3864" w:themeColor="accent1" w:themeShade="80"/>
      <w:sz w:val="28"/>
      <w:szCs w:val="32"/>
    </w:rPr>
  </w:style>
  <w:style w:type="paragraph" w:styleId="ListParagraph">
    <w:name w:val="List Paragraph"/>
    <w:basedOn w:val="Normal"/>
    <w:uiPriority w:val="34"/>
    <w:qFormat/>
    <w:rsid w:val="00EE785D"/>
    <w:pPr>
      <w:ind w:left="720"/>
      <w:contextualSpacing/>
    </w:pPr>
  </w:style>
  <w:style w:type="paragraph" w:styleId="Bibliography">
    <w:name w:val="Bibliography"/>
    <w:basedOn w:val="Normal"/>
    <w:next w:val="Normal"/>
    <w:uiPriority w:val="37"/>
    <w:unhideWhenUsed/>
    <w:rsid w:val="00423726"/>
  </w:style>
  <w:style w:type="paragraph" w:styleId="TOCHeading">
    <w:name w:val="TOC Heading"/>
    <w:basedOn w:val="Heading1"/>
    <w:next w:val="Normal"/>
    <w:uiPriority w:val="39"/>
    <w:unhideWhenUsed/>
    <w:qFormat/>
    <w:rsid w:val="00423726"/>
    <w:pPr>
      <w:spacing w:line="259" w:lineRule="auto"/>
      <w:jc w:val="left"/>
      <w:outlineLvl w:val="9"/>
    </w:pPr>
    <w:rPr>
      <w:lang w:val="en-US"/>
    </w:rPr>
  </w:style>
  <w:style w:type="paragraph" w:styleId="TOC1">
    <w:name w:val="toc 1"/>
    <w:basedOn w:val="Normal"/>
    <w:next w:val="Normal"/>
    <w:autoRedefine/>
    <w:uiPriority w:val="39"/>
    <w:unhideWhenUsed/>
    <w:rsid w:val="00423726"/>
    <w:pPr>
      <w:spacing w:after="100"/>
    </w:pPr>
  </w:style>
  <w:style w:type="character" w:styleId="Hyperlink">
    <w:name w:val="Hyperlink"/>
    <w:basedOn w:val="DefaultParagraphFont"/>
    <w:uiPriority w:val="99"/>
    <w:unhideWhenUsed/>
    <w:rsid w:val="00423726"/>
    <w:rPr>
      <w:color w:val="0563C1" w:themeColor="hyperlink"/>
      <w:u w:val="single"/>
    </w:rPr>
  </w:style>
  <w:style w:type="table" w:styleId="TableGrid">
    <w:name w:val="Table Grid"/>
    <w:basedOn w:val="TableNormal"/>
    <w:uiPriority w:val="39"/>
    <w:rsid w:val="003127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340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00F"/>
  </w:style>
  <w:style w:type="paragraph" w:styleId="Footer">
    <w:name w:val="footer"/>
    <w:basedOn w:val="Normal"/>
    <w:link w:val="FooterChar"/>
    <w:uiPriority w:val="99"/>
    <w:unhideWhenUsed/>
    <w:rsid w:val="005340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00F"/>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fLGRqsoE0WjhXYAwFZ0J01vKSWA==">AMUW2mWg+PiLkbgxORutV3HqYR0XCMuzFh80y4BeCsni2p0SdPTJSwxS9gYMwuuwWaJeEbyNfl9/bgfmedoHqJ9kymRmbJJqBEmIH5pjUyuaj526cgJA+hF6QBWlTVMHjV6NIxUaFV70DJtpT3HxCh0IoSyexk0WdFjRDBSfEexWlWqSb9bQsMyx3K2Kst+WuOSzhgOpSD0ZQLaurrQXLNUyhun4ABFwZJIZKPKy+LezXKl8wFqB5eBLZGeNjB0YI94FZwgISmYR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1591</Words>
  <Characters>9074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AMMO ACTIVE</dc:creator>
  <cp:keywords/>
  <dc:description/>
  <cp:lastModifiedBy>AMMO ACTIVE</cp:lastModifiedBy>
  <cp:revision>2</cp:revision>
  <dcterms:created xsi:type="dcterms:W3CDTF">2021-12-08T22:17:00Z</dcterms:created>
  <dcterms:modified xsi:type="dcterms:W3CDTF">2021-12-08T22:17:00Z</dcterms:modified>
  <cp:category/>
</cp:coreProperties>
</file>