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76AFA" w14:textId="77777777" w:rsidR="006A60E8" w:rsidRDefault="006A60E8" w:rsidP="006A60E8">
      <w:pPr>
        <w:spacing w:after="0" w:line="480" w:lineRule="auto"/>
        <w:contextualSpacing/>
        <w:jc w:val="center"/>
        <w:rPr>
          <w:rFonts w:ascii="Times New Roman" w:hAnsi="Times New Roman" w:cs="Times New Roman"/>
          <w:b/>
          <w:bCs/>
          <w:sz w:val="24"/>
          <w:szCs w:val="24"/>
        </w:rPr>
      </w:pPr>
    </w:p>
    <w:p w14:paraId="398216F5" w14:textId="77777777" w:rsidR="006A60E8" w:rsidRDefault="006A60E8" w:rsidP="006A60E8">
      <w:pPr>
        <w:spacing w:after="0" w:line="480" w:lineRule="auto"/>
        <w:contextualSpacing/>
        <w:jc w:val="center"/>
        <w:rPr>
          <w:rFonts w:ascii="Times New Roman" w:hAnsi="Times New Roman" w:cs="Times New Roman"/>
          <w:b/>
          <w:bCs/>
          <w:sz w:val="24"/>
          <w:szCs w:val="24"/>
        </w:rPr>
      </w:pPr>
    </w:p>
    <w:p w14:paraId="704F2466" w14:textId="77777777" w:rsidR="006A60E8" w:rsidRDefault="006A60E8" w:rsidP="006A60E8">
      <w:pPr>
        <w:spacing w:after="0" w:line="480" w:lineRule="auto"/>
        <w:contextualSpacing/>
        <w:jc w:val="center"/>
        <w:rPr>
          <w:rFonts w:ascii="Times New Roman" w:hAnsi="Times New Roman" w:cs="Times New Roman"/>
          <w:b/>
          <w:bCs/>
          <w:sz w:val="24"/>
          <w:szCs w:val="24"/>
        </w:rPr>
      </w:pPr>
    </w:p>
    <w:p w14:paraId="491CCD21" w14:textId="6D5AA02C" w:rsidR="006A60E8" w:rsidRPr="00750138" w:rsidRDefault="006A60E8" w:rsidP="006A60E8">
      <w:pPr>
        <w:spacing w:after="0" w:line="480" w:lineRule="auto"/>
        <w:contextualSpacing/>
        <w:jc w:val="center"/>
        <w:rPr>
          <w:rFonts w:ascii="Times New Roman" w:hAnsi="Times New Roman" w:cs="Times New Roman"/>
          <w:b/>
          <w:bCs/>
          <w:sz w:val="24"/>
          <w:szCs w:val="24"/>
        </w:rPr>
      </w:pPr>
      <w:r w:rsidRPr="00750138">
        <w:rPr>
          <w:rFonts w:ascii="Times New Roman" w:hAnsi="Times New Roman" w:cs="Times New Roman"/>
          <w:b/>
          <w:bCs/>
          <w:sz w:val="24"/>
          <w:szCs w:val="24"/>
        </w:rPr>
        <w:t>Cosmology, Magic</w:t>
      </w:r>
      <w:r>
        <w:rPr>
          <w:rFonts w:ascii="Times New Roman" w:hAnsi="Times New Roman" w:cs="Times New Roman"/>
          <w:b/>
          <w:bCs/>
          <w:sz w:val="24"/>
          <w:szCs w:val="24"/>
        </w:rPr>
        <w:t>,</w:t>
      </w:r>
      <w:r w:rsidRPr="00750138">
        <w:rPr>
          <w:rFonts w:ascii="Times New Roman" w:hAnsi="Times New Roman" w:cs="Times New Roman"/>
          <w:b/>
          <w:bCs/>
          <w:sz w:val="24"/>
          <w:szCs w:val="24"/>
        </w:rPr>
        <w:t xml:space="preserve"> and Divinatio</w:t>
      </w:r>
      <w:r w:rsidR="00056525">
        <w:rPr>
          <w:rFonts w:ascii="Times New Roman" w:hAnsi="Times New Roman" w:cs="Times New Roman"/>
          <w:b/>
          <w:bCs/>
          <w:sz w:val="24"/>
          <w:szCs w:val="24"/>
        </w:rPr>
        <w:t>n</w:t>
      </w:r>
    </w:p>
    <w:p w14:paraId="70F64234" w14:textId="77777777" w:rsidR="006A60E8" w:rsidRPr="00750138" w:rsidRDefault="006A60E8" w:rsidP="006A60E8">
      <w:pPr>
        <w:spacing w:after="0" w:line="480" w:lineRule="auto"/>
        <w:contextualSpacing/>
        <w:rPr>
          <w:rFonts w:ascii="Times New Roman" w:hAnsi="Times New Roman" w:cs="Times New Roman"/>
          <w:sz w:val="24"/>
          <w:szCs w:val="24"/>
        </w:rPr>
      </w:pPr>
    </w:p>
    <w:p w14:paraId="3256AF37" w14:textId="77777777" w:rsidR="006A60E8" w:rsidRPr="00750138" w:rsidRDefault="006A60E8" w:rsidP="006A60E8">
      <w:pPr>
        <w:spacing w:after="0" w:line="480" w:lineRule="auto"/>
        <w:contextualSpacing/>
        <w:rPr>
          <w:rFonts w:ascii="Times New Roman" w:hAnsi="Times New Roman" w:cs="Times New Roman"/>
          <w:sz w:val="24"/>
          <w:szCs w:val="24"/>
        </w:rPr>
      </w:pPr>
    </w:p>
    <w:p w14:paraId="428CA13B" w14:textId="15BAA092" w:rsidR="006A60E8" w:rsidRPr="00750138" w:rsidRDefault="006A60E8" w:rsidP="006A60E8">
      <w:pPr>
        <w:spacing w:after="0" w:line="480" w:lineRule="auto"/>
        <w:contextualSpacing/>
        <w:jc w:val="center"/>
        <w:rPr>
          <w:rFonts w:ascii="Times New Roman" w:hAnsi="Times New Roman" w:cs="Times New Roman"/>
          <w:b/>
          <w:bCs/>
          <w:sz w:val="24"/>
          <w:szCs w:val="24"/>
        </w:rPr>
      </w:pPr>
      <w:r w:rsidRPr="00750138">
        <w:rPr>
          <w:rFonts w:ascii="Times New Roman" w:hAnsi="Times New Roman" w:cs="Times New Roman"/>
          <w:b/>
          <w:bCs/>
          <w:sz w:val="24"/>
          <w:szCs w:val="24"/>
        </w:rPr>
        <w:t xml:space="preserve">Assignment </w:t>
      </w:r>
      <w:r>
        <w:rPr>
          <w:rFonts w:ascii="Times New Roman" w:hAnsi="Times New Roman" w:cs="Times New Roman"/>
          <w:b/>
          <w:bCs/>
          <w:sz w:val="24"/>
          <w:szCs w:val="24"/>
        </w:rPr>
        <w:t>2</w:t>
      </w:r>
    </w:p>
    <w:p w14:paraId="28121C84" w14:textId="1CA114F2" w:rsidR="006A60E8" w:rsidRPr="00750138" w:rsidRDefault="006A60E8" w:rsidP="006A60E8">
      <w:pPr>
        <w:spacing w:after="0" w:line="480" w:lineRule="auto"/>
        <w:contextualSpacing/>
        <w:jc w:val="center"/>
        <w:rPr>
          <w:rFonts w:ascii="Times New Roman" w:hAnsi="Times New Roman" w:cs="Times New Roman"/>
          <w:b/>
          <w:bCs/>
          <w:sz w:val="24"/>
          <w:szCs w:val="24"/>
        </w:rPr>
      </w:pPr>
    </w:p>
    <w:p w14:paraId="59DCC3C0" w14:textId="77777777" w:rsidR="006A60E8" w:rsidRPr="00750138" w:rsidRDefault="006A60E8" w:rsidP="006A60E8">
      <w:pPr>
        <w:spacing w:after="0" w:line="480" w:lineRule="auto"/>
        <w:contextualSpacing/>
        <w:rPr>
          <w:rFonts w:ascii="Times New Roman" w:hAnsi="Times New Roman" w:cs="Times New Roman"/>
          <w:sz w:val="24"/>
          <w:szCs w:val="24"/>
        </w:rPr>
      </w:pPr>
    </w:p>
    <w:p w14:paraId="054E87C0" w14:textId="77777777" w:rsidR="006A60E8" w:rsidRPr="00750138" w:rsidRDefault="006A60E8" w:rsidP="006A60E8">
      <w:pPr>
        <w:spacing w:after="0" w:line="480" w:lineRule="auto"/>
        <w:contextualSpacing/>
        <w:rPr>
          <w:rFonts w:ascii="Times New Roman" w:hAnsi="Times New Roman" w:cs="Times New Roman"/>
          <w:sz w:val="24"/>
          <w:szCs w:val="24"/>
        </w:rPr>
      </w:pPr>
    </w:p>
    <w:p w14:paraId="30BA92EA" w14:textId="77777777" w:rsidR="006A60E8" w:rsidRPr="00750138" w:rsidRDefault="006A60E8" w:rsidP="006A60E8">
      <w:pPr>
        <w:spacing w:after="0" w:line="480" w:lineRule="auto"/>
        <w:contextualSpacing/>
        <w:rPr>
          <w:rFonts w:ascii="Times New Roman" w:hAnsi="Times New Roman" w:cs="Times New Roman"/>
          <w:sz w:val="24"/>
          <w:szCs w:val="24"/>
        </w:rPr>
      </w:pPr>
    </w:p>
    <w:p w14:paraId="00A2DD66" w14:textId="77777777" w:rsidR="006A60E8" w:rsidRPr="00750138" w:rsidRDefault="006A60E8" w:rsidP="006A60E8">
      <w:pPr>
        <w:spacing w:after="0" w:line="480" w:lineRule="auto"/>
        <w:contextualSpacing/>
        <w:rPr>
          <w:rFonts w:ascii="Times New Roman" w:hAnsi="Times New Roman" w:cs="Times New Roman"/>
          <w:sz w:val="24"/>
          <w:szCs w:val="24"/>
        </w:rPr>
      </w:pPr>
    </w:p>
    <w:p w14:paraId="031442FD" w14:textId="77777777" w:rsidR="006A60E8" w:rsidRPr="00750138" w:rsidRDefault="006A60E8" w:rsidP="006A60E8">
      <w:pPr>
        <w:spacing w:after="0" w:line="480" w:lineRule="auto"/>
        <w:contextualSpacing/>
        <w:rPr>
          <w:rFonts w:ascii="Times New Roman" w:hAnsi="Times New Roman" w:cs="Times New Roman"/>
          <w:sz w:val="24"/>
          <w:szCs w:val="24"/>
        </w:rPr>
      </w:pPr>
    </w:p>
    <w:p w14:paraId="3B5A887A" w14:textId="77777777" w:rsidR="006A60E8" w:rsidRPr="00750138" w:rsidRDefault="006A60E8" w:rsidP="006A60E8">
      <w:pPr>
        <w:spacing w:after="0" w:line="480" w:lineRule="auto"/>
        <w:contextualSpacing/>
        <w:rPr>
          <w:rFonts w:ascii="Times New Roman" w:hAnsi="Times New Roman" w:cs="Times New Roman"/>
          <w:sz w:val="24"/>
          <w:szCs w:val="24"/>
        </w:rPr>
      </w:pPr>
    </w:p>
    <w:p w14:paraId="1B3287E0" w14:textId="77777777" w:rsidR="006A60E8" w:rsidRPr="00750138" w:rsidRDefault="006A60E8" w:rsidP="006A60E8">
      <w:pPr>
        <w:spacing w:after="0" w:line="480" w:lineRule="auto"/>
        <w:contextualSpacing/>
        <w:rPr>
          <w:rFonts w:ascii="Times New Roman" w:hAnsi="Times New Roman" w:cs="Times New Roman"/>
          <w:sz w:val="24"/>
          <w:szCs w:val="24"/>
        </w:rPr>
      </w:pPr>
    </w:p>
    <w:p w14:paraId="7C93558B" w14:textId="77777777" w:rsidR="006A60E8" w:rsidRPr="00750138" w:rsidRDefault="006A60E8" w:rsidP="006A60E8">
      <w:pPr>
        <w:spacing w:after="0" w:line="480" w:lineRule="auto"/>
        <w:contextualSpacing/>
        <w:rPr>
          <w:rFonts w:ascii="Times New Roman" w:hAnsi="Times New Roman" w:cs="Times New Roman"/>
          <w:sz w:val="24"/>
          <w:szCs w:val="24"/>
        </w:rPr>
      </w:pPr>
    </w:p>
    <w:p w14:paraId="3B45A60A" w14:textId="77777777" w:rsidR="006A60E8" w:rsidRPr="00750138" w:rsidRDefault="006A60E8" w:rsidP="006A60E8">
      <w:pPr>
        <w:spacing w:after="0" w:line="480" w:lineRule="auto"/>
        <w:ind w:left="1440"/>
        <w:contextualSpacing/>
        <w:rPr>
          <w:rFonts w:ascii="Times New Roman" w:hAnsi="Times New Roman" w:cs="Times New Roman"/>
          <w:sz w:val="24"/>
          <w:szCs w:val="24"/>
        </w:rPr>
      </w:pPr>
      <w:r w:rsidRPr="00750138">
        <w:rPr>
          <w:rFonts w:ascii="Times New Roman" w:hAnsi="Times New Roman" w:cs="Times New Roman"/>
          <w:sz w:val="24"/>
          <w:szCs w:val="24"/>
        </w:rPr>
        <w:t>Kevin Hahn</w:t>
      </w:r>
    </w:p>
    <w:p w14:paraId="79FFA0E0" w14:textId="11E3114D" w:rsidR="006A60E8" w:rsidRPr="00750138" w:rsidRDefault="006A60E8" w:rsidP="006A60E8">
      <w:pPr>
        <w:spacing w:after="0" w:line="480" w:lineRule="auto"/>
        <w:ind w:left="1440"/>
        <w:contextualSpacing/>
        <w:rPr>
          <w:rFonts w:ascii="Times New Roman" w:hAnsi="Times New Roman" w:cs="Times New Roman"/>
          <w:sz w:val="24"/>
          <w:szCs w:val="24"/>
        </w:rPr>
      </w:pPr>
      <w:r>
        <w:rPr>
          <w:rFonts w:ascii="Times New Roman" w:hAnsi="Times New Roman" w:cs="Times New Roman"/>
          <w:sz w:val="24"/>
          <w:szCs w:val="24"/>
        </w:rPr>
        <w:t>April 25</w:t>
      </w:r>
      <w:r w:rsidRPr="00750138">
        <w:rPr>
          <w:rFonts w:ascii="Times New Roman" w:hAnsi="Times New Roman" w:cs="Times New Roman"/>
          <w:sz w:val="24"/>
          <w:szCs w:val="24"/>
        </w:rPr>
        <w:t>, 2023</w:t>
      </w:r>
    </w:p>
    <w:p w14:paraId="5ECBAA02" w14:textId="77777777" w:rsidR="006A60E8" w:rsidRDefault="006A60E8" w:rsidP="006A60E8">
      <w:pPr>
        <w:spacing w:after="0" w:line="480" w:lineRule="auto"/>
        <w:rPr>
          <w:rFonts w:ascii="Times New Roman" w:hAnsi="Times New Roman" w:cs="Times New Roman"/>
          <w:sz w:val="24"/>
          <w:szCs w:val="24"/>
        </w:rPr>
      </w:pPr>
    </w:p>
    <w:p w14:paraId="4645F9A6" w14:textId="77777777" w:rsidR="006A60E8" w:rsidRDefault="006A60E8" w:rsidP="006A60E8">
      <w:pPr>
        <w:spacing w:after="0" w:line="480" w:lineRule="auto"/>
        <w:rPr>
          <w:rFonts w:ascii="Times New Roman" w:hAnsi="Times New Roman" w:cs="Times New Roman"/>
          <w:sz w:val="24"/>
          <w:szCs w:val="24"/>
        </w:rPr>
      </w:pPr>
    </w:p>
    <w:p w14:paraId="79D95434" w14:textId="77777777" w:rsidR="006A60E8" w:rsidRDefault="006A60E8" w:rsidP="00E10936">
      <w:pPr>
        <w:rPr>
          <w:rFonts w:ascii="Times New Roman" w:hAnsi="Times New Roman" w:cs="Times New Roman"/>
          <w:b/>
          <w:bCs/>
          <w:i/>
          <w:iCs/>
          <w:sz w:val="24"/>
          <w:szCs w:val="24"/>
        </w:rPr>
      </w:pPr>
    </w:p>
    <w:p w14:paraId="536CB1C5" w14:textId="77777777" w:rsidR="006A60E8" w:rsidRDefault="006A60E8" w:rsidP="00E10936">
      <w:pPr>
        <w:rPr>
          <w:rFonts w:ascii="Times New Roman" w:hAnsi="Times New Roman" w:cs="Times New Roman"/>
          <w:b/>
          <w:bCs/>
          <w:i/>
          <w:iCs/>
          <w:sz w:val="24"/>
          <w:szCs w:val="24"/>
        </w:rPr>
      </w:pPr>
    </w:p>
    <w:p w14:paraId="14EEDD4E" w14:textId="77777777" w:rsidR="006A60E8" w:rsidRDefault="006A60E8" w:rsidP="00E10936">
      <w:pPr>
        <w:rPr>
          <w:rFonts w:ascii="Times New Roman" w:hAnsi="Times New Roman" w:cs="Times New Roman"/>
          <w:b/>
          <w:bCs/>
          <w:i/>
          <w:iCs/>
          <w:sz w:val="24"/>
          <w:szCs w:val="24"/>
        </w:rPr>
      </w:pPr>
    </w:p>
    <w:p w14:paraId="57B9156C" w14:textId="3A8FC031" w:rsidR="00E10936" w:rsidRPr="00E10936" w:rsidRDefault="00E10936" w:rsidP="00E10936">
      <w:pPr>
        <w:rPr>
          <w:rFonts w:ascii="Times New Roman" w:hAnsi="Times New Roman" w:cs="Times New Roman"/>
          <w:b/>
          <w:bCs/>
          <w:i/>
          <w:iCs/>
          <w:sz w:val="24"/>
          <w:szCs w:val="24"/>
        </w:rPr>
      </w:pPr>
      <w:r w:rsidRPr="00E10936">
        <w:rPr>
          <w:rFonts w:ascii="Times New Roman" w:hAnsi="Times New Roman" w:cs="Times New Roman"/>
          <w:b/>
          <w:bCs/>
          <w:i/>
          <w:iCs/>
          <w:sz w:val="24"/>
          <w:szCs w:val="24"/>
        </w:rPr>
        <w:lastRenderedPageBreak/>
        <w:t xml:space="preserve">Question 1: Analyze the roles of and the relationship between cosmology and divination in Ancient Egypt. </w:t>
      </w:r>
    </w:p>
    <w:p w14:paraId="7277BCA7" w14:textId="77777777" w:rsidR="00E10936" w:rsidRPr="00E10936" w:rsidRDefault="00E10936" w:rsidP="00E10936">
      <w:pPr>
        <w:ind w:firstLine="720"/>
        <w:rPr>
          <w:rFonts w:ascii="Times New Roman" w:hAnsi="Times New Roman" w:cs="Times New Roman"/>
          <w:sz w:val="24"/>
          <w:szCs w:val="24"/>
        </w:rPr>
      </w:pPr>
      <w:r w:rsidRPr="00E10936">
        <w:rPr>
          <w:rFonts w:ascii="Times New Roman" w:hAnsi="Times New Roman" w:cs="Times New Roman"/>
          <w:sz w:val="24"/>
          <w:szCs w:val="24"/>
        </w:rPr>
        <w:t>Ancient Egypt's religious/ontological beliefs were unique. One unique belief was that the cosmos which emerged from this primeval condition was alive, and the creative process continued indefinitely: "Creation was not over and done with on the seventh day but continued indefinitely" (</w:t>
      </w:r>
      <w:proofErr w:type="spellStart"/>
      <w:r w:rsidRPr="00E10936">
        <w:rPr>
          <w:rFonts w:ascii="Times New Roman" w:hAnsi="Times New Roman" w:cs="Times New Roman"/>
          <w:sz w:val="24"/>
          <w:szCs w:val="24"/>
        </w:rPr>
        <w:t>Assmann</w:t>
      </w:r>
      <w:proofErr w:type="spellEnd"/>
      <w:r w:rsidRPr="00E10936">
        <w:rPr>
          <w:rFonts w:ascii="Times New Roman" w:hAnsi="Times New Roman" w:cs="Times New Roman"/>
          <w:sz w:val="24"/>
          <w:szCs w:val="24"/>
        </w:rPr>
        <w:t xml:space="preserve"> 206). </w:t>
      </w:r>
    </w:p>
    <w:p w14:paraId="768D4C80" w14:textId="77777777" w:rsidR="00E10936" w:rsidRPr="00E10936" w:rsidRDefault="00E10936" w:rsidP="00E10936">
      <w:pPr>
        <w:ind w:left="720"/>
        <w:rPr>
          <w:rFonts w:ascii="Times New Roman" w:hAnsi="Times New Roman" w:cs="Times New Roman"/>
          <w:sz w:val="24"/>
          <w:szCs w:val="24"/>
        </w:rPr>
      </w:pPr>
      <w:r w:rsidRPr="00E10936">
        <w:rPr>
          <w:rFonts w:ascii="Times New Roman" w:hAnsi="Times New Roman" w:cs="Times New Roman"/>
          <w:sz w:val="24"/>
          <w:szCs w:val="24"/>
        </w:rPr>
        <w:t xml:space="preserve">"The entire cosmos was alive, ensouled, and endowed with personality; human beings possessed an immortal soul that might travel to the stars, the stars, and the planets were either divine or controlled or represented by deities; and the heavenly bodies moved in an unchanging order that was the basis of the sacred calendar and the timing of the religious ritual through the day, month, and year" (Campion 84). </w:t>
      </w:r>
    </w:p>
    <w:p w14:paraId="25BCB1D4" w14:textId="77777777" w:rsidR="00E10936" w:rsidRPr="00E10936" w:rsidRDefault="00E10936" w:rsidP="00E10936">
      <w:pPr>
        <w:ind w:firstLine="720"/>
        <w:rPr>
          <w:rFonts w:ascii="Times New Roman" w:hAnsi="Times New Roman" w:cs="Times New Roman"/>
          <w:sz w:val="24"/>
          <w:szCs w:val="24"/>
        </w:rPr>
      </w:pPr>
      <w:r w:rsidRPr="00E10936">
        <w:rPr>
          <w:rFonts w:ascii="Times New Roman" w:hAnsi="Times New Roman" w:cs="Times New Roman"/>
          <w:sz w:val="24"/>
          <w:szCs w:val="24"/>
        </w:rPr>
        <w:t xml:space="preserve">Another unique characteristic of ancient Egyptian religion was their belief in a cosmic divine order created by the goddess Maat (who embodied justice, order, and truth). Divine order was necessary to ensure a balanced, "functioning" universe. However, because the cosmos is alive and continually changing, divine order is impermanent and can be replaced with chaos at any point in time. In order to ensure that divine order is maintained, humans have to collaborate with the gods and goddesses to maintain order through rituals, sacrifices, and prayers (Campion 86).   </w:t>
      </w:r>
    </w:p>
    <w:p w14:paraId="52FED813" w14:textId="77777777" w:rsidR="00E10936" w:rsidRPr="00E10936" w:rsidRDefault="00E10936" w:rsidP="00E10936">
      <w:pPr>
        <w:ind w:left="720"/>
        <w:rPr>
          <w:rFonts w:ascii="Times New Roman" w:hAnsi="Times New Roman" w:cs="Times New Roman"/>
          <w:sz w:val="24"/>
          <w:szCs w:val="24"/>
        </w:rPr>
      </w:pPr>
      <w:r w:rsidRPr="00E10936">
        <w:rPr>
          <w:rFonts w:ascii="Times New Roman" w:hAnsi="Times New Roman" w:cs="Times New Roman"/>
          <w:sz w:val="24"/>
          <w:szCs w:val="24"/>
        </w:rPr>
        <w:t>"All Egyptian religion can therefore be seen as an expression of the need to maintain Maat, and all ritual was devoted to the need to review creation and order every day without fail. Although the renewal was the work of the gods, priests, and reigning pharaoh – in theory, the high priest of every temple – and the God's representative on earth, the Egyptians were obliged to assist by uttering the required incantations and making the correct sacrifices at the appropriate times." (Campion 86).</w:t>
      </w:r>
    </w:p>
    <w:p w14:paraId="15B42460" w14:textId="77777777" w:rsidR="00E10936" w:rsidRPr="00E10936" w:rsidRDefault="00E10936" w:rsidP="00E10936">
      <w:pPr>
        <w:ind w:firstLine="720"/>
        <w:rPr>
          <w:rFonts w:ascii="Times New Roman" w:hAnsi="Times New Roman" w:cs="Times New Roman"/>
          <w:sz w:val="24"/>
          <w:szCs w:val="24"/>
        </w:rPr>
      </w:pPr>
      <w:r w:rsidRPr="00E10936">
        <w:rPr>
          <w:rFonts w:ascii="Times New Roman" w:hAnsi="Times New Roman" w:cs="Times New Roman"/>
          <w:sz w:val="24"/>
          <w:szCs w:val="24"/>
        </w:rPr>
        <w:t>Plumley described Egyptian cosmology effectively: "It was based on the belief that the maintenance of the original creation and resistance to all threats to its stability was, for the benefit of all, a collaborative venture among gods, goddesses, men, and women"  (qt in Campion 252).</w:t>
      </w:r>
    </w:p>
    <w:p w14:paraId="3AE437B0" w14:textId="73053EFF" w:rsidR="00E10936" w:rsidRPr="00E10936" w:rsidRDefault="00E10936" w:rsidP="00E10936">
      <w:pPr>
        <w:ind w:firstLine="720"/>
        <w:rPr>
          <w:rFonts w:ascii="Times New Roman" w:hAnsi="Times New Roman" w:cs="Times New Roman"/>
          <w:sz w:val="24"/>
          <w:szCs w:val="24"/>
        </w:rPr>
      </w:pPr>
      <w:r w:rsidRPr="00E10936">
        <w:rPr>
          <w:rFonts w:ascii="Times New Roman" w:hAnsi="Times New Roman" w:cs="Times New Roman"/>
          <w:sz w:val="24"/>
          <w:szCs w:val="24"/>
        </w:rPr>
        <w:t>The practice of divination or seeking knowledge of the future or the unknown through supernatural means did not generally exist in Egypt before and during the New Kingdom (circa 1550 – 1070 BCE). Since ancient Egyptians believed that the gods were focused on maintaining cosmic order and avoiding chaos; and that it was their responsibility to work collaboratively with the gods to maintain that cosmic order, they were not a "divinatory" culture. They were less concerned with knowing the future; and more concerned with participating with the gods to ensure cosmic order prevailed in the future. Therefore, the ancient Egyptians performed strict daily rituals according to God's will to maintain an environment that was orderly, regular, recurring, and predictable (</w:t>
      </w:r>
      <w:proofErr w:type="spellStart"/>
      <w:r w:rsidRPr="00E10936">
        <w:rPr>
          <w:rFonts w:ascii="Times New Roman" w:hAnsi="Times New Roman" w:cs="Times New Roman"/>
          <w:sz w:val="24"/>
          <w:szCs w:val="24"/>
        </w:rPr>
        <w:t>Assman</w:t>
      </w:r>
      <w:r w:rsidR="006A35A8">
        <w:rPr>
          <w:rFonts w:ascii="Times New Roman" w:hAnsi="Times New Roman" w:cs="Times New Roman"/>
          <w:sz w:val="24"/>
          <w:szCs w:val="24"/>
        </w:rPr>
        <w:t>n</w:t>
      </w:r>
      <w:proofErr w:type="spellEnd"/>
      <w:r w:rsidRPr="00E10936">
        <w:rPr>
          <w:rFonts w:ascii="Times New Roman" w:hAnsi="Times New Roman" w:cs="Times New Roman"/>
          <w:sz w:val="24"/>
          <w:szCs w:val="24"/>
        </w:rPr>
        <w:t xml:space="preserve"> 205). For example, Egyptians did not pay much attention to unusual phenomena such as rainbows, earthquakes, and the eclipses of the sun. In contrast, a divinatory culture like the Mesopotamians carefully observed and recorded such phenomena, thinking it was a sign of the will of the gods (</w:t>
      </w:r>
      <w:proofErr w:type="spellStart"/>
      <w:r w:rsidRPr="00E10936">
        <w:rPr>
          <w:rFonts w:ascii="Times New Roman" w:hAnsi="Times New Roman" w:cs="Times New Roman"/>
          <w:sz w:val="24"/>
          <w:szCs w:val="24"/>
        </w:rPr>
        <w:t>Assman</w:t>
      </w:r>
      <w:r w:rsidR="006A35A8">
        <w:rPr>
          <w:rFonts w:ascii="Times New Roman" w:hAnsi="Times New Roman" w:cs="Times New Roman"/>
          <w:sz w:val="24"/>
          <w:szCs w:val="24"/>
        </w:rPr>
        <w:t>n</w:t>
      </w:r>
      <w:proofErr w:type="spellEnd"/>
      <w:r w:rsidRPr="00E10936">
        <w:rPr>
          <w:rFonts w:ascii="Times New Roman" w:hAnsi="Times New Roman" w:cs="Times New Roman"/>
          <w:sz w:val="24"/>
          <w:szCs w:val="24"/>
        </w:rPr>
        <w:t xml:space="preserve"> 205). </w:t>
      </w:r>
    </w:p>
    <w:p w14:paraId="60393958" w14:textId="2B4EA863" w:rsidR="00E10936" w:rsidRPr="00E10936" w:rsidRDefault="00E10936" w:rsidP="00E10936">
      <w:pPr>
        <w:rPr>
          <w:rFonts w:ascii="Times New Roman" w:hAnsi="Times New Roman" w:cs="Times New Roman"/>
          <w:sz w:val="24"/>
          <w:szCs w:val="24"/>
        </w:rPr>
      </w:pPr>
      <w:r w:rsidRPr="00E10936">
        <w:rPr>
          <w:rFonts w:ascii="Times New Roman" w:hAnsi="Times New Roman" w:cs="Times New Roman"/>
          <w:sz w:val="24"/>
          <w:szCs w:val="24"/>
        </w:rPr>
        <w:lastRenderedPageBreak/>
        <w:t>The practice of divination became common during the period of the New Kingdom, where there is evidence of references to the interpretation of dreams, bird flights, and oracles (</w:t>
      </w:r>
      <w:proofErr w:type="spellStart"/>
      <w:r w:rsidRPr="00E10936">
        <w:rPr>
          <w:rFonts w:ascii="Times New Roman" w:hAnsi="Times New Roman" w:cs="Times New Roman"/>
          <w:sz w:val="24"/>
          <w:szCs w:val="24"/>
        </w:rPr>
        <w:t>Assman</w:t>
      </w:r>
      <w:r w:rsidR="006A35A8">
        <w:rPr>
          <w:rFonts w:ascii="Times New Roman" w:hAnsi="Times New Roman" w:cs="Times New Roman"/>
          <w:sz w:val="24"/>
          <w:szCs w:val="24"/>
        </w:rPr>
        <w:t>n</w:t>
      </w:r>
      <w:proofErr w:type="spellEnd"/>
      <w:r w:rsidRPr="00E10936">
        <w:rPr>
          <w:rFonts w:ascii="Times New Roman" w:hAnsi="Times New Roman" w:cs="Times New Roman"/>
          <w:sz w:val="24"/>
          <w:szCs w:val="24"/>
        </w:rPr>
        <w:t xml:space="preserve"> 301). It is unknown exactly why Egyptians began practicing divination during the New Kingdom. One explanation could be the influence of other cultures. During the New Kingdom (1550 – 1070), Egypt was in contact with the Hittites and Assyrians, who had their divination systems. During this period, Egypt also conducted several military invasions in foreign countries and may have sought divine guidance to ensure their success. Lastly, the New Kingdom period was a period of political stability and prosperity. </w:t>
      </w:r>
    </w:p>
    <w:p w14:paraId="0E59E014" w14:textId="77777777" w:rsidR="00E10936" w:rsidRPr="00E10936" w:rsidRDefault="00E10936" w:rsidP="00E10936">
      <w:pPr>
        <w:rPr>
          <w:rFonts w:ascii="Times New Roman" w:hAnsi="Times New Roman" w:cs="Times New Roman"/>
          <w:sz w:val="24"/>
          <w:szCs w:val="24"/>
        </w:rPr>
      </w:pPr>
    </w:p>
    <w:p w14:paraId="28F62374" w14:textId="081C655F" w:rsidR="00E10936" w:rsidRPr="00E10936" w:rsidRDefault="00E10936" w:rsidP="00E10936">
      <w:pPr>
        <w:rPr>
          <w:rFonts w:ascii="Times New Roman" w:hAnsi="Times New Roman" w:cs="Times New Roman"/>
          <w:b/>
          <w:bCs/>
          <w:i/>
          <w:iCs/>
          <w:sz w:val="24"/>
          <w:szCs w:val="24"/>
        </w:rPr>
      </w:pPr>
      <w:r w:rsidRPr="00E10936">
        <w:rPr>
          <w:rFonts w:ascii="Times New Roman" w:hAnsi="Times New Roman" w:cs="Times New Roman"/>
          <w:b/>
          <w:bCs/>
          <w:i/>
          <w:iCs/>
          <w:sz w:val="24"/>
          <w:szCs w:val="24"/>
        </w:rPr>
        <w:t>Question 2: Critically analyze a text from a Greek or Demotic Magical Papyri in terms of Cosmology, Magic, and Divination</w:t>
      </w:r>
    </w:p>
    <w:p w14:paraId="05BAD7DC" w14:textId="77777777" w:rsidR="00E10936" w:rsidRPr="00E10936" w:rsidRDefault="00E10936" w:rsidP="00E10936">
      <w:pPr>
        <w:ind w:firstLine="720"/>
        <w:rPr>
          <w:rFonts w:ascii="Times New Roman" w:hAnsi="Times New Roman" w:cs="Times New Roman"/>
          <w:sz w:val="24"/>
          <w:szCs w:val="24"/>
        </w:rPr>
      </w:pPr>
      <w:r w:rsidRPr="00E10936">
        <w:rPr>
          <w:rFonts w:ascii="Times New Roman" w:hAnsi="Times New Roman" w:cs="Times New Roman"/>
          <w:sz w:val="24"/>
          <w:szCs w:val="24"/>
        </w:rPr>
        <w:t>The Mithras Liturgy is a Greek magical text (part of the Great Magic Papyrus of Paris) that describes an immortality ritual written sometime between the 2nd – 3rd centuries CE. The liturgy is syncretistic and references Persia, Greece, and Egypt. It is written in Greek, but the only deity mentioned is the Persian God, Helios-Mithras-</w:t>
      </w:r>
      <w:proofErr w:type="spellStart"/>
      <w:r w:rsidRPr="00E10936">
        <w:rPr>
          <w:rFonts w:ascii="Times New Roman" w:hAnsi="Times New Roman" w:cs="Times New Roman"/>
          <w:sz w:val="24"/>
          <w:szCs w:val="24"/>
        </w:rPr>
        <w:t>Aion</w:t>
      </w:r>
      <w:proofErr w:type="spellEnd"/>
      <w:r w:rsidRPr="00E10936">
        <w:rPr>
          <w:rFonts w:ascii="Times New Roman" w:hAnsi="Times New Roman" w:cs="Times New Roman"/>
          <w:sz w:val="24"/>
          <w:szCs w:val="24"/>
        </w:rPr>
        <w:t xml:space="preserve">, and other astral divinities and powers. No Egyptian or Greek gods are mentioned (Betz 34). The philosophical ideas typical of Middle Stoicism include the recreation/rebirth and ascension into Heaven religious themes (Betz 35). The primary reference to Egypt is the ingredients for rituals: animals, plants, and minerals. </w:t>
      </w:r>
    </w:p>
    <w:p w14:paraId="6BF7C7AB" w14:textId="77777777" w:rsidR="00E10936" w:rsidRPr="00E10936" w:rsidRDefault="00E10936" w:rsidP="00E10936">
      <w:pPr>
        <w:ind w:firstLine="720"/>
        <w:rPr>
          <w:rFonts w:ascii="Times New Roman" w:hAnsi="Times New Roman" w:cs="Times New Roman"/>
          <w:sz w:val="24"/>
          <w:szCs w:val="24"/>
        </w:rPr>
      </w:pPr>
      <w:r w:rsidRPr="00E10936">
        <w:rPr>
          <w:rFonts w:ascii="Times New Roman" w:hAnsi="Times New Roman" w:cs="Times New Roman"/>
          <w:sz w:val="24"/>
          <w:szCs w:val="24"/>
        </w:rPr>
        <w:t xml:space="preserve">The cosmological worldview in the liturgy is Greek in origin and includes seven planetary gods: Jupiter, Mercurius, Luna, Mars, Venus, Saturnus, and perhaps Sol (Betz 136). Many cosmologies in the Greco-Roman world included seven spheres or seven heavens, as the number seven was believed to be sacred and have magical potency (138). The liturgy requires the magician to complete seven prayers and rituals in a seven-stage ascension of the soul through the astral world and finally ends with immortalization. (Betz 136).   </w:t>
      </w:r>
    </w:p>
    <w:p w14:paraId="1BB3E688" w14:textId="77777777" w:rsidR="00E10936" w:rsidRPr="00E10936" w:rsidRDefault="00E10936" w:rsidP="00E10936">
      <w:pPr>
        <w:ind w:firstLine="720"/>
        <w:rPr>
          <w:rFonts w:ascii="Times New Roman" w:hAnsi="Times New Roman" w:cs="Times New Roman"/>
          <w:sz w:val="24"/>
          <w:szCs w:val="24"/>
        </w:rPr>
      </w:pPr>
      <w:r w:rsidRPr="00E10936">
        <w:rPr>
          <w:rFonts w:ascii="Times New Roman" w:hAnsi="Times New Roman" w:cs="Times New Roman"/>
          <w:sz w:val="24"/>
          <w:szCs w:val="24"/>
        </w:rPr>
        <w:t xml:space="preserve">Divination is used throughout the Mithras Liturgy in the form of prayers and rituals. Part I of the liturgy is a prayer to the divinity of Providence and World-Soul requesting a "…petition for pardon in the view of what is described as risky and potentially inappropriate transmission in writing of the secret tradition of mysteries to fellow initiates" (Betz 29). Part II of the liturgy is the main body of the ritual, named the "ritual of immortalization." Part II is further divided into four subsections, each addressing significant phases of the ritual. "The subsections are partly prescriptive recitations, partly narrative descriptions of the ritual process" (Betz 30). </w:t>
      </w:r>
    </w:p>
    <w:p w14:paraId="5F9FA92D" w14:textId="77777777" w:rsidR="00E10936" w:rsidRPr="00E10936" w:rsidRDefault="00E10936" w:rsidP="00E10936">
      <w:pPr>
        <w:ind w:firstLine="720"/>
        <w:rPr>
          <w:rFonts w:ascii="Times New Roman" w:hAnsi="Times New Roman" w:cs="Times New Roman"/>
          <w:sz w:val="24"/>
          <w:szCs w:val="24"/>
        </w:rPr>
      </w:pPr>
      <w:r w:rsidRPr="00E10936">
        <w:rPr>
          <w:rFonts w:ascii="Times New Roman" w:hAnsi="Times New Roman" w:cs="Times New Roman"/>
          <w:sz w:val="24"/>
          <w:szCs w:val="24"/>
        </w:rPr>
        <w:t xml:space="preserve">Subsection A is a long, complex prayer of invocation of cosmic powers by abstract, personified concepts instead of traditional names of deities, which is clear evidence of the influence of Greek philosophy (Betz 101). The prayer is an invocation of the four elements: spirit, fire, water, and earthy material (including the earthy material in me), which make up the universe, as well as the creation and recreation of the human body (Betz 30).  </w:t>
      </w:r>
    </w:p>
    <w:p w14:paraId="0B29FEEA" w14:textId="77777777" w:rsidR="00E10936" w:rsidRPr="00E10936" w:rsidRDefault="00E10936" w:rsidP="00E10936">
      <w:pPr>
        <w:ind w:firstLine="720"/>
        <w:rPr>
          <w:rFonts w:ascii="Times New Roman" w:hAnsi="Times New Roman" w:cs="Times New Roman"/>
          <w:sz w:val="24"/>
          <w:szCs w:val="24"/>
        </w:rPr>
      </w:pPr>
      <w:r w:rsidRPr="00E10936">
        <w:rPr>
          <w:rFonts w:ascii="Times New Roman" w:hAnsi="Times New Roman" w:cs="Times New Roman"/>
          <w:sz w:val="24"/>
          <w:szCs w:val="24"/>
        </w:rPr>
        <w:t xml:space="preserve">"Subsection B prescribes a breathing ritual for inhaling spirit carried downwards from the rays of the sun. Subsection C provides religious-philosophical explanations of the concept of </w:t>
      </w:r>
      <w:r w:rsidRPr="00E10936">
        <w:rPr>
          <w:rFonts w:ascii="Times New Roman" w:hAnsi="Times New Roman" w:cs="Times New Roman"/>
          <w:sz w:val="24"/>
          <w:szCs w:val="24"/>
        </w:rPr>
        <w:lastRenderedPageBreak/>
        <w:t xml:space="preserve">ascension through the spirit. Subsection D narrates the seven stages of ascension culminating in the seventh stage in an encounter with the god Mithras" (Betz 30).   </w:t>
      </w:r>
    </w:p>
    <w:p w14:paraId="65250922" w14:textId="77777777" w:rsidR="00E10936" w:rsidRPr="00E10936" w:rsidRDefault="00E10936" w:rsidP="00E10936">
      <w:pPr>
        <w:rPr>
          <w:rFonts w:ascii="Times New Roman" w:hAnsi="Times New Roman" w:cs="Times New Roman"/>
          <w:sz w:val="24"/>
          <w:szCs w:val="24"/>
        </w:rPr>
      </w:pPr>
    </w:p>
    <w:p w14:paraId="58DC4B0C" w14:textId="77777777" w:rsidR="00E10936" w:rsidRPr="00E10936" w:rsidRDefault="00E10936" w:rsidP="00E10936">
      <w:pPr>
        <w:rPr>
          <w:rFonts w:ascii="Times New Roman" w:hAnsi="Times New Roman" w:cs="Times New Roman"/>
          <w:b/>
          <w:bCs/>
          <w:i/>
          <w:iCs/>
          <w:sz w:val="24"/>
          <w:szCs w:val="24"/>
        </w:rPr>
      </w:pPr>
      <w:r w:rsidRPr="00E10936">
        <w:rPr>
          <w:rFonts w:ascii="Times New Roman" w:hAnsi="Times New Roman" w:cs="Times New Roman"/>
          <w:b/>
          <w:bCs/>
          <w:i/>
          <w:iCs/>
          <w:sz w:val="24"/>
          <w:szCs w:val="24"/>
        </w:rPr>
        <w:t>Question 3: Critically examine the roles of Divination within Theurgy.</w:t>
      </w:r>
    </w:p>
    <w:p w14:paraId="1637E234" w14:textId="77777777" w:rsidR="00E10936" w:rsidRPr="00E10936" w:rsidRDefault="00E10936" w:rsidP="00E10936">
      <w:pPr>
        <w:rPr>
          <w:rFonts w:ascii="Times New Roman" w:hAnsi="Times New Roman" w:cs="Times New Roman"/>
          <w:sz w:val="24"/>
          <w:szCs w:val="24"/>
          <w:u w:val="single"/>
        </w:rPr>
      </w:pPr>
      <w:r w:rsidRPr="00E10936">
        <w:rPr>
          <w:rFonts w:ascii="Times New Roman" w:hAnsi="Times New Roman" w:cs="Times New Roman"/>
          <w:sz w:val="24"/>
          <w:szCs w:val="24"/>
          <w:u w:val="single"/>
        </w:rPr>
        <w:t>Definition of True Divination</w:t>
      </w:r>
    </w:p>
    <w:p w14:paraId="78EDAC5E" w14:textId="77777777" w:rsidR="00E10936" w:rsidRPr="00E10936" w:rsidRDefault="00E10936" w:rsidP="007812F9">
      <w:pPr>
        <w:ind w:firstLine="720"/>
        <w:rPr>
          <w:rFonts w:ascii="Times New Roman" w:hAnsi="Times New Roman" w:cs="Times New Roman"/>
          <w:sz w:val="24"/>
          <w:szCs w:val="24"/>
        </w:rPr>
      </w:pPr>
      <w:r w:rsidRPr="00E10936">
        <w:rPr>
          <w:rFonts w:ascii="Times New Roman" w:hAnsi="Times New Roman" w:cs="Times New Roman"/>
          <w:sz w:val="24"/>
          <w:szCs w:val="24"/>
        </w:rPr>
        <w:t xml:space="preserve">In late antiquity, in the Greco-Roman world, divination was a highly respected and popular practice that involved the interpretation of omens, dreams, and other signs in gaining insight into the future, the unknown, or the will of the gods. Diviners were believed to have a special connection with the divine that allowed them to interpret signs and symbols that were invisible to others. Popular diviners included oracles, bird watchers, gut-gazers, dream interpreters, and tarot readers (Shaw 259). </w:t>
      </w:r>
    </w:p>
    <w:p w14:paraId="50FA9D4A" w14:textId="77777777" w:rsidR="00E10936" w:rsidRPr="00E10936" w:rsidRDefault="00E10936" w:rsidP="00E10936">
      <w:pPr>
        <w:rPr>
          <w:rFonts w:ascii="Times New Roman" w:hAnsi="Times New Roman" w:cs="Times New Roman"/>
          <w:sz w:val="24"/>
          <w:szCs w:val="24"/>
        </w:rPr>
      </w:pPr>
      <w:r w:rsidRPr="00E10936">
        <w:rPr>
          <w:rFonts w:ascii="Times New Roman" w:hAnsi="Times New Roman" w:cs="Times New Roman"/>
          <w:sz w:val="24"/>
          <w:szCs w:val="24"/>
        </w:rPr>
        <w:tab/>
        <w:t xml:space="preserve">However, Iamblichus distinguished between "true divination" or "theurgical divination;" and second-order divination. True, theurgical divination was equivalent to the "divinization" of one's soul: making the soul divine. Iamblichus asserted that the popular, frequently used "non-theurgical diviners" who could interpret omens, dreams, or other signs used inductive techniques of a second divination order which were fallible and fell short of divine stability and truth and, most importantly, did not transform the soul (Shaw 260 - 261). Unlike theurgical divination, second-order divination did not transform the human soul and fell short of divine stability and truth. "This intuitive faculty has nothing in it that is truly blessed" (qt. in Shaw 261; DM 288, 18 - 19).  </w:t>
      </w:r>
    </w:p>
    <w:p w14:paraId="39710590" w14:textId="77777777" w:rsidR="00E10936" w:rsidRPr="00E10936" w:rsidRDefault="00E10936" w:rsidP="007812F9">
      <w:pPr>
        <w:ind w:firstLine="720"/>
        <w:rPr>
          <w:rFonts w:ascii="Times New Roman" w:hAnsi="Times New Roman" w:cs="Times New Roman"/>
          <w:sz w:val="24"/>
          <w:szCs w:val="24"/>
        </w:rPr>
      </w:pPr>
      <w:r w:rsidRPr="00E10936">
        <w:rPr>
          <w:rFonts w:ascii="Times New Roman" w:hAnsi="Times New Roman" w:cs="Times New Roman"/>
          <w:sz w:val="24"/>
          <w:szCs w:val="24"/>
        </w:rPr>
        <w:t>Iamblichus taught that the true function of divination was the deification or assimilation of the soul with the divine:</w:t>
      </w:r>
    </w:p>
    <w:p w14:paraId="3FEF2B72" w14:textId="77777777" w:rsidR="00E10936" w:rsidRPr="00E10936" w:rsidRDefault="00E10936" w:rsidP="00E10936">
      <w:pPr>
        <w:ind w:left="720"/>
        <w:rPr>
          <w:rFonts w:ascii="Times New Roman" w:hAnsi="Times New Roman" w:cs="Times New Roman"/>
          <w:sz w:val="24"/>
          <w:szCs w:val="24"/>
        </w:rPr>
      </w:pPr>
      <w:r w:rsidRPr="00E10936">
        <w:rPr>
          <w:rFonts w:ascii="Times New Roman" w:hAnsi="Times New Roman" w:cs="Times New Roman"/>
          <w:sz w:val="24"/>
          <w:szCs w:val="24"/>
        </w:rPr>
        <w:t>"Divine mantike alone unites us with the Gods, for it genuinely gives us a share of the divine life, has a share in prognosis and divine intuitions, and makes us truly divine. It truly bestows the Good on us, because the most blessed intuition of the Gods is filled with all the good things" (DM 289, 3 – 8).</w:t>
      </w:r>
    </w:p>
    <w:p w14:paraId="55628EDA" w14:textId="77777777" w:rsidR="00E10936" w:rsidRPr="00E10936" w:rsidRDefault="00E10936" w:rsidP="00E10936">
      <w:pPr>
        <w:rPr>
          <w:rFonts w:ascii="Times New Roman" w:hAnsi="Times New Roman" w:cs="Times New Roman"/>
          <w:sz w:val="24"/>
          <w:szCs w:val="24"/>
          <w:u w:val="single"/>
        </w:rPr>
      </w:pPr>
      <w:r w:rsidRPr="00E10936">
        <w:rPr>
          <w:rFonts w:ascii="Times New Roman" w:hAnsi="Times New Roman" w:cs="Times New Roman"/>
          <w:sz w:val="24"/>
          <w:szCs w:val="24"/>
          <w:u w:val="single"/>
        </w:rPr>
        <w:t>Iamblichus' Theurgical Program</w:t>
      </w:r>
    </w:p>
    <w:p w14:paraId="410F2440" w14:textId="77777777" w:rsidR="00E10936" w:rsidRPr="00E10936" w:rsidRDefault="00E10936" w:rsidP="00E10936">
      <w:pPr>
        <w:rPr>
          <w:rFonts w:ascii="Times New Roman" w:hAnsi="Times New Roman" w:cs="Times New Roman"/>
          <w:sz w:val="24"/>
          <w:szCs w:val="24"/>
        </w:rPr>
      </w:pPr>
      <w:r w:rsidRPr="00E10936">
        <w:rPr>
          <w:rFonts w:ascii="Times New Roman" w:hAnsi="Times New Roman" w:cs="Times New Roman"/>
          <w:sz w:val="24"/>
          <w:szCs w:val="24"/>
        </w:rPr>
        <w:t>Iamblichus taught that the central purpose of theurgy is the "divinization" or deification of the soul (DM 1.12). In order to achieve divinization, one must follow a lifelong theurgical program "incorporating a set of ritual practices alongside the development of ethical and intellectual capacities which aimed to use symbols to reawaken the soul's pre-ontological, causal connection with the gods, operating primarily through divine love and, subordinately through cosmic sympathy" (</w:t>
      </w:r>
      <w:proofErr w:type="spellStart"/>
      <w:r w:rsidRPr="00E10936">
        <w:rPr>
          <w:rFonts w:ascii="Times New Roman" w:hAnsi="Times New Roman" w:cs="Times New Roman"/>
          <w:sz w:val="24"/>
          <w:szCs w:val="24"/>
        </w:rPr>
        <w:t>Addey</w:t>
      </w:r>
      <w:proofErr w:type="spellEnd"/>
      <w:r w:rsidRPr="00E10936">
        <w:rPr>
          <w:rFonts w:ascii="Times New Roman" w:hAnsi="Times New Roman" w:cs="Times New Roman"/>
          <w:sz w:val="24"/>
          <w:szCs w:val="24"/>
        </w:rPr>
        <w:t xml:space="preserve"> 25). </w:t>
      </w:r>
    </w:p>
    <w:p w14:paraId="7CEE8A08" w14:textId="77777777" w:rsidR="00E10936" w:rsidRPr="00E10936" w:rsidRDefault="00E10936" w:rsidP="00E10936">
      <w:pPr>
        <w:rPr>
          <w:rFonts w:ascii="Times New Roman" w:hAnsi="Times New Roman" w:cs="Times New Roman"/>
          <w:sz w:val="24"/>
          <w:szCs w:val="24"/>
        </w:rPr>
      </w:pPr>
      <w:r w:rsidRPr="00E10936">
        <w:rPr>
          <w:rFonts w:ascii="Times New Roman" w:hAnsi="Times New Roman" w:cs="Times New Roman"/>
          <w:sz w:val="24"/>
          <w:szCs w:val="24"/>
        </w:rPr>
        <w:t>Iamblichus taught that the theurgist must be pure intellectually and ethically to receive divine messages and illuminations through divination. The theurgist had to be a philosopher, engage in meditation and contemplation exercises, live a moral and ethical life, and engage in traditional religious practices such as divination, rituals, and prayer to achieve purity.</w:t>
      </w:r>
    </w:p>
    <w:p w14:paraId="66324C7D" w14:textId="77777777" w:rsidR="00E10936" w:rsidRPr="00E10936" w:rsidRDefault="00E10936" w:rsidP="00E10936">
      <w:pPr>
        <w:rPr>
          <w:rFonts w:ascii="Times New Roman" w:hAnsi="Times New Roman" w:cs="Times New Roman"/>
          <w:sz w:val="24"/>
          <w:szCs w:val="24"/>
        </w:rPr>
      </w:pPr>
    </w:p>
    <w:p w14:paraId="32AD53B8" w14:textId="77777777" w:rsidR="00E10936" w:rsidRPr="00E10936" w:rsidRDefault="00E10936" w:rsidP="00E10936">
      <w:pPr>
        <w:rPr>
          <w:rFonts w:ascii="Times New Roman" w:hAnsi="Times New Roman" w:cs="Times New Roman"/>
          <w:b/>
          <w:bCs/>
          <w:i/>
          <w:iCs/>
          <w:sz w:val="24"/>
          <w:szCs w:val="24"/>
        </w:rPr>
      </w:pPr>
      <w:r w:rsidRPr="00E10936">
        <w:rPr>
          <w:rFonts w:ascii="Times New Roman" w:hAnsi="Times New Roman" w:cs="Times New Roman"/>
          <w:b/>
          <w:bCs/>
          <w:i/>
          <w:iCs/>
          <w:sz w:val="24"/>
          <w:szCs w:val="24"/>
        </w:rPr>
        <w:t>Question 4: Analyze the connections between Theurgy, Philosophy, and Magic</w:t>
      </w:r>
    </w:p>
    <w:p w14:paraId="3E717A6F" w14:textId="77777777" w:rsidR="00E10936" w:rsidRPr="00E10936" w:rsidRDefault="00E10936" w:rsidP="00E10936">
      <w:pPr>
        <w:rPr>
          <w:rFonts w:ascii="Times New Roman" w:hAnsi="Times New Roman" w:cs="Times New Roman"/>
          <w:sz w:val="24"/>
          <w:szCs w:val="24"/>
          <w:u w:val="single"/>
        </w:rPr>
      </w:pPr>
      <w:r w:rsidRPr="00E10936">
        <w:rPr>
          <w:rFonts w:ascii="Times New Roman" w:hAnsi="Times New Roman" w:cs="Times New Roman"/>
          <w:sz w:val="24"/>
          <w:szCs w:val="24"/>
          <w:u w:val="single"/>
        </w:rPr>
        <w:t>The Connection between Theurgy and Philosophy</w:t>
      </w:r>
    </w:p>
    <w:p w14:paraId="2272BDD5" w14:textId="77777777" w:rsidR="00E10936" w:rsidRPr="00E10936" w:rsidRDefault="00E10936" w:rsidP="001400D0">
      <w:pPr>
        <w:ind w:firstLine="720"/>
        <w:rPr>
          <w:rFonts w:ascii="Times New Roman" w:hAnsi="Times New Roman" w:cs="Times New Roman"/>
          <w:sz w:val="24"/>
          <w:szCs w:val="24"/>
        </w:rPr>
      </w:pPr>
      <w:r w:rsidRPr="00E10936">
        <w:rPr>
          <w:rFonts w:ascii="Times New Roman" w:hAnsi="Times New Roman" w:cs="Times New Roman"/>
          <w:sz w:val="24"/>
          <w:szCs w:val="24"/>
        </w:rPr>
        <w:t xml:space="preserve">Theurgy and Philosophy are closely connected in that both disciplines endeavor to achieve a deep understanding of the fundamental truths about existence through careful observation and logic. Their systemized method for a profound understanding of truths about existence includes questioning, critical discussion, rational argument, and systemic presentation. One of the prerequisites of theurgy is philosophy. "Iamblichus claims that both philosophy and theurgy are </w:t>
      </w:r>
      <w:proofErr w:type="spellStart"/>
      <w:r w:rsidRPr="00E10936">
        <w:rPr>
          <w:rFonts w:ascii="Times New Roman" w:hAnsi="Times New Roman" w:cs="Times New Roman"/>
          <w:sz w:val="24"/>
          <w:szCs w:val="24"/>
        </w:rPr>
        <w:t>god-given</w:t>
      </w:r>
      <w:proofErr w:type="spellEnd"/>
      <w:r w:rsidRPr="00E10936">
        <w:rPr>
          <w:rFonts w:ascii="Times New Roman" w:hAnsi="Times New Roman" w:cs="Times New Roman"/>
          <w:sz w:val="24"/>
          <w:szCs w:val="24"/>
        </w:rPr>
        <w:t>. Therefore, although philosophy is clearly not identical with theurgy, it retains an intimate relationship with it…" (</w:t>
      </w:r>
      <w:proofErr w:type="spellStart"/>
      <w:r w:rsidRPr="00E10936">
        <w:rPr>
          <w:rFonts w:ascii="Times New Roman" w:hAnsi="Times New Roman" w:cs="Times New Roman"/>
          <w:sz w:val="24"/>
          <w:szCs w:val="24"/>
        </w:rPr>
        <w:t>Addey</w:t>
      </w:r>
      <w:proofErr w:type="spellEnd"/>
      <w:r w:rsidRPr="00E10936">
        <w:rPr>
          <w:rFonts w:ascii="Times New Roman" w:hAnsi="Times New Roman" w:cs="Times New Roman"/>
          <w:sz w:val="24"/>
          <w:szCs w:val="24"/>
        </w:rPr>
        <w:t xml:space="preserve"> 190). Intellectual purification through philosophy and moral virtue are considered essential prerequisites and practices for theurgic ritual, and Iamblichus maintains that a theurgist has to be a philosopher (DM 2.11).</w:t>
      </w:r>
    </w:p>
    <w:p w14:paraId="26E94F20" w14:textId="61231920" w:rsidR="00E10936" w:rsidRPr="00E10936" w:rsidRDefault="00E10936" w:rsidP="001400D0">
      <w:pPr>
        <w:ind w:firstLine="720"/>
        <w:rPr>
          <w:rFonts w:ascii="Times New Roman" w:hAnsi="Times New Roman" w:cs="Times New Roman"/>
          <w:sz w:val="24"/>
          <w:szCs w:val="24"/>
        </w:rPr>
      </w:pPr>
      <w:r w:rsidRPr="00E10936">
        <w:rPr>
          <w:rFonts w:ascii="Times New Roman" w:hAnsi="Times New Roman" w:cs="Times New Roman"/>
          <w:sz w:val="24"/>
          <w:szCs w:val="24"/>
        </w:rPr>
        <w:t>However, theurgy and philosophy differ in their ultimate goals. While philosophy's goal and theurgy's prerequisite is a deep understanding of the truths about existence, the central purpose of theurgy is divinization or union with the divine. "The goal of Theurgy was the cumulative contact, assimilation, and, ultimately, union with the divine and thereby the divinization of the theurgist: in other words, the ascent of the soul to the divine, intelligible realm and the manifestation of the divine in embodied life" (</w:t>
      </w:r>
      <w:proofErr w:type="spellStart"/>
      <w:r w:rsidRPr="00E10936">
        <w:rPr>
          <w:rFonts w:ascii="Times New Roman" w:hAnsi="Times New Roman" w:cs="Times New Roman"/>
          <w:sz w:val="24"/>
          <w:szCs w:val="24"/>
        </w:rPr>
        <w:t>Addey</w:t>
      </w:r>
      <w:proofErr w:type="spellEnd"/>
      <w:r w:rsidRPr="00E10936">
        <w:rPr>
          <w:rFonts w:ascii="Times New Roman" w:hAnsi="Times New Roman" w:cs="Times New Roman"/>
          <w:sz w:val="24"/>
          <w:szCs w:val="24"/>
        </w:rPr>
        <w:t xml:space="preserve"> 25). </w:t>
      </w:r>
    </w:p>
    <w:p w14:paraId="5F8D41AF" w14:textId="77777777" w:rsidR="00E10936" w:rsidRPr="00E10936" w:rsidRDefault="00E10936" w:rsidP="001400D0">
      <w:pPr>
        <w:ind w:firstLine="720"/>
        <w:rPr>
          <w:rFonts w:ascii="Times New Roman" w:hAnsi="Times New Roman" w:cs="Times New Roman"/>
          <w:sz w:val="24"/>
          <w:szCs w:val="24"/>
        </w:rPr>
      </w:pPr>
      <w:r w:rsidRPr="00E10936">
        <w:rPr>
          <w:rFonts w:ascii="Times New Roman" w:hAnsi="Times New Roman" w:cs="Times New Roman"/>
          <w:sz w:val="24"/>
          <w:szCs w:val="24"/>
        </w:rPr>
        <w:t>In addition to being a philosopher, to attain union with the divine, the theurgist had to be virtuous and actively cultivate his/her receptivity to attain a pure and perfect receptacle for God to manifest through during a ritual (</w:t>
      </w:r>
      <w:proofErr w:type="spellStart"/>
      <w:r w:rsidRPr="00E10936">
        <w:rPr>
          <w:rFonts w:ascii="Times New Roman" w:hAnsi="Times New Roman" w:cs="Times New Roman"/>
          <w:sz w:val="24"/>
          <w:szCs w:val="24"/>
        </w:rPr>
        <w:t>Addey</w:t>
      </w:r>
      <w:proofErr w:type="spellEnd"/>
      <w:r w:rsidRPr="00E10936">
        <w:rPr>
          <w:rFonts w:ascii="Times New Roman" w:hAnsi="Times New Roman" w:cs="Times New Roman"/>
          <w:sz w:val="24"/>
          <w:szCs w:val="24"/>
        </w:rPr>
        <w:t xml:space="preserve"> 189). Iamblichus called this "receptivity fitness." "He [Iamblichus] repeatedly emphasizes that divine illumination is omnipresent in the mortal world, yet the ritual practitioner's receptivity must have been properly cultivated so that they are ready to receive these divine illuminations" (DM 1.8). The theurgist purified themselves to achieve receptivity fitness through ritual, intellectual and ethical means by engaging in meditation, contemplation, and traditional religious practices such as divination and prayer (</w:t>
      </w:r>
      <w:proofErr w:type="spellStart"/>
      <w:r w:rsidRPr="00E10936">
        <w:rPr>
          <w:rFonts w:ascii="Times New Roman" w:hAnsi="Times New Roman" w:cs="Times New Roman"/>
          <w:sz w:val="24"/>
          <w:szCs w:val="24"/>
        </w:rPr>
        <w:t>Addey</w:t>
      </w:r>
      <w:proofErr w:type="spellEnd"/>
      <w:r w:rsidRPr="00E10936">
        <w:rPr>
          <w:rFonts w:ascii="Times New Roman" w:hAnsi="Times New Roman" w:cs="Times New Roman"/>
          <w:sz w:val="24"/>
          <w:szCs w:val="24"/>
        </w:rPr>
        <w:t xml:space="preserve"> 27).  </w:t>
      </w:r>
    </w:p>
    <w:p w14:paraId="491DC638" w14:textId="77777777" w:rsidR="00E10936" w:rsidRPr="00E10936" w:rsidRDefault="00E10936" w:rsidP="001400D0">
      <w:pPr>
        <w:ind w:firstLine="720"/>
        <w:rPr>
          <w:rFonts w:ascii="Times New Roman" w:hAnsi="Times New Roman" w:cs="Times New Roman"/>
          <w:sz w:val="24"/>
          <w:szCs w:val="24"/>
        </w:rPr>
      </w:pPr>
      <w:r w:rsidRPr="00E10936">
        <w:rPr>
          <w:rFonts w:ascii="Times New Roman" w:hAnsi="Times New Roman" w:cs="Times New Roman"/>
          <w:sz w:val="24"/>
          <w:szCs w:val="24"/>
        </w:rPr>
        <w:t xml:space="preserve">While Plotinus and Porphyry (Greek non-theurgist philosophers) shared the theurgist goal of union with the Divine, unlike theurgists, they did not engage in religious practices such as rituals, prayer, or use symbols as a means of uniting with the divine. Instead, they believed one could achieve divine unity solely through philosophical contemplation. </w:t>
      </w:r>
    </w:p>
    <w:p w14:paraId="164A1E8C" w14:textId="77777777" w:rsidR="00E10936" w:rsidRPr="00E10936" w:rsidRDefault="00E10936" w:rsidP="00E10936">
      <w:pPr>
        <w:rPr>
          <w:rFonts w:ascii="Times New Roman" w:hAnsi="Times New Roman" w:cs="Times New Roman"/>
          <w:sz w:val="24"/>
          <w:szCs w:val="24"/>
          <w:u w:val="single"/>
        </w:rPr>
      </w:pPr>
      <w:r w:rsidRPr="00E10936">
        <w:rPr>
          <w:rFonts w:ascii="Times New Roman" w:hAnsi="Times New Roman" w:cs="Times New Roman"/>
          <w:sz w:val="24"/>
          <w:szCs w:val="24"/>
          <w:u w:val="single"/>
        </w:rPr>
        <w:t xml:space="preserve">The Connection between Theurgy and Magic </w:t>
      </w:r>
    </w:p>
    <w:p w14:paraId="3482B049" w14:textId="77777777" w:rsidR="00E10936" w:rsidRPr="00E10936" w:rsidRDefault="00E10936" w:rsidP="001400D0">
      <w:pPr>
        <w:ind w:firstLine="720"/>
        <w:rPr>
          <w:rFonts w:ascii="Times New Roman" w:hAnsi="Times New Roman" w:cs="Times New Roman"/>
          <w:sz w:val="24"/>
          <w:szCs w:val="24"/>
        </w:rPr>
      </w:pPr>
      <w:r w:rsidRPr="00E10936">
        <w:rPr>
          <w:rFonts w:ascii="Times New Roman" w:hAnsi="Times New Roman" w:cs="Times New Roman"/>
          <w:sz w:val="24"/>
          <w:szCs w:val="24"/>
        </w:rPr>
        <w:t xml:space="preserve">The disciplines of theurgy and magic believe in cosmic sympathy: the idea that the entire universe is interconnected and inextricably linked and divine order that permeates reality. Also, both disciplines performed rituals and used symbols in their practice. However, while both disciplines used rituals and symbols, their objectives for using rituals and symbols differed: the theurgist used rituals and symbols for spiritual reasons – to unite with the divine. In contrast, the magician used rituals and symbols for secular reasons. </w:t>
      </w:r>
    </w:p>
    <w:p w14:paraId="14B1A8AE" w14:textId="77777777" w:rsidR="00E10936" w:rsidRPr="00E10936" w:rsidRDefault="00E10936" w:rsidP="001400D0">
      <w:pPr>
        <w:ind w:firstLine="720"/>
        <w:rPr>
          <w:rFonts w:ascii="Times New Roman" w:hAnsi="Times New Roman" w:cs="Times New Roman"/>
          <w:sz w:val="24"/>
          <w:szCs w:val="24"/>
        </w:rPr>
      </w:pPr>
      <w:r w:rsidRPr="00E10936">
        <w:rPr>
          <w:rFonts w:ascii="Times New Roman" w:hAnsi="Times New Roman" w:cs="Times New Roman"/>
          <w:sz w:val="24"/>
          <w:szCs w:val="24"/>
        </w:rPr>
        <w:lastRenderedPageBreak/>
        <w:t xml:space="preserve">For example, the theurgist used symbols for divine love and sympathy, while the magician used symbols for sympathy only. "Any ritual practitioner who used sympathy inherent in the soul and natural objects without relating this sympathy to its divine cause and origin is practicing </w:t>
      </w:r>
      <w:proofErr w:type="spellStart"/>
      <w:r w:rsidRPr="00E10936">
        <w:rPr>
          <w:rFonts w:ascii="Times New Roman" w:hAnsi="Times New Roman" w:cs="Times New Roman"/>
          <w:sz w:val="24"/>
          <w:szCs w:val="24"/>
        </w:rPr>
        <w:t>goeteia</w:t>
      </w:r>
      <w:proofErr w:type="spellEnd"/>
      <w:r w:rsidRPr="00E10936">
        <w:rPr>
          <w:rFonts w:ascii="Times New Roman" w:hAnsi="Times New Roman" w:cs="Times New Roman"/>
          <w:sz w:val="24"/>
          <w:szCs w:val="24"/>
        </w:rPr>
        <w:t xml:space="preserve"> rather than theurgy" (DM 3.28 – 30). </w:t>
      </w:r>
    </w:p>
    <w:p w14:paraId="7EA0CB9C" w14:textId="77777777" w:rsidR="00E10936" w:rsidRPr="00E10936" w:rsidRDefault="00E10936" w:rsidP="001400D0">
      <w:pPr>
        <w:ind w:firstLine="720"/>
        <w:rPr>
          <w:rFonts w:ascii="Times New Roman" w:hAnsi="Times New Roman" w:cs="Times New Roman"/>
          <w:sz w:val="24"/>
          <w:szCs w:val="24"/>
        </w:rPr>
      </w:pPr>
      <w:r w:rsidRPr="00E10936">
        <w:rPr>
          <w:rFonts w:ascii="Times New Roman" w:hAnsi="Times New Roman" w:cs="Times New Roman"/>
          <w:sz w:val="24"/>
          <w:szCs w:val="24"/>
        </w:rPr>
        <w:t xml:space="preserve">Rituals were religious and spiritual related and used to unite with the divine. Many of their rituals were from ancient religious traditions. The theurgist believed ritual power was a gift from God. </w:t>
      </w:r>
    </w:p>
    <w:p w14:paraId="79B02CE9" w14:textId="77777777" w:rsidR="00E10936" w:rsidRPr="00E10936" w:rsidRDefault="00E10936" w:rsidP="001400D0">
      <w:pPr>
        <w:ind w:left="720"/>
        <w:rPr>
          <w:rFonts w:ascii="Times New Roman" w:hAnsi="Times New Roman" w:cs="Times New Roman"/>
          <w:sz w:val="24"/>
          <w:szCs w:val="24"/>
        </w:rPr>
      </w:pPr>
      <w:r w:rsidRPr="00E10936">
        <w:rPr>
          <w:rFonts w:ascii="Times New Roman" w:hAnsi="Times New Roman" w:cs="Times New Roman"/>
          <w:sz w:val="24"/>
          <w:szCs w:val="24"/>
        </w:rPr>
        <w:t>"…the rituals associated with theurgy were for the most part quite old and seemed to be derived from religious tradition rather than from "magical techniques. Thus oracles, prayer, and sacrifice (traditional Greek, Near Eastern, and Egyptian religious practice), as well as the use of statues for divination (the prevalent form of divination in traditional Egyptian religion), were important elements of theurgy" (</w:t>
      </w:r>
      <w:proofErr w:type="spellStart"/>
      <w:r w:rsidRPr="00E10936">
        <w:rPr>
          <w:rFonts w:ascii="Times New Roman" w:hAnsi="Times New Roman" w:cs="Times New Roman"/>
          <w:sz w:val="24"/>
          <w:szCs w:val="24"/>
        </w:rPr>
        <w:t>Addey</w:t>
      </w:r>
      <w:proofErr w:type="spellEnd"/>
      <w:r w:rsidRPr="00E10936">
        <w:rPr>
          <w:rFonts w:ascii="Times New Roman" w:hAnsi="Times New Roman" w:cs="Times New Roman"/>
          <w:sz w:val="24"/>
          <w:szCs w:val="24"/>
        </w:rPr>
        <w:t xml:space="preserve"> 32).  </w:t>
      </w:r>
    </w:p>
    <w:p w14:paraId="76B7CF9E" w14:textId="77777777" w:rsidR="00E10936" w:rsidRPr="00E10936" w:rsidRDefault="00E10936" w:rsidP="001400D0">
      <w:pPr>
        <w:ind w:firstLine="720"/>
        <w:rPr>
          <w:rFonts w:ascii="Times New Roman" w:hAnsi="Times New Roman" w:cs="Times New Roman"/>
          <w:sz w:val="24"/>
          <w:szCs w:val="24"/>
        </w:rPr>
      </w:pPr>
      <w:r w:rsidRPr="00E10936">
        <w:rPr>
          <w:rFonts w:ascii="Times New Roman" w:hAnsi="Times New Roman" w:cs="Times New Roman"/>
          <w:sz w:val="24"/>
          <w:szCs w:val="24"/>
        </w:rPr>
        <w:t xml:space="preserve">In contrast, the magician saw his ritual powers as his own. The magician "…did not humble himself before the gods but treated them as creatures who could be bent to his will as beings to whom he was prepared to apply force and coercion" (Dickie 26). </w:t>
      </w:r>
    </w:p>
    <w:p w14:paraId="04A4CCAC" w14:textId="77777777" w:rsidR="00E10936" w:rsidRPr="00E10936" w:rsidRDefault="00E10936" w:rsidP="001400D0">
      <w:pPr>
        <w:ind w:firstLine="720"/>
        <w:rPr>
          <w:rFonts w:ascii="Times New Roman" w:hAnsi="Times New Roman" w:cs="Times New Roman"/>
          <w:sz w:val="24"/>
          <w:szCs w:val="24"/>
        </w:rPr>
      </w:pPr>
      <w:r w:rsidRPr="00E10936">
        <w:rPr>
          <w:rFonts w:ascii="Times New Roman" w:hAnsi="Times New Roman" w:cs="Times New Roman"/>
          <w:sz w:val="24"/>
          <w:szCs w:val="24"/>
        </w:rPr>
        <w:t xml:space="preserve">Lastly, the theurgist was pious, had a lifelong devotion to the divine, valued contemplation, and used ancient religious practices. In contrast, the magician was not devoted to the divine and did not engage in religious practices. Iamblichus asserted, "The magician overlooks the whole procedure of effective contemplation and disdains the order of sacred worship, rejecting ancestral customs, prayers, and lengthy ritual practices necessary to perform the effective theurgic ritual" (DM 3.13). </w:t>
      </w:r>
    </w:p>
    <w:p w14:paraId="414CA818" w14:textId="77777777" w:rsidR="00E10936" w:rsidRPr="00E10936" w:rsidRDefault="00E10936" w:rsidP="00E10936">
      <w:pPr>
        <w:rPr>
          <w:rFonts w:ascii="Times New Roman" w:hAnsi="Times New Roman" w:cs="Times New Roman"/>
          <w:sz w:val="24"/>
          <w:szCs w:val="24"/>
        </w:rPr>
      </w:pPr>
    </w:p>
    <w:p w14:paraId="34D970BE" w14:textId="77777777" w:rsidR="00E10936" w:rsidRPr="00E10936" w:rsidRDefault="00E10936" w:rsidP="00E10936">
      <w:pPr>
        <w:rPr>
          <w:rFonts w:ascii="Times New Roman" w:hAnsi="Times New Roman" w:cs="Times New Roman"/>
          <w:b/>
          <w:bCs/>
          <w:i/>
          <w:iCs/>
          <w:sz w:val="24"/>
          <w:szCs w:val="24"/>
        </w:rPr>
      </w:pPr>
      <w:r w:rsidRPr="00E10936">
        <w:rPr>
          <w:rFonts w:ascii="Times New Roman" w:hAnsi="Times New Roman" w:cs="Times New Roman"/>
          <w:b/>
          <w:bCs/>
          <w:i/>
          <w:iCs/>
          <w:sz w:val="24"/>
          <w:szCs w:val="24"/>
        </w:rPr>
        <w:t>Question 5: Analyze the role of divination within the Theory and Practice of Ancient Greek Medicine.</w:t>
      </w:r>
    </w:p>
    <w:p w14:paraId="14C70291" w14:textId="77777777" w:rsidR="00E10936" w:rsidRPr="00E10936" w:rsidRDefault="00E10936" w:rsidP="00E10936">
      <w:pPr>
        <w:rPr>
          <w:rFonts w:ascii="Times New Roman" w:hAnsi="Times New Roman" w:cs="Times New Roman"/>
          <w:sz w:val="24"/>
          <w:szCs w:val="24"/>
          <w:u w:val="single"/>
        </w:rPr>
      </w:pPr>
      <w:r w:rsidRPr="00E10936">
        <w:rPr>
          <w:rFonts w:ascii="Times New Roman" w:hAnsi="Times New Roman" w:cs="Times New Roman"/>
          <w:sz w:val="24"/>
          <w:szCs w:val="24"/>
          <w:u w:val="single"/>
        </w:rPr>
        <w:t>Greek Enlightenment Period</w:t>
      </w:r>
    </w:p>
    <w:p w14:paraId="31BA2A7A" w14:textId="77777777" w:rsidR="00E10936" w:rsidRPr="00E10936" w:rsidRDefault="00E10936" w:rsidP="00E10936">
      <w:pPr>
        <w:rPr>
          <w:rFonts w:ascii="Times New Roman" w:hAnsi="Times New Roman" w:cs="Times New Roman"/>
          <w:sz w:val="24"/>
          <w:szCs w:val="24"/>
        </w:rPr>
      </w:pPr>
      <w:r w:rsidRPr="00E10936">
        <w:rPr>
          <w:rFonts w:ascii="Times New Roman" w:hAnsi="Times New Roman" w:cs="Times New Roman"/>
          <w:sz w:val="24"/>
          <w:szCs w:val="24"/>
        </w:rPr>
        <w:t xml:space="preserve">During the 4th century BCE, Athens was the center of Western civilization and enlightenment because of the many philosophers, writers, and statesmen who lived there, including Pericles, Sophocles, Euripides, and Socrates. Scientific thought and logic were being developed and practiced during this period, and religion was becoming institutionalized. However, many Ancient Greeks continued to believe that the gods and divination played a role in the cause and remedy of diseases and maladies. For example, they believed that if the gods became angry, they might punish humans by inflicting sickness. They also believed that someone skilled in communicating with the gods could help implore the gods to cure the sickness.   </w:t>
      </w:r>
    </w:p>
    <w:p w14:paraId="4DFC4DD5" w14:textId="77777777" w:rsidR="00E10936" w:rsidRPr="00E10936" w:rsidRDefault="00E10936" w:rsidP="00E10936">
      <w:pPr>
        <w:rPr>
          <w:rFonts w:ascii="Times New Roman" w:hAnsi="Times New Roman" w:cs="Times New Roman"/>
          <w:sz w:val="24"/>
          <w:szCs w:val="24"/>
          <w:u w:val="single"/>
        </w:rPr>
      </w:pPr>
      <w:r w:rsidRPr="00E10936">
        <w:rPr>
          <w:rFonts w:ascii="Times New Roman" w:hAnsi="Times New Roman" w:cs="Times New Roman"/>
          <w:sz w:val="24"/>
          <w:szCs w:val="24"/>
          <w:u w:val="single"/>
        </w:rPr>
        <w:t>Asclepius, the Healing God</w:t>
      </w:r>
    </w:p>
    <w:p w14:paraId="6342B11B" w14:textId="77777777" w:rsidR="00E10936" w:rsidRPr="00E10936" w:rsidRDefault="00E10936" w:rsidP="00E10936">
      <w:pPr>
        <w:rPr>
          <w:rFonts w:ascii="Times New Roman" w:hAnsi="Times New Roman" w:cs="Times New Roman"/>
          <w:sz w:val="24"/>
          <w:szCs w:val="24"/>
        </w:rPr>
      </w:pPr>
      <w:r w:rsidRPr="00E10936">
        <w:rPr>
          <w:rFonts w:ascii="Times New Roman" w:hAnsi="Times New Roman" w:cs="Times New Roman"/>
          <w:sz w:val="24"/>
          <w:szCs w:val="24"/>
        </w:rPr>
        <w:t xml:space="preserve">An example of when the Athenians thought they angered the gods occurred in mid-400 BCE when Athens was destroyed, and its population decimated as a result of both the Peloponnesian War and a plague. Around this time, a new healing god, Asclepius (whose father was Apollo), </w:t>
      </w:r>
      <w:r w:rsidRPr="00E10936">
        <w:rPr>
          <w:rFonts w:ascii="Times New Roman" w:hAnsi="Times New Roman" w:cs="Times New Roman"/>
          <w:sz w:val="24"/>
          <w:szCs w:val="24"/>
        </w:rPr>
        <w:lastRenderedPageBreak/>
        <w:t xml:space="preserve">was introduced in Athens. Shortly after Asclepius was introduced, his popularity, temples, and healing sanctuaries grew throughout the Mediterranean world (Tick 19). </w:t>
      </w:r>
    </w:p>
    <w:p w14:paraId="109132A7" w14:textId="77777777" w:rsidR="00E10936" w:rsidRPr="00E10936" w:rsidRDefault="00E10936" w:rsidP="00E10936">
      <w:pPr>
        <w:ind w:firstLine="720"/>
        <w:rPr>
          <w:rFonts w:ascii="Times New Roman" w:hAnsi="Times New Roman" w:cs="Times New Roman"/>
          <w:sz w:val="24"/>
          <w:szCs w:val="24"/>
        </w:rPr>
      </w:pPr>
      <w:r w:rsidRPr="00E10936">
        <w:rPr>
          <w:rFonts w:ascii="Times New Roman" w:hAnsi="Times New Roman" w:cs="Times New Roman"/>
          <w:sz w:val="24"/>
          <w:szCs w:val="24"/>
        </w:rPr>
        <w:t>"The burgeoning of the cult of Asclepius in the late fifth century BC is arguably as significant a development in the history of medicine as the contemporary ferment of medical theories that were later included in the Hippocratic Corpus. Asclepius came to be seen as the healing God par excellence, and the methods of healing favored in his cult, principally incubation (seeking visions while sleeping in a temple), have been regarded by historians as typifying all religious healing in ancient Greece and Rome" (</w:t>
      </w:r>
      <w:proofErr w:type="spellStart"/>
      <w:r w:rsidRPr="00E10936">
        <w:rPr>
          <w:rFonts w:ascii="Times New Roman" w:hAnsi="Times New Roman" w:cs="Times New Roman"/>
          <w:sz w:val="24"/>
          <w:szCs w:val="24"/>
        </w:rPr>
        <w:t>Nutton</w:t>
      </w:r>
      <w:proofErr w:type="spellEnd"/>
      <w:r w:rsidRPr="00E10936">
        <w:rPr>
          <w:rFonts w:ascii="Times New Roman" w:hAnsi="Times New Roman" w:cs="Times New Roman"/>
          <w:sz w:val="24"/>
          <w:szCs w:val="24"/>
        </w:rPr>
        <w:t xml:space="preserve"> 104). </w:t>
      </w:r>
    </w:p>
    <w:p w14:paraId="2D50DBFA" w14:textId="77777777" w:rsidR="00E10936" w:rsidRPr="00E10936" w:rsidRDefault="00E10936" w:rsidP="00E10936">
      <w:pPr>
        <w:ind w:firstLine="720"/>
        <w:rPr>
          <w:rFonts w:ascii="Times New Roman" w:hAnsi="Times New Roman" w:cs="Times New Roman"/>
          <w:sz w:val="24"/>
          <w:szCs w:val="24"/>
        </w:rPr>
      </w:pPr>
      <w:r w:rsidRPr="00E10936">
        <w:rPr>
          <w:rFonts w:ascii="Times New Roman" w:hAnsi="Times New Roman" w:cs="Times New Roman"/>
          <w:sz w:val="24"/>
          <w:szCs w:val="24"/>
        </w:rPr>
        <w:t xml:space="preserve">Dream healing (incubation), considered a form of divination, required patients to sleep in an Asclepius sanctuary where their dreams would be used to diagnose and heal. Besides dream healing (incubation), Pinder (a Greek poet) wrote a poem in 470 BCE describing the healing techniques employed by Asclepius, which included: 1) gentle incantations; 2) soothing potions; 3) the wrapping of antidotes about the limbs; and 4) cutting or surgery (Dickie 25). </w:t>
      </w:r>
    </w:p>
    <w:p w14:paraId="1213DF37" w14:textId="77777777" w:rsidR="00E10936" w:rsidRPr="00E10936" w:rsidRDefault="00E10936" w:rsidP="00E10936">
      <w:pPr>
        <w:rPr>
          <w:rFonts w:ascii="Times New Roman" w:hAnsi="Times New Roman" w:cs="Times New Roman"/>
          <w:sz w:val="24"/>
          <w:szCs w:val="24"/>
          <w:u w:val="single"/>
        </w:rPr>
      </w:pPr>
      <w:r w:rsidRPr="00E10936">
        <w:rPr>
          <w:rFonts w:ascii="Times New Roman" w:hAnsi="Times New Roman" w:cs="Times New Roman"/>
          <w:sz w:val="24"/>
          <w:szCs w:val="24"/>
          <w:u w:val="single"/>
        </w:rPr>
        <w:t>Hippocrates – Movement from Myth to Rationality</w:t>
      </w:r>
    </w:p>
    <w:p w14:paraId="1F66E8D8" w14:textId="77777777" w:rsidR="00E10936" w:rsidRPr="00E10936" w:rsidRDefault="00E10936" w:rsidP="00E10936">
      <w:pPr>
        <w:ind w:firstLine="720"/>
        <w:rPr>
          <w:rFonts w:ascii="Times New Roman" w:hAnsi="Times New Roman" w:cs="Times New Roman"/>
          <w:sz w:val="24"/>
          <w:szCs w:val="24"/>
        </w:rPr>
      </w:pPr>
      <w:r w:rsidRPr="00E10936">
        <w:rPr>
          <w:rFonts w:ascii="Times New Roman" w:hAnsi="Times New Roman" w:cs="Times New Roman"/>
          <w:sz w:val="24"/>
          <w:szCs w:val="24"/>
        </w:rPr>
        <w:t xml:space="preserve">Around the same time as Asclepius' popularity, a Greek physician named Hippocrates (c. 460 – 370 BCE) also became famous, especially in diagnosis and treatment. Hippocrates is known for his significant contributions to the field of medicine and is regarded as the father of Western medicine. Because of Hippocrates, during this period of the Greek Enlightenment, religion and myth were replaced with medicine.  </w:t>
      </w:r>
    </w:p>
    <w:p w14:paraId="49FF7239" w14:textId="77777777" w:rsidR="00E10936" w:rsidRPr="00E10936" w:rsidRDefault="00E10936" w:rsidP="00E10936">
      <w:pPr>
        <w:ind w:left="720"/>
        <w:rPr>
          <w:rFonts w:ascii="Times New Roman" w:hAnsi="Times New Roman" w:cs="Times New Roman"/>
          <w:sz w:val="24"/>
          <w:szCs w:val="24"/>
        </w:rPr>
      </w:pPr>
      <w:r w:rsidRPr="00E10936">
        <w:rPr>
          <w:rFonts w:ascii="Times New Roman" w:hAnsi="Times New Roman" w:cs="Times New Roman"/>
          <w:sz w:val="24"/>
          <w:szCs w:val="24"/>
        </w:rPr>
        <w:t xml:space="preserve">"In medicine, Hippocrates fueled this movement from myth to rationality by rejecting divine causation as the source of the disease. Instead, he searched with analytic rigor for natural causes, symptomatology, processes, and treatment. In Hippocrates' view, all these were natural events, to be understood and treated within the ecologies of nature and the human mind" (Tick 89).  </w:t>
      </w:r>
    </w:p>
    <w:p w14:paraId="67CDC0AF" w14:textId="77777777" w:rsidR="00E10936" w:rsidRPr="00E10936" w:rsidRDefault="00E10936" w:rsidP="00E10936">
      <w:pPr>
        <w:ind w:firstLine="720"/>
        <w:rPr>
          <w:rFonts w:ascii="Times New Roman" w:hAnsi="Times New Roman" w:cs="Times New Roman"/>
          <w:sz w:val="24"/>
          <w:szCs w:val="24"/>
        </w:rPr>
      </w:pPr>
      <w:r w:rsidRPr="00E10936">
        <w:rPr>
          <w:rFonts w:ascii="Times New Roman" w:hAnsi="Times New Roman" w:cs="Times New Roman"/>
          <w:sz w:val="24"/>
          <w:szCs w:val="24"/>
        </w:rPr>
        <w:t xml:space="preserve">Even though Hippocrates fueled the scientific and rational medical movement, he accepted the Greek gods in favor of science. He was religious and included faith and reverence for the gods in his medical practice. Like most Greeks, he believed that nature was divine and to study natural processes was not rejecting divinity but simply discovering divinities' inner workings. (Tick 96). That may explain why Galen, who lived XXX years after Hippocrates and is considered Greek's most outstanding physician of all time, sanctioned the use of religious incantations, which were used by doctors into the second century AD (Dickie 25).   </w:t>
      </w:r>
    </w:p>
    <w:p w14:paraId="5B65DA75" w14:textId="77777777" w:rsidR="00E10936" w:rsidRPr="00E10936" w:rsidRDefault="00E10936" w:rsidP="00E10936">
      <w:pPr>
        <w:rPr>
          <w:rFonts w:ascii="Times New Roman" w:hAnsi="Times New Roman" w:cs="Times New Roman"/>
          <w:sz w:val="24"/>
          <w:szCs w:val="24"/>
        </w:rPr>
      </w:pPr>
    </w:p>
    <w:p w14:paraId="6D7A8F05" w14:textId="77777777" w:rsidR="00E10936" w:rsidRPr="00E10936" w:rsidRDefault="00E10936" w:rsidP="00E10936">
      <w:pPr>
        <w:rPr>
          <w:rFonts w:ascii="Times New Roman" w:hAnsi="Times New Roman" w:cs="Times New Roman"/>
          <w:b/>
          <w:bCs/>
          <w:i/>
          <w:iCs/>
          <w:sz w:val="24"/>
          <w:szCs w:val="24"/>
        </w:rPr>
      </w:pPr>
      <w:r w:rsidRPr="00E10936">
        <w:rPr>
          <w:rFonts w:ascii="Times New Roman" w:hAnsi="Times New Roman" w:cs="Times New Roman"/>
          <w:b/>
          <w:bCs/>
          <w:i/>
          <w:iCs/>
          <w:sz w:val="24"/>
          <w:szCs w:val="24"/>
        </w:rPr>
        <w:t>Question 6: Can the Theory/Practice of Divination help distinguish between Magic and Religion?</w:t>
      </w:r>
    </w:p>
    <w:p w14:paraId="11CDAED3" w14:textId="77777777" w:rsidR="00E10936" w:rsidRPr="00E10936" w:rsidRDefault="00E10936" w:rsidP="00E10936">
      <w:pPr>
        <w:rPr>
          <w:rFonts w:ascii="Times New Roman" w:hAnsi="Times New Roman" w:cs="Times New Roman"/>
          <w:sz w:val="24"/>
          <w:szCs w:val="24"/>
          <w:u w:val="single"/>
        </w:rPr>
      </w:pPr>
      <w:r w:rsidRPr="00E10936">
        <w:rPr>
          <w:rFonts w:ascii="Times New Roman" w:hAnsi="Times New Roman" w:cs="Times New Roman"/>
          <w:sz w:val="24"/>
          <w:szCs w:val="24"/>
          <w:u w:val="single"/>
        </w:rPr>
        <w:t>Definition of Divination</w:t>
      </w:r>
    </w:p>
    <w:p w14:paraId="1AB89FCF" w14:textId="77777777" w:rsidR="00E10936" w:rsidRPr="00E10936" w:rsidRDefault="00E10936" w:rsidP="00E10936">
      <w:pPr>
        <w:ind w:firstLine="720"/>
        <w:rPr>
          <w:rFonts w:ascii="Times New Roman" w:hAnsi="Times New Roman" w:cs="Times New Roman"/>
          <w:sz w:val="24"/>
          <w:szCs w:val="24"/>
        </w:rPr>
      </w:pPr>
      <w:r w:rsidRPr="00E10936">
        <w:rPr>
          <w:rFonts w:ascii="Times New Roman" w:hAnsi="Times New Roman" w:cs="Times New Roman"/>
          <w:sz w:val="24"/>
          <w:szCs w:val="24"/>
        </w:rPr>
        <w:t>According to Iamblichus, "true divination" is equivalent to the "divinization" of one's soul: making the soul divine. The true function and objective of divination is the deification or assimilation of the soul with the divine:</w:t>
      </w:r>
    </w:p>
    <w:p w14:paraId="37D782CB" w14:textId="77777777" w:rsidR="00E10936" w:rsidRPr="00E10936" w:rsidRDefault="00E10936" w:rsidP="00E10936">
      <w:pPr>
        <w:ind w:firstLine="720"/>
        <w:rPr>
          <w:rFonts w:ascii="Times New Roman" w:hAnsi="Times New Roman" w:cs="Times New Roman"/>
          <w:sz w:val="24"/>
          <w:szCs w:val="24"/>
        </w:rPr>
      </w:pPr>
      <w:r w:rsidRPr="00E10936">
        <w:rPr>
          <w:rFonts w:ascii="Times New Roman" w:hAnsi="Times New Roman" w:cs="Times New Roman"/>
          <w:sz w:val="24"/>
          <w:szCs w:val="24"/>
        </w:rPr>
        <w:lastRenderedPageBreak/>
        <w:t>"Divine mantike alone unites us with the Gods, for it genuinely gives us a share of divine life, has a share in prognosis and divine intuitions, and makes us truly divine. It truly bestows the Good on us because the most blessed intuition of the Gods is filled with all of the good things" (DM 289, 3 – 8).</w:t>
      </w:r>
    </w:p>
    <w:p w14:paraId="0AEA913F" w14:textId="4469A1E3" w:rsidR="00E10936" w:rsidRPr="00E10936" w:rsidRDefault="00E10936" w:rsidP="00E10936">
      <w:pPr>
        <w:ind w:firstLine="720"/>
        <w:rPr>
          <w:rFonts w:ascii="Times New Roman" w:hAnsi="Times New Roman" w:cs="Times New Roman"/>
          <w:sz w:val="24"/>
          <w:szCs w:val="24"/>
        </w:rPr>
      </w:pPr>
      <w:r w:rsidRPr="00E10936">
        <w:rPr>
          <w:rFonts w:ascii="Times New Roman" w:hAnsi="Times New Roman" w:cs="Times New Roman"/>
          <w:sz w:val="24"/>
          <w:szCs w:val="24"/>
        </w:rPr>
        <w:t>True divination (also known as inspirational or theurgical divination) is spiritually related. In contrast, "non-theurgical diviners" sought communication with deities for secular reasons: to gain insight into the future or unknown by interpreting omens, dreams, or other signs for personal, non-spiritual reasons. These types of diviners used inductive techniques of second-order divination, which were fallible and fell short of divine stability and truth and did not transform the soul (Shaw 260 - 261). "This intuitive faculty has nothing in it that is truly blessed" (qt. in Shaw 261; DM 288, 18 - 19). "Such presentiments arose from a sympathy with natural elements or from acute sense perception, but they were fallible and did not have the same function as divine mantike" (DM 162, 16-163, 11). The type of activities that non-theurgical diviners engaged in included oracles, bird watchers, gut-gazers, dream interpreters, and tarot readers.</w:t>
      </w:r>
    </w:p>
    <w:p w14:paraId="63D2CDFD" w14:textId="77777777" w:rsidR="00E10936" w:rsidRPr="00E10936" w:rsidRDefault="00E10936" w:rsidP="00E10936">
      <w:pPr>
        <w:rPr>
          <w:rFonts w:ascii="Times New Roman" w:hAnsi="Times New Roman" w:cs="Times New Roman"/>
          <w:sz w:val="24"/>
          <w:szCs w:val="24"/>
          <w:u w:val="single"/>
        </w:rPr>
      </w:pPr>
      <w:r w:rsidRPr="00E10936">
        <w:rPr>
          <w:rFonts w:ascii="Times New Roman" w:hAnsi="Times New Roman" w:cs="Times New Roman"/>
          <w:sz w:val="24"/>
          <w:szCs w:val="24"/>
          <w:u w:val="single"/>
        </w:rPr>
        <w:t>Definition of Religion and Magic</w:t>
      </w:r>
    </w:p>
    <w:p w14:paraId="29355447" w14:textId="77777777" w:rsidR="00E10936" w:rsidRPr="00E10936" w:rsidRDefault="00E10936" w:rsidP="00E10936">
      <w:pPr>
        <w:ind w:firstLine="720"/>
        <w:rPr>
          <w:rFonts w:ascii="Times New Roman" w:hAnsi="Times New Roman" w:cs="Times New Roman"/>
          <w:sz w:val="24"/>
          <w:szCs w:val="24"/>
        </w:rPr>
      </w:pPr>
      <w:r w:rsidRPr="00E10936">
        <w:rPr>
          <w:rFonts w:ascii="Times New Roman" w:hAnsi="Times New Roman" w:cs="Times New Roman"/>
          <w:sz w:val="24"/>
          <w:szCs w:val="24"/>
        </w:rPr>
        <w:t xml:space="preserve">Religion and magic are very difficult to define partly because the definitions may have changed over time. For example, "magic" started in Egypt as part of religious rituals; but by the time it reached Greece in the later part of the 5th century BC, "magic" had a negative, secular meaning, and magicians contributed to the suspicion by pretending to extract more from the gods than other men could and by maintaining that they could alter the course of nature (Dickie 26 - 27). </w:t>
      </w:r>
    </w:p>
    <w:p w14:paraId="7DEEFACF" w14:textId="77777777" w:rsidR="00E10936" w:rsidRPr="00E10936" w:rsidRDefault="00E10936" w:rsidP="00E10936">
      <w:pPr>
        <w:ind w:firstLine="720"/>
        <w:rPr>
          <w:rFonts w:ascii="Times New Roman" w:hAnsi="Times New Roman" w:cs="Times New Roman"/>
          <w:sz w:val="24"/>
          <w:szCs w:val="24"/>
        </w:rPr>
      </w:pPr>
      <w:r w:rsidRPr="00E10936">
        <w:rPr>
          <w:rFonts w:ascii="Times New Roman" w:hAnsi="Times New Roman" w:cs="Times New Roman"/>
          <w:sz w:val="24"/>
          <w:szCs w:val="24"/>
        </w:rPr>
        <w:t xml:space="preserve">To better determine whether Ancient Egyptian magic spells are "religious," one must understand the magic spells in the context of Egyptian theology. Historically, many Egyptologists asserted that ancient Egypt did not have a religion because they did not have a sacred text. Their funeral texts included magical spells, which seem more like non-religious rituals/spells than prayers. However, ancient Egypt did have a religion, and one of its first ancient gods was Heka, who defended the existence of the order. In a text known as the Instruction for </w:t>
      </w:r>
      <w:proofErr w:type="spellStart"/>
      <w:r w:rsidRPr="00E10936">
        <w:rPr>
          <w:rFonts w:ascii="Times New Roman" w:hAnsi="Times New Roman" w:cs="Times New Roman"/>
          <w:sz w:val="24"/>
          <w:szCs w:val="24"/>
        </w:rPr>
        <w:t>Merikara</w:t>
      </w:r>
      <w:proofErr w:type="spellEnd"/>
      <w:r w:rsidRPr="00E10936">
        <w:rPr>
          <w:rFonts w:ascii="Times New Roman" w:hAnsi="Times New Roman" w:cs="Times New Roman"/>
          <w:sz w:val="24"/>
          <w:szCs w:val="24"/>
        </w:rPr>
        <w:t>, which may have been written as early as 2000 BC, Heka is described as a gift from the creator to humanity to ward off any blows of fate" (Pinch 17).</w:t>
      </w:r>
    </w:p>
    <w:p w14:paraId="5418E14B" w14:textId="77777777" w:rsidR="00E10936" w:rsidRPr="00E10936" w:rsidRDefault="00E10936" w:rsidP="00E10936">
      <w:pPr>
        <w:ind w:left="720"/>
        <w:rPr>
          <w:rFonts w:ascii="Times New Roman" w:hAnsi="Times New Roman" w:cs="Times New Roman"/>
          <w:sz w:val="24"/>
          <w:szCs w:val="24"/>
        </w:rPr>
      </w:pPr>
      <w:r w:rsidRPr="00E10936">
        <w:rPr>
          <w:rFonts w:ascii="Times New Roman" w:hAnsi="Times New Roman" w:cs="Times New Roman"/>
          <w:sz w:val="24"/>
          <w:szCs w:val="24"/>
        </w:rPr>
        <w:t>"Heka was seen as a gift from the sun god Re to mankind, a manifestation of his creative energy as an embodiment of his Ka (his soul). It empowered man to create using words and actions, mirroring the sun god's creation of the universe. Heka can be seen as the creative force of life-giving energy connecting the objects, links, and symbols of life with the universe, like a subtle tapestry of energy, which the magician must learn to read if she is to effectively work magic" (Rankine 12).</w:t>
      </w:r>
    </w:p>
    <w:p w14:paraId="5987CB18" w14:textId="77777777" w:rsidR="00E10936" w:rsidRPr="00E10936" w:rsidRDefault="00E10936" w:rsidP="00E10936">
      <w:pPr>
        <w:ind w:firstLine="720"/>
        <w:rPr>
          <w:rFonts w:ascii="Times New Roman" w:hAnsi="Times New Roman" w:cs="Times New Roman"/>
          <w:sz w:val="24"/>
          <w:szCs w:val="24"/>
        </w:rPr>
      </w:pPr>
      <w:r w:rsidRPr="00E10936">
        <w:rPr>
          <w:rFonts w:ascii="Times New Roman" w:hAnsi="Times New Roman" w:cs="Times New Roman"/>
          <w:sz w:val="24"/>
          <w:szCs w:val="24"/>
        </w:rPr>
        <w:t xml:space="preserve">One must look at the intent of the ritual to determine whether a ritual was performed for magical or religious purposes. The anthropologist Malinowski asserted that magic is usually aimed at solving a specific problem, while religion is, or can be, an end in itself. Another anthropologist, Mischa </w:t>
      </w:r>
      <w:proofErr w:type="spellStart"/>
      <w:r w:rsidRPr="00E10936">
        <w:rPr>
          <w:rFonts w:ascii="Times New Roman" w:hAnsi="Times New Roman" w:cs="Times New Roman"/>
          <w:sz w:val="24"/>
          <w:szCs w:val="24"/>
        </w:rPr>
        <w:t>Titiev</w:t>
      </w:r>
      <w:proofErr w:type="spellEnd"/>
      <w:r w:rsidRPr="00E10936">
        <w:rPr>
          <w:rFonts w:ascii="Times New Roman" w:hAnsi="Times New Roman" w:cs="Times New Roman"/>
          <w:sz w:val="24"/>
          <w:szCs w:val="24"/>
        </w:rPr>
        <w:t xml:space="preserve">, asserted that religion deals with regular rites carried on for the </w:t>
      </w:r>
      <w:r w:rsidRPr="00E10936">
        <w:rPr>
          <w:rFonts w:ascii="Times New Roman" w:hAnsi="Times New Roman" w:cs="Times New Roman"/>
          <w:sz w:val="24"/>
          <w:szCs w:val="24"/>
        </w:rPr>
        <w:lastRenderedPageBreak/>
        <w:t xml:space="preserve">community; whereas magic is mainly performed for individuals (Pinch 14). Therefore, "ritualistic magic" performed by priests in Egyptian temples should be considered part of the Egyptian religion because the primary concern of the state-run temples was to benefit society. </w:t>
      </w:r>
    </w:p>
    <w:p w14:paraId="4987312F" w14:textId="77777777" w:rsidR="00E10936" w:rsidRPr="00E10936" w:rsidRDefault="00E10936" w:rsidP="00E10936">
      <w:pPr>
        <w:ind w:firstLine="720"/>
        <w:rPr>
          <w:rFonts w:ascii="Times New Roman" w:hAnsi="Times New Roman" w:cs="Times New Roman"/>
          <w:sz w:val="24"/>
          <w:szCs w:val="24"/>
        </w:rPr>
      </w:pPr>
      <w:r w:rsidRPr="00E10936">
        <w:rPr>
          <w:rFonts w:ascii="Times New Roman" w:hAnsi="Times New Roman" w:cs="Times New Roman"/>
          <w:sz w:val="24"/>
          <w:szCs w:val="24"/>
        </w:rPr>
        <w:t>Other factors to consider in determining if an activity is more magic or religious-related include the practitioner's piousness, attitude towards the gods, goals, and context. Magicians try to coerce the gods, while priests or religious practitioners are more submissive and supplicative. Also, if the goal of the practitioner's activities is immediate, limited, and personal, the activity would be classified as magic. In contrast, if the activity is long-term and benefits the congregation or community, the activity would be classified as a religion. Lastly, one should look at the context of the rituals and whether the rituals performed are part of a broader theological context (</w:t>
      </w:r>
      <w:proofErr w:type="spellStart"/>
      <w:r w:rsidRPr="00E10936">
        <w:rPr>
          <w:rFonts w:ascii="Times New Roman" w:hAnsi="Times New Roman" w:cs="Times New Roman"/>
          <w:sz w:val="24"/>
          <w:szCs w:val="24"/>
        </w:rPr>
        <w:t>Ritner</w:t>
      </w:r>
      <w:proofErr w:type="spellEnd"/>
      <w:r w:rsidRPr="00E10936">
        <w:rPr>
          <w:rFonts w:ascii="Times New Roman" w:hAnsi="Times New Roman" w:cs="Times New Roman"/>
          <w:sz w:val="24"/>
          <w:szCs w:val="24"/>
        </w:rPr>
        <w:t xml:space="preserve"> 5).  </w:t>
      </w:r>
    </w:p>
    <w:p w14:paraId="6276AD44" w14:textId="23745A08" w:rsidR="00E10936" w:rsidRPr="00E10936" w:rsidRDefault="00E10936" w:rsidP="00E10936">
      <w:pPr>
        <w:rPr>
          <w:rFonts w:ascii="Times New Roman" w:hAnsi="Times New Roman" w:cs="Times New Roman"/>
          <w:sz w:val="24"/>
          <w:szCs w:val="24"/>
          <w:u w:val="single"/>
        </w:rPr>
      </w:pPr>
      <w:r w:rsidRPr="00E10936">
        <w:rPr>
          <w:rFonts w:ascii="Times New Roman" w:hAnsi="Times New Roman" w:cs="Times New Roman"/>
          <w:sz w:val="24"/>
          <w:szCs w:val="24"/>
          <w:u w:val="single"/>
        </w:rPr>
        <w:t xml:space="preserve">Divination can help to distinguish Magic and Religion </w:t>
      </w:r>
    </w:p>
    <w:p w14:paraId="4CE018AC" w14:textId="2000A0AE" w:rsidR="00E10936" w:rsidRPr="00E10936" w:rsidRDefault="00E10936" w:rsidP="001400D0">
      <w:pPr>
        <w:ind w:firstLine="720"/>
        <w:rPr>
          <w:rFonts w:ascii="Times New Roman" w:hAnsi="Times New Roman" w:cs="Times New Roman"/>
          <w:sz w:val="24"/>
          <w:szCs w:val="24"/>
        </w:rPr>
      </w:pPr>
      <w:r w:rsidRPr="00E10936">
        <w:rPr>
          <w:rFonts w:ascii="Times New Roman" w:hAnsi="Times New Roman" w:cs="Times New Roman"/>
          <w:sz w:val="24"/>
          <w:szCs w:val="24"/>
        </w:rPr>
        <w:t xml:space="preserve">Divination can help to distinguish magic from religion based on the </w:t>
      </w:r>
      <w:r w:rsidRPr="00E10936">
        <w:rPr>
          <w:rFonts w:ascii="Times New Roman" w:hAnsi="Times New Roman" w:cs="Times New Roman"/>
          <w:i/>
          <w:iCs/>
          <w:sz w:val="24"/>
          <w:szCs w:val="24"/>
        </w:rPr>
        <w:t>intent</w:t>
      </w:r>
      <w:r w:rsidRPr="00E10936">
        <w:rPr>
          <w:rFonts w:ascii="Times New Roman" w:hAnsi="Times New Roman" w:cs="Times New Roman"/>
          <w:sz w:val="24"/>
          <w:szCs w:val="24"/>
        </w:rPr>
        <w:t xml:space="preserve"> of the activity used in the "divination."  For example, if a ritual's objective is to help unite the practitioner with the divine, then the ritual may be considered "true divination" and classified as a religious activity. Additionally, suppose the practitioner performing the "ritual" has a pious and contemplative attitude and devotes much of his life attempting to attain purity to achieve union with the divine. In that case, the ritual should be considered spiritual/religious. </w:t>
      </w:r>
    </w:p>
    <w:p w14:paraId="315B52CF" w14:textId="77777777" w:rsidR="00E10936" w:rsidRDefault="00E10936" w:rsidP="00E10936">
      <w:pPr>
        <w:rPr>
          <w:rFonts w:ascii="Times New Roman" w:hAnsi="Times New Roman" w:cs="Times New Roman"/>
          <w:b/>
          <w:bCs/>
          <w:i/>
          <w:iCs/>
          <w:sz w:val="24"/>
          <w:szCs w:val="24"/>
        </w:rPr>
      </w:pPr>
    </w:p>
    <w:p w14:paraId="4C1F6BBB" w14:textId="5320EE1B" w:rsidR="00E10936" w:rsidRPr="00E10936" w:rsidRDefault="00E10936" w:rsidP="00E10936">
      <w:pPr>
        <w:rPr>
          <w:rFonts w:ascii="Times New Roman" w:hAnsi="Times New Roman" w:cs="Times New Roman"/>
          <w:b/>
          <w:bCs/>
          <w:i/>
          <w:iCs/>
          <w:sz w:val="24"/>
          <w:szCs w:val="24"/>
        </w:rPr>
      </w:pPr>
      <w:r w:rsidRPr="00E10936">
        <w:rPr>
          <w:rFonts w:ascii="Times New Roman" w:hAnsi="Times New Roman" w:cs="Times New Roman"/>
          <w:b/>
          <w:bCs/>
          <w:i/>
          <w:iCs/>
          <w:sz w:val="24"/>
          <w:szCs w:val="24"/>
        </w:rPr>
        <w:t>Question 7: What relevance do anthropological theories and observations have to the study of Divination and Magic in antiquity?</w:t>
      </w:r>
    </w:p>
    <w:p w14:paraId="6C74B854" w14:textId="77777777" w:rsidR="00E10936" w:rsidRPr="00E10936" w:rsidRDefault="00E10936" w:rsidP="00E10936">
      <w:pPr>
        <w:ind w:firstLine="720"/>
        <w:rPr>
          <w:rFonts w:ascii="Times New Roman" w:hAnsi="Times New Roman" w:cs="Times New Roman"/>
          <w:sz w:val="24"/>
          <w:szCs w:val="24"/>
        </w:rPr>
      </w:pPr>
      <w:r w:rsidRPr="00E10936">
        <w:rPr>
          <w:rFonts w:ascii="Times New Roman" w:hAnsi="Times New Roman" w:cs="Times New Roman"/>
          <w:sz w:val="24"/>
          <w:szCs w:val="24"/>
        </w:rPr>
        <w:t xml:space="preserve">Anthropological theories and observations on ancient divination and magic can help one better understand the social, cultural, and philosophical aspects of divination and magic. All cultures, primitive and advanced, need religion and magic because it gives societies the comfort and optimism they need during times of emotional stress and crises when science cannot. Another reason all cultures need religion and magic is that it provides the social and moral order necessary for societies large and small to function smoothly. Therefore, religion is essential for the survival of all cultures, primitive and advanced, small and large:  "…we need not be surprised that while there have been, and are, societies which lack science, art, and philosophy, there never has been one without religion" (Evans-Pritchard 1965, 116).  </w:t>
      </w:r>
    </w:p>
    <w:p w14:paraId="54D04EB9" w14:textId="77777777" w:rsidR="00E10936" w:rsidRPr="00E10936" w:rsidRDefault="00E10936" w:rsidP="00E10936">
      <w:pPr>
        <w:rPr>
          <w:rFonts w:ascii="Times New Roman" w:hAnsi="Times New Roman" w:cs="Times New Roman"/>
          <w:sz w:val="24"/>
          <w:szCs w:val="24"/>
        </w:rPr>
      </w:pPr>
      <w:r w:rsidRPr="00E10936">
        <w:rPr>
          <w:rFonts w:ascii="Times New Roman" w:hAnsi="Times New Roman" w:cs="Times New Roman"/>
          <w:sz w:val="24"/>
          <w:szCs w:val="24"/>
        </w:rPr>
        <w:t>Per Malinowski, magic has a cultural function in society:</w:t>
      </w:r>
    </w:p>
    <w:p w14:paraId="5668F1BD" w14:textId="77777777" w:rsidR="00E10936" w:rsidRPr="00E10936" w:rsidRDefault="00E10936" w:rsidP="00E10936">
      <w:pPr>
        <w:ind w:left="720"/>
        <w:rPr>
          <w:rFonts w:ascii="Times New Roman" w:hAnsi="Times New Roman" w:cs="Times New Roman"/>
          <w:sz w:val="24"/>
          <w:szCs w:val="24"/>
        </w:rPr>
      </w:pPr>
      <w:r w:rsidRPr="00E10936">
        <w:rPr>
          <w:rFonts w:ascii="Times New Roman" w:hAnsi="Times New Roman" w:cs="Times New Roman"/>
          <w:sz w:val="24"/>
          <w:szCs w:val="24"/>
        </w:rPr>
        <w:t>"…supply primitive man with a number of ready-made ritual acts and beliefs, with a definite mental and practical technique which serves to bridge over the dangerous gaps in every important pursuit or critical situation. It enables man to carry out with confidence his important tasks, to maintain his pose and his mental integrity in fits of anger, in the throes of hate, of unrequited love, of despair and anxiety. The function of magic is to ritualize man's optimism and to enhance his faith in the victory of hope over fear. Magic expresses the greater value for man of confidence over doubt, of steadfastness over vacillation, of optimism over pessimism" (Malinowski 90).</w:t>
      </w:r>
    </w:p>
    <w:p w14:paraId="130EB408" w14:textId="77777777" w:rsidR="00E10936" w:rsidRPr="00E10936" w:rsidRDefault="00E10936" w:rsidP="00E10936">
      <w:pPr>
        <w:ind w:firstLine="720"/>
        <w:rPr>
          <w:rFonts w:ascii="Times New Roman" w:hAnsi="Times New Roman" w:cs="Times New Roman"/>
          <w:sz w:val="24"/>
          <w:szCs w:val="24"/>
        </w:rPr>
      </w:pPr>
      <w:r w:rsidRPr="00E10936">
        <w:rPr>
          <w:rFonts w:ascii="Times New Roman" w:hAnsi="Times New Roman" w:cs="Times New Roman"/>
          <w:sz w:val="24"/>
          <w:szCs w:val="24"/>
        </w:rPr>
        <w:lastRenderedPageBreak/>
        <w:t xml:space="preserve">Magic rituals often seem bizarre and unbelievable to people from other cultures. However, people who grew up believing in those magical rituals know their magic rituals and divinations to be true. For example, most people would think that it is absurd for a person to rely upon the behavior of a fowl who is given poison to determine all their important life decisions. However, the Azande do not think the poison ritual is absurd. In fact, "If time and opportunity permitted, many Azande would wish to consult one or other of their oracles about every step in their lives" (Evans-Pritchard 123).   </w:t>
      </w:r>
    </w:p>
    <w:p w14:paraId="361D5E9D" w14:textId="77777777" w:rsidR="00E10936" w:rsidRPr="00E10936" w:rsidRDefault="00E10936" w:rsidP="00E10936">
      <w:pPr>
        <w:ind w:firstLine="720"/>
        <w:rPr>
          <w:rFonts w:ascii="Times New Roman" w:hAnsi="Times New Roman" w:cs="Times New Roman"/>
          <w:sz w:val="24"/>
          <w:szCs w:val="24"/>
        </w:rPr>
      </w:pPr>
      <w:r w:rsidRPr="00E10936">
        <w:rPr>
          <w:rFonts w:ascii="Times New Roman" w:hAnsi="Times New Roman" w:cs="Times New Roman"/>
          <w:sz w:val="24"/>
          <w:szCs w:val="24"/>
        </w:rPr>
        <w:t xml:space="preserve">People from non-primitive contemporaneous religions also believe in magical myths and rituals that seem unrealistic and unbelievable from a scientific perspective. For example, Christians believe Christ died and was resurrected into Heaven, walked on water, and raised the dead. As unbelievable as these feats seem to non-Christians, Christians do not waiver in their belief that Jesus performed these "miracles." Devout Christians not only believe that Jesus performed miracles, but they also know that he did.   </w:t>
      </w:r>
    </w:p>
    <w:p w14:paraId="1FC3805C" w14:textId="77777777" w:rsidR="00E10936" w:rsidRPr="00E10936" w:rsidRDefault="00E10936" w:rsidP="00E10936">
      <w:pPr>
        <w:rPr>
          <w:rFonts w:ascii="Times New Roman" w:hAnsi="Times New Roman" w:cs="Times New Roman"/>
          <w:sz w:val="24"/>
          <w:szCs w:val="24"/>
        </w:rPr>
      </w:pPr>
    </w:p>
    <w:p w14:paraId="2A1FFC4D" w14:textId="77777777" w:rsidR="00E10936" w:rsidRPr="00E10936" w:rsidRDefault="00E10936" w:rsidP="00E10936">
      <w:pPr>
        <w:rPr>
          <w:rFonts w:ascii="Times New Roman" w:hAnsi="Times New Roman" w:cs="Times New Roman"/>
          <w:b/>
          <w:bCs/>
          <w:i/>
          <w:iCs/>
          <w:sz w:val="24"/>
          <w:szCs w:val="24"/>
        </w:rPr>
      </w:pPr>
      <w:r w:rsidRPr="00E10936">
        <w:rPr>
          <w:rFonts w:ascii="Times New Roman" w:hAnsi="Times New Roman" w:cs="Times New Roman"/>
          <w:b/>
          <w:bCs/>
          <w:i/>
          <w:iCs/>
          <w:sz w:val="24"/>
          <w:szCs w:val="24"/>
        </w:rPr>
        <w:t>Question 8: Explain how the insights regarding the science and knowledge gained by Evans-Pritchard in this anthropological fieldwork among the Azande can assist us in our study of divination and religion in the ancient Graeco-Roman world.</w:t>
      </w:r>
    </w:p>
    <w:p w14:paraId="281ED643" w14:textId="77777777" w:rsidR="00E10936" w:rsidRPr="00E10936" w:rsidRDefault="00E10936" w:rsidP="00E10936">
      <w:pPr>
        <w:ind w:firstLine="720"/>
        <w:rPr>
          <w:rFonts w:ascii="Times New Roman" w:hAnsi="Times New Roman" w:cs="Times New Roman"/>
          <w:sz w:val="24"/>
          <w:szCs w:val="24"/>
        </w:rPr>
      </w:pPr>
      <w:r w:rsidRPr="00E10936">
        <w:rPr>
          <w:rFonts w:ascii="Times New Roman" w:hAnsi="Times New Roman" w:cs="Times New Roman"/>
          <w:sz w:val="24"/>
          <w:szCs w:val="24"/>
        </w:rPr>
        <w:t xml:space="preserve">The science and knowledge gained by Evans-Pritchard in this anthropological fieldwork among the Azande can assist us in our study of divination and religion in the ancient Graeco-Roman world by comparing their ideologies about divination and religion of both very different cultures. </w:t>
      </w:r>
    </w:p>
    <w:p w14:paraId="420E9C56" w14:textId="77777777" w:rsidR="00E10936" w:rsidRPr="00E10936" w:rsidRDefault="00E10936" w:rsidP="00E10936">
      <w:pPr>
        <w:ind w:firstLine="720"/>
        <w:rPr>
          <w:rFonts w:ascii="Times New Roman" w:hAnsi="Times New Roman" w:cs="Times New Roman"/>
          <w:sz w:val="24"/>
          <w:szCs w:val="24"/>
        </w:rPr>
      </w:pPr>
      <w:r w:rsidRPr="00E10936">
        <w:rPr>
          <w:rFonts w:ascii="Times New Roman" w:hAnsi="Times New Roman" w:cs="Times New Roman"/>
          <w:sz w:val="24"/>
          <w:szCs w:val="24"/>
        </w:rPr>
        <w:t xml:space="preserve">In the 1930s, when Evans-Pritchard lived with the Azande tribe performing anthropological fieldwork, the Azande were considered a primitive culture. They lived off the land by hunting, fishing, and growing vegetables. They lived in makeshift shafts and did not have running water, electricity, plumbing, or paved roads. While they were good craftsmen (e.g., smiths, potters, carvers, and basket-makers), they did not trade goods with other cultures and therefore lived sheltered lives. </w:t>
      </w:r>
    </w:p>
    <w:p w14:paraId="45905A78" w14:textId="77777777" w:rsidR="00E10936" w:rsidRPr="00E10936" w:rsidRDefault="00E10936" w:rsidP="00E10936">
      <w:pPr>
        <w:ind w:firstLine="720"/>
        <w:rPr>
          <w:rFonts w:ascii="Times New Roman" w:hAnsi="Times New Roman" w:cs="Times New Roman"/>
          <w:sz w:val="24"/>
          <w:szCs w:val="24"/>
        </w:rPr>
      </w:pPr>
      <w:r w:rsidRPr="00E10936">
        <w:rPr>
          <w:rFonts w:ascii="Times New Roman" w:hAnsi="Times New Roman" w:cs="Times New Roman"/>
          <w:sz w:val="24"/>
          <w:szCs w:val="24"/>
        </w:rPr>
        <w:t>The Graeco-Roman culture was very different. The Golden Age of Greece (449 to 431 BCE) was a period of architecture, art, literature, philosophy, medicine, and science achievement. The height of Imperial Rome latest from 27 BCE to CE 476. During this period, the ancient Romans build several engineering marvels, including aqueducts, roads, and superstructures like the Colosseum and the Pantheon. Romans also made important contributions to law, literature, science, and technology.</w:t>
      </w:r>
    </w:p>
    <w:p w14:paraId="4DEB9585" w14:textId="77777777" w:rsidR="00E10936" w:rsidRPr="00E10936" w:rsidRDefault="00E10936" w:rsidP="00E10936">
      <w:pPr>
        <w:ind w:firstLine="720"/>
        <w:rPr>
          <w:rFonts w:ascii="Times New Roman" w:hAnsi="Times New Roman" w:cs="Times New Roman"/>
          <w:sz w:val="24"/>
          <w:szCs w:val="24"/>
        </w:rPr>
      </w:pPr>
      <w:r w:rsidRPr="00E10936">
        <w:rPr>
          <w:rFonts w:ascii="Times New Roman" w:hAnsi="Times New Roman" w:cs="Times New Roman"/>
          <w:sz w:val="24"/>
          <w:szCs w:val="24"/>
        </w:rPr>
        <w:t xml:space="preserve">Even though the Greeks and Romans were far more technologically advanced compared to the Azande, both cultures had similar beliefs about divination and religion. For example, the Azande believed in and used Oracles for divination, whom Evans-Pritchard defined as using "techniques which are supposed to reveal what cannot be discovered at all, or cannot be discovered for certain, by experiment and logical inferences therefrom" (Evans-Pritchard 228). Like the Azande, the Greeks and Romans also believed in and used Oracles for divination for the </w:t>
      </w:r>
      <w:r w:rsidRPr="00E10936">
        <w:rPr>
          <w:rFonts w:ascii="Times New Roman" w:hAnsi="Times New Roman" w:cs="Times New Roman"/>
          <w:sz w:val="24"/>
          <w:szCs w:val="24"/>
        </w:rPr>
        <w:lastRenderedPageBreak/>
        <w:t xml:space="preserve">same purpose. Their techniques used in foretelling the future or other unknown information were different, but both cultures believed that one could achieve divination through metaphysical and supernatural means.  </w:t>
      </w:r>
    </w:p>
    <w:p w14:paraId="61D3E6AE" w14:textId="77777777" w:rsidR="00E10936" w:rsidRPr="00E10936" w:rsidRDefault="00E10936" w:rsidP="00E10936">
      <w:pPr>
        <w:ind w:firstLine="720"/>
        <w:rPr>
          <w:rFonts w:ascii="Times New Roman" w:hAnsi="Times New Roman" w:cs="Times New Roman"/>
          <w:sz w:val="24"/>
          <w:szCs w:val="24"/>
        </w:rPr>
      </w:pPr>
      <w:r w:rsidRPr="00E10936">
        <w:rPr>
          <w:rFonts w:ascii="Times New Roman" w:hAnsi="Times New Roman" w:cs="Times New Roman"/>
          <w:sz w:val="24"/>
          <w:szCs w:val="24"/>
        </w:rPr>
        <w:t>Both cultures also had a religion. The Azande's religion was elementary. They believed in a Supreme Being, "…a ghostly being to whom the creation of the world is attributed" (Evans-Pritchard 228). The Azande also believed in souls. Evan-Pritchard described their definition of souls as "A supposed psychic property in persons and things that at times is separate from them" (Evan-Pritchard 228). They also believed in magic and performed magic rites and spells when applying medicine to sick/injured people.</w:t>
      </w:r>
    </w:p>
    <w:p w14:paraId="19459979" w14:textId="77777777" w:rsidR="00E10936" w:rsidRPr="00E10936" w:rsidRDefault="00E10936" w:rsidP="00E10936">
      <w:pPr>
        <w:ind w:firstLine="720"/>
        <w:rPr>
          <w:rFonts w:ascii="Times New Roman" w:hAnsi="Times New Roman" w:cs="Times New Roman"/>
          <w:sz w:val="24"/>
          <w:szCs w:val="24"/>
        </w:rPr>
      </w:pPr>
      <w:r w:rsidRPr="00E10936">
        <w:rPr>
          <w:rFonts w:ascii="Times New Roman" w:hAnsi="Times New Roman" w:cs="Times New Roman"/>
          <w:sz w:val="24"/>
          <w:szCs w:val="24"/>
        </w:rPr>
        <w:t xml:space="preserve">The Graeco-Roman religion also believed in God. They were polytheistic and had twelve main gods and several lesser deities. The gods were personable and could involve themselves in human affairs. Like the Azande, Greeks and Romans believed in souls and performed magic, rituals, and spells.  </w:t>
      </w:r>
    </w:p>
    <w:p w14:paraId="1E1D7EE4" w14:textId="539E411C" w:rsidR="00E10936" w:rsidRPr="00E10936" w:rsidRDefault="00E10936" w:rsidP="00E10936">
      <w:pPr>
        <w:ind w:firstLine="720"/>
        <w:rPr>
          <w:rFonts w:ascii="Times New Roman" w:hAnsi="Times New Roman" w:cs="Times New Roman"/>
          <w:sz w:val="24"/>
          <w:szCs w:val="24"/>
        </w:rPr>
      </w:pPr>
      <w:r w:rsidRPr="00E10936">
        <w:rPr>
          <w:rFonts w:ascii="Times New Roman" w:hAnsi="Times New Roman" w:cs="Times New Roman"/>
          <w:sz w:val="24"/>
          <w:szCs w:val="24"/>
        </w:rPr>
        <w:t xml:space="preserve">Even though the two cultures were very different in science, art, literature, and philosophy, they shared similar religious beliefs because, as Bronislaw Malinowski asserts, "There are no people, however primitive, without religion" (Malinowski 17). </w:t>
      </w:r>
    </w:p>
    <w:p w14:paraId="6C99B2B0" w14:textId="77777777" w:rsidR="00E10936" w:rsidRPr="00E10936" w:rsidRDefault="00E10936" w:rsidP="00E10936">
      <w:pPr>
        <w:ind w:firstLine="720"/>
        <w:rPr>
          <w:rFonts w:ascii="Times New Roman" w:hAnsi="Times New Roman" w:cs="Times New Roman"/>
          <w:sz w:val="24"/>
          <w:szCs w:val="24"/>
        </w:rPr>
      </w:pPr>
      <w:r w:rsidRPr="00E10936">
        <w:rPr>
          <w:rFonts w:ascii="Times New Roman" w:hAnsi="Times New Roman" w:cs="Times New Roman"/>
          <w:sz w:val="24"/>
          <w:szCs w:val="24"/>
        </w:rPr>
        <w:t xml:space="preserve">All cultures, primitive and advanced, need religion because it gives societies the comfort and optimism they need during times of emotional stress and crises when science cannot. Another reason all cultures need religion is that it provides the social and moral order necessary for societies large and small to function smoothly. Therefore, religion is essential for the survival of all cultures, primitive and advanced, small and large: "…we need not be surprised that while there have been, and are, societies which lack science, art, and philosophy, there never has been one without religion" (Evans-Pritchard 1965, 116).  </w:t>
      </w:r>
    </w:p>
    <w:p w14:paraId="5F68FD2D" w14:textId="77777777" w:rsidR="00E10936" w:rsidRPr="00E10936" w:rsidRDefault="00E10936" w:rsidP="00E10936">
      <w:pPr>
        <w:rPr>
          <w:rFonts w:ascii="Times New Roman" w:hAnsi="Times New Roman" w:cs="Times New Roman"/>
          <w:sz w:val="24"/>
          <w:szCs w:val="24"/>
        </w:rPr>
      </w:pPr>
    </w:p>
    <w:p w14:paraId="59C58F46" w14:textId="77777777" w:rsidR="00E10936" w:rsidRPr="00E10936" w:rsidRDefault="00E10936" w:rsidP="00E10936">
      <w:pPr>
        <w:rPr>
          <w:rFonts w:ascii="Times New Roman" w:hAnsi="Times New Roman" w:cs="Times New Roman"/>
          <w:sz w:val="24"/>
          <w:szCs w:val="24"/>
        </w:rPr>
      </w:pPr>
    </w:p>
    <w:p w14:paraId="0B1647CD" w14:textId="53A0D761" w:rsidR="00E10936" w:rsidRDefault="00E10936" w:rsidP="00E10936">
      <w:pPr>
        <w:rPr>
          <w:rFonts w:ascii="Times New Roman" w:hAnsi="Times New Roman" w:cs="Times New Roman"/>
          <w:sz w:val="24"/>
          <w:szCs w:val="24"/>
        </w:rPr>
      </w:pPr>
    </w:p>
    <w:p w14:paraId="5C739740" w14:textId="597E6B7C" w:rsidR="006A4987" w:rsidRDefault="006A4987" w:rsidP="00E10936">
      <w:pPr>
        <w:rPr>
          <w:rFonts w:ascii="Times New Roman" w:hAnsi="Times New Roman" w:cs="Times New Roman"/>
          <w:sz w:val="24"/>
          <w:szCs w:val="24"/>
        </w:rPr>
      </w:pPr>
    </w:p>
    <w:p w14:paraId="61EE49D7" w14:textId="0D939620" w:rsidR="006A4987" w:rsidRDefault="006A4987" w:rsidP="00E10936">
      <w:pPr>
        <w:rPr>
          <w:rFonts w:ascii="Times New Roman" w:hAnsi="Times New Roman" w:cs="Times New Roman"/>
          <w:sz w:val="24"/>
          <w:szCs w:val="24"/>
        </w:rPr>
      </w:pPr>
    </w:p>
    <w:p w14:paraId="71F2F501" w14:textId="10AE2E16" w:rsidR="006A4987" w:rsidRDefault="006A4987" w:rsidP="00E10936">
      <w:pPr>
        <w:rPr>
          <w:rFonts w:ascii="Times New Roman" w:hAnsi="Times New Roman" w:cs="Times New Roman"/>
          <w:sz w:val="24"/>
          <w:szCs w:val="24"/>
        </w:rPr>
      </w:pPr>
    </w:p>
    <w:p w14:paraId="052ACC40" w14:textId="55EA66F3" w:rsidR="006A4987" w:rsidRDefault="006A4987" w:rsidP="00E10936">
      <w:pPr>
        <w:rPr>
          <w:rFonts w:ascii="Times New Roman" w:hAnsi="Times New Roman" w:cs="Times New Roman"/>
          <w:sz w:val="24"/>
          <w:szCs w:val="24"/>
        </w:rPr>
      </w:pPr>
    </w:p>
    <w:p w14:paraId="1C7C5EDB" w14:textId="6A4FC495" w:rsidR="006A4987" w:rsidRDefault="006A4987" w:rsidP="00E10936">
      <w:pPr>
        <w:rPr>
          <w:rFonts w:ascii="Times New Roman" w:hAnsi="Times New Roman" w:cs="Times New Roman"/>
          <w:sz w:val="24"/>
          <w:szCs w:val="24"/>
        </w:rPr>
      </w:pPr>
    </w:p>
    <w:p w14:paraId="11357DD8" w14:textId="4C2988A8" w:rsidR="006A4987" w:rsidRDefault="006A4987" w:rsidP="00E10936">
      <w:pPr>
        <w:rPr>
          <w:rFonts w:ascii="Times New Roman" w:hAnsi="Times New Roman" w:cs="Times New Roman"/>
          <w:sz w:val="24"/>
          <w:szCs w:val="24"/>
        </w:rPr>
      </w:pPr>
    </w:p>
    <w:p w14:paraId="706C6FEB" w14:textId="0B0E70E0" w:rsidR="006A4987" w:rsidRDefault="006A4987" w:rsidP="00E10936">
      <w:pPr>
        <w:rPr>
          <w:rFonts w:ascii="Times New Roman" w:hAnsi="Times New Roman" w:cs="Times New Roman"/>
          <w:sz w:val="24"/>
          <w:szCs w:val="24"/>
        </w:rPr>
      </w:pPr>
    </w:p>
    <w:p w14:paraId="440D076F" w14:textId="77777777" w:rsidR="006A4987" w:rsidRPr="00E10936" w:rsidRDefault="006A4987" w:rsidP="00E10936">
      <w:pPr>
        <w:rPr>
          <w:rFonts w:ascii="Times New Roman" w:hAnsi="Times New Roman" w:cs="Times New Roman"/>
          <w:sz w:val="24"/>
          <w:szCs w:val="24"/>
        </w:rPr>
      </w:pPr>
    </w:p>
    <w:p w14:paraId="09E8B258" w14:textId="1C0369BF" w:rsidR="006A4987" w:rsidRPr="007812F9" w:rsidRDefault="006A4987" w:rsidP="007812F9">
      <w:pPr>
        <w:spacing w:after="0" w:line="480" w:lineRule="auto"/>
        <w:jc w:val="center"/>
        <w:rPr>
          <w:rFonts w:ascii="Times New Roman" w:hAnsi="Times New Roman" w:cs="Times New Roman"/>
          <w:b/>
          <w:bCs/>
          <w:sz w:val="24"/>
          <w:szCs w:val="24"/>
        </w:rPr>
      </w:pPr>
      <w:r w:rsidRPr="00DC0554">
        <w:rPr>
          <w:rFonts w:ascii="Times New Roman" w:hAnsi="Times New Roman" w:cs="Times New Roman"/>
          <w:b/>
          <w:bCs/>
          <w:sz w:val="24"/>
          <w:szCs w:val="24"/>
        </w:rPr>
        <w:lastRenderedPageBreak/>
        <w:t>Works Cited</w:t>
      </w:r>
    </w:p>
    <w:p w14:paraId="34CDBC6B" w14:textId="77777777" w:rsidR="006A4987" w:rsidRDefault="006A4987" w:rsidP="006A4987">
      <w:pPr>
        <w:spacing w:after="0" w:line="480" w:lineRule="auto"/>
        <w:rPr>
          <w:rFonts w:ascii="Times New Roman" w:hAnsi="Times New Roman" w:cs="Times New Roman"/>
          <w:i/>
          <w:iCs/>
          <w:sz w:val="24"/>
          <w:szCs w:val="24"/>
        </w:rPr>
      </w:pPr>
      <w:proofErr w:type="spellStart"/>
      <w:r w:rsidRPr="00750138">
        <w:rPr>
          <w:rFonts w:ascii="Times New Roman" w:hAnsi="Times New Roman" w:cs="Times New Roman"/>
          <w:sz w:val="24"/>
          <w:szCs w:val="24"/>
        </w:rPr>
        <w:t>Addey</w:t>
      </w:r>
      <w:proofErr w:type="spellEnd"/>
      <w:r w:rsidRPr="00750138">
        <w:rPr>
          <w:rFonts w:ascii="Times New Roman" w:hAnsi="Times New Roman" w:cs="Times New Roman"/>
          <w:sz w:val="24"/>
          <w:szCs w:val="24"/>
        </w:rPr>
        <w:t xml:space="preserve">, Crystal. </w:t>
      </w:r>
      <w:r w:rsidRPr="003C4520">
        <w:rPr>
          <w:rFonts w:ascii="Times New Roman" w:hAnsi="Times New Roman" w:cs="Times New Roman"/>
          <w:i/>
          <w:iCs/>
          <w:sz w:val="24"/>
          <w:szCs w:val="24"/>
        </w:rPr>
        <w:t>Divination and Theurgy</w:t>
      </w:r>
      <w:r w:rsidRPr="00750138">
        <w:rPr>
          <w:rFonts w:ascii="Times New Roman" w:hAnsi="Times New Roman" w:cs="Times New Roman"/>
          <w:sz w:val="24"/>
          <w:szCs w:val="24"/>
        </w:rPr>
        <w:t xml:space="preserve"> </w:t>
      </w:r>
      <w:r w:rsidRPr="00DC0554">
        <w:rPr>
          <w:rFonts w:ascii="Times New Roman" w:hAnsi="Times New Roman" w:cs="Times New Roman"/>
          <w:i/>
          <w:iCs/>
          <w:sz w:val="24"/>
          <w:szCs w:val="24"/>
        </w:rPr>
        <w:t xml:space="preserve">in Neoplatonism, Oracle of the Gods. </w:t>
      </w:r>
    </w:p>
    <w:p w14:paraId="2A7DB54C" w14:textId="0197BA2B" w:rsidR="006A4987" w:rsidRPr="006A4987" w:rsidRDefault="006A4987" w:rsidP="006A4987">
      <w:pPr>
        <w:spacing w:after="0" w:line="480" w:lineRule="auto"/>
        <w:ind w:firstLine="720"/>
        <w:rPr>
          <w:rFonts w:ascii="Times New Roman" w:hAnsi="Times New Roman" w:cs="Times New Roman"/>
          <w:i/>
          <w:iCs/>
          <w:sz w:val="24"/>
          <w:szCs w:val="24"/>
        </w:rPr>
      </w:pPr>
      <w:r w:rsidRPr="00750138">
        <w:rPr>
          <w:rFonts w:ascii="Times New Roman" w:hAnsi="Times New Roman" w:cs="Times New Roman"/>
          <w:sz w:val="24"/>
          <w:szCs w:val="24"/>
        </w:rPr>
        <w:t>London, Routledge Taylor &amp; Francis Group, 2014.</w:t>
      </w:r>
    </w:p>
    <w:p w14:paraId="19A252ED" w14:textId="3E1C9353" w:rsidR="006A4987" w:rsidRDefault="006A4987" w:rsidP="006A4987">
      <w:pPr>
        <w:spacing w:after="0" w:line="480" w:lineRule="auto"/>
        <w:rPr>
          <w:rFonts w:ascii="Times New Roman" w:hAnsi="Times New Roman" w:cs="Times New Roman"/>
          <w:sz w:val="24"/>
          <w:szCs w:val="24"/>
        </w:rPr>
      </w:pPr>
      <w:proofErr w:type="spellStart"/>
      <w:r>
        <w:rPr>
          <w:rFonts w:ascii="Times New Roman" w:hAnsi="Times New Roman" w:cs="Times New Roman"/>
          <w:sz w:val="24"/>
          <w:szCs w:val="24"/>
        </w:rPr>
        <w:t>Assman</w:t>
      </w:r>
      <w:r w:rsidR="006A35A8">
        <w:rPr>
          <w:rFonts w:ascii="Times New Roman" w:hAnsi="Times New Roman" w:cs="Times New Roman"/>
          <w:sz w:val="24"/>
          <w:szCs w:val="24"/>
        </w:rPr>
        <w:t>n</w:t>
      </w:r>
      <w:proofErr w:type="spellEnd"/>
      <w:r w:rsidR="006A35A8">
        <w:rPr>
          <w:rFonts w:ascii="Times New Roman" w:hAnsi="Times New Roman" w:cs="Times New Roman"/>
          <w:sz w:val="24"/>
          <w:szCs w:val="24"/>
        </w:rPr>
        <w:t xml:space="preserve">, Jan. </w:t>
      </w:r>
      <w:r w:rsidR="006A35A8" w:rsidRPr="006A35A8">
        <w:rPr>
          <w:rFonts w:ascii="Times New Roman" w:hAnsi="Times New Roman" w:cs="Times New Roman"/>
          <w:i/>
          <w:iCs/>
          <w:sz w:val="24"/>
          <w:szCs w:val="24"/>
        </w:rPr>
        <w:t>The Mind of Egypt.</w:t>
      </w:r>
      <w:r w:rsidR="006A35A8">
        <w:rPr>
          <w:rFonts w:ascii="Times New Roman" w:hAnsi="Times New Roman" w:cs="Times New Roman"/>
          <w:sz w:val="24"/>
          <w:szCs w:val="24"/>
        </w:rPr>
        <w:t xml:space="preserve"> New York, Metropolitan Books, 1996.</w:t>
      </w:r>
    </w:p>
    <w:p w14:paraId="6F2E6747" w14:textId="77777777" w:rsidR="00596852" w:rsidRDefault="006A4987" w:rsidP="006A4987">
      <w:pPr>
        <w:spacing w:after="0" w:line="480" w:lineRule="auto"/>
        <w:rPr>
          <w:rFonts w:ascii="Times New Roman" w:hAnsi="Times New Roman" w:cs="Times New Roman"/>
          <w:sz w:val="24"/>
          <w:szCs w:val="24"/>
        </w:rPr>
      </w:pPr>
      <w:r>
        <w:rPr>
          <w:rFonts w:ascii="Times New Roman" w:hAnsi="Times New Roman" w:cs="Times New Roman"/>
          <w:sz w:val="24"/>
          <w:szCs w:val="24"/>
        </w:rPr>
        <w:t>Betz</w:t>
      </w:r>
      <w:r w:rsidR="00596852">
        <w:rPr>
          <w:rFonts w:ascii="Times New Roman" w:hAnsi="Times New Roman" w:cs="Times New Roman"/>
          <w:sz w:val="24"/>
          <w:szCs w:val="24"/>
        </w:rPr>
        <w:t xml:space="preserve">, Hans Dieter, translator, and commentary. </w:t>
      </w:r>
      <w:r w:rsidR="00596852" w:rsidRPr="00596852">
        <w:rPr>
          <w:rFonts w:ascii="Times New Roman" w:hAnsi="Times New Roman" w:cs="Times New Roman"/>
          <w:i/>
          <w:iCs/>
          <w:sz w:val="24"/>
          <w:szCs w:val="24"/>
        </w:rPr>
        <w:t>The “Mithras Liturgy.”</w:t>
      </w:r>
      <w:r w:rsidR="00596852">
        <w:rPr>
          <w:rFonts w:ascii="Times New Roman" w:hAnsi="Times New Roman" w:cs="Times New Roman"/>
          <w:sz w:val="24"/>
          <w:szCs w:val="24"/>
        </w:rPr>
        <w:t xml:space="preserve"> </w:t>
      </w:r>
    </w:p>
    <w:p w14:paraId="0ACB316C" w14:textId="694CAC7E" w:rsidR="006A4987" w:rsidRDefault="00596852" w:rsidP="006A35A8">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Tubingen, Germany, Mohr </w:t>
      </w:r>
      <w:proofErr w:type="spellStart"/>
      <w:r>
        <w:rPr>
          <w:rFonts w:ascii="Times New Roman" w:hAnsi="Times New Roman" w:cs="Times New Roman"/>
          <w:sz w:val="24"/>
          <w:szCs w:val="24"/>
        </w:rPr>
        <w:t>Siebeck</w:t>
      </w:r>
      <w:proofErr w:type="spellEnd"/>
      <w:r>
        <w:rPr>
          <w:rFonts w:ascii="Times New Roman" w:hAnsi="Times New Roman" w:cs="Times New Roman"/>
          <w:sz w:val="24"/>
          <w:szCs w:val="24"/>
        </w:rPr>
        <w:t>, 2005.</w:t>
      </w:r>
    </w:p>
    <w:p w14:paraId="33A0EF50" w14:textId="42E300CB" w:rsidR="006A4987" w:rsidRPr="00750138" w:rsidRDefault="006A4987" w:rsidP="006A4987">
      <w:pPr>
        <w:spacing w:after="0" w:line="480" w:lineRule="auto"/>
        <w:rPr>
          <w:rFonts w:ascii="Times New Roman" w:hAnsi="Times New Roman" w:cs="Times New Roman"/>
          <w:sz w:val="24"/>
          <w:szCs w:val="24"/>
        </w:rPr>
      </w:pPr>
      <w:r w:rsidRPr="00750138">
        <w:rPr>
          <w:rFonts w:ascii="Times New Roman" w:hAnsi="Times New Roman" w:cs="Times New Roman"/>
          <w:sz w:val="24"/>
          <w:szCs w:val="24"/>
        </w:rPr>
        <w:t xml:space="preserve">Clarke, Emma, et al., translator. </w:t>
      </w:r>
      <w:r w:rsidRPr="003C4520">
        <w:rPr>
          <w:rFonts w:ascii="Times New Roman" w:hAnsi="Times New Roman" w:cs="Times New Roman"/>
          <w:i/>
          <w:iCs/>
          <w:sz w:val="24"/>
          <w:szCs w:val="24"/>
        </w:rPr>
        <w:t>On the Mysteries</w:t>
      </w:r>
      <w:r w:rsidRPr="00750138">
        <w:rPr>
          <w:rFonts w:ascii="Times New Roman" w:hAnsi="Times New Roman" w:cs="Times New Roman"/>
          <w:sz w:val="24"/>
          <w:szCs w:val="24"/>
        </w:rPr>
        <w:t>. By Iamblichus, Atlanta, Society of Biblical</w:t>
      </w:r>
    </w:p>
    <w:p w14:paraId="4CCBB8A3" w14:textId="3D8259B5" w:rsidR="006A4987" w:rsidRDefault="006A4987" w:rsidP="006A4987">
      <w:pPr>
        <w:spacing w:after="0" w:line="480" w:lineRule="auto"/>
        <w:rPr>
          <w:rFonts w:ascii="Times New Roman" w:hAnsi="Times New Roman" w:cs="Times New Roman"/>
          <w:sz w:val="24"/>
          <w:szCs w:val="24"/>
        </w:rPr>
      </w:pPr>
      <w:r w:rsidRPr="00750138">
        <w:rPr>
          <w:rFonts w:ascii="Times New Roman" w:hAnsi="Times New Roman" w:cs="Times New Roman"/>
          <w:sz w:val="24"/>
          <w:szCs w:val="24"/>
        </w:rPr>
        <w:t xml:space="preserve">            Literature, 2003.</w:t>
      </w:r>
    </w:p>
    <w:p w14:paraId="78BEA6F9" w14:textId="5895EED1" w:rsidR="006A4987" w:rsidRDefault="006A4987" w:rsidP="006A4987">
      <w:pPr>
        <w:spacing w:after="0" w:line="480" w:lineRule="auto"/>
        <w:rPr>
          <w:rFonts w:ascii="Times New Roman" w:hAnsi="Times New Roman" w:cs="Times New Roman"/>
          <w:sz w:val="24"/>
          <w:szCs w:val="24"/>
        </w:rPr>
      </w:pPr>
      <w:r>
        <w:rPr>
          <w:rFonts w:ascii="Times New Roman" w:hAnsi="Times New Roman" w:cs="Times New Roman"/>
          <w:sz w:val="24"/>
          <w:szCs w:val="24"/>
        </w:rPr>
        <w:t>Dickie</w:t>
      </w:r>
      <w:r w:rsidR="00596852">
        <w:rPr>
          <w:rFonts w:ascii="Times New Roman" w:hAnsi="Times New Roman" w:cs="Times New Roman"/>
          <w:sz w:val="24"/>
          <w:szCs w:val="24"/>
        </w:rPr>
        <w:t xml:space="preserve">, Matthew. </w:t>
      </w:r>
      <w:r w:rsidR="00596852" w:rsidRPr="00596852">
        <w:rPr>
          <w:rFonts w:ascii="Times New Roman" w:hAnsi="Times New Roman" w:cs="Times New Roman"/>
          <w:i/>
          <w:iCs/>
          <w:sz w:val="24"/>
          <w:szCs w:val="24"/>
        </w:rPr>
        <w:t>Magic and Magicians in the Greco-Roman World</w:t>
      </w:r>
      <w:r w:rsidR="00596852">
        <w:rPr>
          <w:rFonts w:ascii="Times New Roman" w:hAnsi="Times New Roman" w:cs="Times New Roman"/>
          <w:sz w:val="24"/>
          <w:szCs w:val="24"/>
        </w:rPr>
        <w:t>. New York, Routledge, 2003.</w:t>
      </w:r>
    </w:p>
    <w:p w14:paraId="22E2DA29" w14:textId="77777777" w:rsidR="00596852" w:rsidRDefault="006A4987" w:rsidP="006A4987">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Evans-Pritchard. </w:t>
      </w:r>
      <w:r w:rsidRPr="006A4987">
        <w:rPr>
          <w:rFonts w:ascii="Times New Roman" w:hAnsi="Times New Roman" w:cs="Times New Roman"/>
          <w:i/>
          <w:iCs/>
          <w:sz w:val="24"/>
          <w:szCs w:val="24"/>
        </w:rPr>
        <w:t>Witchcraft, Oracles, and Magic Among the Azande</w:t>
      </w:r>
      <w:r>
        <w:rPr>
          <w:rFonts w:ascii="Times New Roman" w:hAnsi="Times New Roman" w:cs="Times New Roman"/>
          <w:i/>
          <w:iCs/>
          <w:sz w:val="24"/>
          <w:szCs w:val="24"/>
        </w:rPr>
        <w:t>.</w:t>
      </w:r>
      <w:r w:rsidR="00596852">
        <w:rPr>
          <w:rFonts w:ascii="Times New Roman" w:hAnsi="Times New Roman" w:cs="Times New Roman"/>
          <w:i/>
          <w:iCs/>
          <w:sz w:val="24"/>
          <w:szCs w:val="24"/>
        </w:rPr>
        <w:t xml:space="preserve"> </w:t>
      </w:r>
      <w:r>
        <w:rPr>
          <w:rFonts w:ascii="Times New Roman" w:hAnsi="Times New Roman" w:cs="Times New Roman"/>
          <w:sz w:val="24"/>
          <w:szCs w:val="24"/>
        </w:rPr>
        <w:t xml:space="preserve">Oxford, </w:t>
      </w:r>
    </w:p>
    <w:p w14:paraId="3C2B265A" w14:textId="3291EAA0" w:rsidR="006A4987" w:rsidRPr="00596852" w:rsidRDefault="006A4987" w:rsidP="00596852">
      <w:pPr>
        <w:spacing w:after="0" w:line="480" w:lineRule="auto"/>
        <w:ind w:firstLine="720"/>
        <w:rPr>
          <w:rFonts w:ascii="Times New Roman" w:hAnsi="Times New Roman" w:cs="Times New Roman"/>
          <w:i/>
          <w:iCs/>
          <w:sz w:val="24"/>
          <w:szCs w:val="24"/>
        </w:rPr>
      </w:pPr>
      <w:r>
        <w:rPr>
          <w:rFonts w:ascii="Times New Roman" w:hAnsi="Times New Roman" w:cs="Times New Roman"/>
          <w:sz w:val="24"/>
          <w:szCs w:val="24"/>
        </w:rPr>
        <w:t>Oxford University Press, 1976.</w:t>
      </w:r>
    </w:p>
    <w:p w14:paraId="61E1E514" w14:textId="77777777" w:rsidR="00596852" w:rsidRDefault="006A4987" w:rsidP="006A4987">
      <w:pPr>
        <w:spacing w:after="0" w:line="480" w:lineRule="auto"/>
        <w:rPr>
          <w:rFonts w:ascii="Times New Roman" w:hAnsi="Times New Roman" w:cs="Times New Roman"/>
          <w:i/>
          <w:iCs/>
          <w:sz w:val="24"/>
          <w:szCs w:val="24"/>
        </w:rPr>
      </w:pPr>
      <w:r>
        <w:rPr>
          <w:rFonts w:ascii="Times New Roman" w:hAnsi="Times New Roman" w:cs="Times New Roman"/>
          <w:sz w:val="24"/>
          <w:szCs w:val="24"/>
        </w:rPr>
        <w:t xml:space="preserve">Malinowski, Bronislaw. </w:t>
      </w:r>
      <w:r w:rsidRPr="006A4987">
        <w:rPr>
          <w:rFonts w:ascii="Times New Roman" w:hAnsi="Times New Roman" w:cs="Times New Roman"/>
          <w:i/>
          <w:iCs/>
          <w:sz w:val="24"/>
          <w:szCs w:val="24"/>
        </w:rPr>
        <w:t>Magic, Science</w:t>
      </w:r>
      <w:r>
        <w:rPr>
          <w:rFonts w:ascii="Times New Roman" w:hAnsi="Times New Roman" w:cs="Times New Roman"/>
          <w:i/>
          <w:iCs/>
          <w:sz w:val="24"/>
          <w:szCs w:val="24"/>
        </w:rPr>
        <w:t>,</w:t>
      </w:r>
      <w:r w:rsidRPr="006A4987">
        <w:rPr>
          <w:rFonts w:ascii="Times New Roman" w:hAnsi="Times New Roman" w:cs="Times New Roman"/>
          <w:i/>
          <w:iCs/>
          <w:sz w:val="24"/>
          <w:szCs w:val="24"/>
        </w:rPr>
        <w:t xml:space="preserve"> and Religion.</w:t>
      </w:r>
      <w:r>
        <w:rPr>
          <w:rFonts w:ascii="Times New Roman" w:hAnsi="Times New Roman" w:cs="Times New Roman"/>
          <w:i/>
          <w:iCs/>
          <w:sz w:val="24"/>
          <w:szCs w:val="24"/>
        </w:rPr>
        <w:t xml:space="preserve"> </w:t>
      </w:r>
    </w:p>
    <w:p w14:paraId="4E6B58B1" w14:textId="0E8D682B" w:rsidR="006A4987" w:rsidRPr="006A4987" w:rsidRDefault="006A4987" w:rsidP="00596852">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Connecticut, Martino Publishing, 2015.</w:t>
      </w:r>
    </w:p>
    <w:p w14:paraId="6AC300CA" w14:textId="56022D88" w:rsidR="00CE6A92" w:rsidRDefault="006A4987" w:rsidP="006A4987">
      <w:pPr>
        <w:spacing w:after="0" w:line="480" w:lineRule="auto"/>
        <w:rPr>
          <w:rFonts w:ascii="Times New Roman" w:hAnsi="Times New Roman" w:cs="Times New Roman"/>
          <w:sz w:val="24"/>
          <w:szCs w:val="24"/>
        </w:rPr>
      </w:pPr>
      <w:proofErr w:type="spellStart"/>
      <w:r>
        <w:rPr>
          <w:rFonts w:ascii="Times New Roman" w:hAnsi="Times New Roman" w:cs="Times New Roman"/>
          <w:sz w:val="24"/>
          <w:szCs w:val="24"/>
        </w:rPr>
        <w:t>Nutton</w:t>
      </w:r>
      <w:proofErr w:type="spellEnd"/>
      <w:r w:rsidR="00596852">
        <w:rPr>
          <w:rFonts w:ascii="Times New Roman" w:hAnsi="Times New Roman" w:cs="Times New Roman"/>
          <w:sz w:val="24"/>
          <w:szCs w:val="24"/>
        </w:rPr>
        <w:t xml:space="preserve">, Vivian. </w:t>
      </w:r>
      <w:r w:rsidR="00596852" w:rsidRPr="00596852">
        <w:rPr>
          <w:rFonts w:ascii="Times New Roman" w:hAnsi="Times New Roman" w:cs="Times New Roman"/>
          <w:i/>
          <w:iCs/>
          <w:sz w:val="24"/>
          <w:szCs w:val="24"/>
        </w:rPr>
        <w:t>Ancient Medicine.</w:t>
      </w:r>
      <w:r w:rsidR="00596852">
        <w:rPr>
          <w:rFonts w:ascii="Times New Roman" w:hAnsi="Times New Roman" w:cs="Times New Roman"/>
          <w:sz w:val="24"/>
          <w:szCs w:val="24"/>
        </w:rPr>
        <w:t xml:space="preserve"> New York, Routledge, 2013.</w:t>
      </w:r>
    </w:p>
    <w:p w14:paraId="66467DCF" w14:textId="2C99A6AE" w:rsidR="006A4987" w:rsidRDefault="006A4987" w:rsidP="006A4987">
      <w:pPr>
        <w:spacing w:after="0" w:line="480" w:lineRule="auto"/>
        <w:rPr>
          <w:rFonts w:ascii="Times New Roman" w:hAnsi="Times New Roman" w:cs="Times New Roman"/>
          <w:sz w:val="24"/>
          <w:szCs w:val="24"/>
        </w:rPr>
      </w:pPr>
      <w:r>
        <w:rPr>
          <w:rFonts w:ascii="Times New Roman" w:hAnsi="Times New Roman" w:cs="Times New Roman"/>
          <w:sz w:val="24"/>
          <w:szCs w:val="24"/>
        </w:rPr>
        <w:t>Pinch</w:t>
      </w:r>
      <w:r w:rsidR="00CE6A92">
        <w:rPr>
          <w:rFonts w:ascii="Times New Roman" w:hAnsi="Times New Roman" w:cs="Times New Roman"/>
          <w:sz w:val="24"/>
          <w:szCs w:val="24"/>
        </w:rPr>
        <w:t xml:space="preserve">, Geraldine. </w:t>
      </w:r>
      <w:r w:rsidR="00CE6A92" w:rsidRPr="00CE6A92">
        <w:rPr>
          <w:rFonts w:ascii="Times New Roman" w:hAnsi="Times New Roman" w:cs="Times New Roman"/>
          <w:i/>
          <w:iCs/>
          <w:sz w:val="24"/>
          <w:szCs w:val="24"/>
        </w:rPr>
        <w:t>Magic in Ancient Egypt</w:t>
      </w:r>
      <w:r w:rsidR="00CE6A92">
        <w:rPr>
          <w:rFonts w:ascii="Times New Roman" w:hAnsi="Times New Roman" w:cs="Times New Roman"/>
          <w:sz w:val="24"/>
          <w:szCs w:val="24"/>
        </w:rPr>
        <w:t>. Texas, British Museum Press, 1995.</w:t>
      </w:r>
    </w:p>
    <w:p w14:paraId="5C21522F" w14:textId="77777777" w:rsidR="00CE6A92" w:rsidRDefault="006A4987" w:rsidP="006A4987">
      <w:pPr>
        <w:spacing w:after="0" w:line="480" w:lineRule="auto"/>
        <w:rPr>
          <w:rFonts w:ascii="Times New Roman" w:hAnsi="Times New Roman" w:cs="Times New Roman"/>
          <w:sz w:val="24"/>
          <w:szCs w:val="24"/>
        </w:rPr>
      </w:pPr>
      <w:r>
        <w:rPr>
          <w:rFonts w:ascii="Times New Roman" w:hAnsi="Times New Roman" w:cs="Times New Roman"/>
          <w:sz w:val="24"/>
          <w:szCs w:val="24"/>
        </w:rPr>
        <w:t>Rankine</w:t>
      </w:r>
      <w:r w:rsidR="00CE6A92">
        <w:rPr>
          <w:rFonts w:ascii="Times New Roman" w:hAnsi="Times New Roman" w:cs="Times New Roman"/>
          <w:sz w:val="24"/>
          <w:szCs w:val="24"/>
        </w:rPr>
        <w:t xml:space="preserve">, David. Heka, </w:t>
      </w:r>
      <w:r w:rsidR="00CE6A92" w:rsidRPr="00CE6A92">
        <w:rPr>
          <w:rFonts w:ascii="Times New Roman" w:hAnsi="Times New Roman" w:cs="Times New Roman"/>
          <w:i/>
          <w:iCs/>
          <w:sz w:val="24"/>
          <w:szCs w:val="24"/>
        </w:rPr>
        <w:t>The Practices of Ancient Egyptian Ritual and Magic</w:t>
      </w:r>
      <w:r w:rsidR="00CE6A92">
        <w:rPr>
          <w:rFonts w:ascii="Times New Roman" w:hAnsi="Times New Roman" w:cs="Times New Roman"/>
          <w:sz w:val="24"/>
          <w:szCs w:val="24"/>
        </w:rPr>
        <w:t xml:space="preserve">. </w:t>
      </w:r>
    </w:p>
    <w:p w14:paraId="27E568F8" w14:textId="00406AB7" w:rsidR="006A4987" w:rsidRDefault="00CE6A92" w:rsidP="00CE6A92">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London, Avalonia, 2006.</w:t>
      </w:r>
    </w:p>
    <w:p w14:paraId="4FA3C726" w14:textId="77777777" w:rsidR="007812F9" w:rsidRDefault="006A4987" w:rsidP="006A4987">
      <w:pPr>
        <w:spacing w:after="0" w:line="480" w:lineRule="auto"/>
        <w:rPr>
          <w:rFonts w:ascii="Times New Roman" w:hAnsi="Times New Roman" w:cs="Times New Roman"/>
          <w:sz w:val="24"/>
          <w:szCs w:val="24"/>
        </w:rPr>
      </w:pPr>
      <w:proofErr w:type="spellStart"/>
      <w:r>
        <w:rPr>
          <w:rFonts w:ascii="Times New Roman" w:hAnsi="Times New Roman" w:cs="Times New Roman"/>
          <w:sz w:val="24"/>
          <w:szCs w:val="24"/>
        </w:rPr>
        <w:t>Ritner</w:t>
      </w:r>
      <w:proofErr w:type="spellEnd"/>
      <w:r w:rsidR="007812F9">
        <w:rPr>
          <w:rFonts w:ascii="Times New Roman" w:hAnsi="Times New Roman" w:cs="Times New Roman"/>
          <w:sz w:val="24"/>
          <w:szCs w:val="24"/>
        </w:rPr>
        <w:t xml:space="preserve">, Robert </w:t>
      </w:r>
      <w:proofErr w:type="spellStart"/>
      <w:r w:rsidR="007812F9">
        <w:rPr>
          <w:rFonts w:ascii="Times New Roman" w:hAnsi="Times New Roman" w:cs="Times New Roman"/>
          <w:sz w:val="24"/>
          <w:szCs w:val="24"/>
        </w:rPr>
        <w:t>Kriech</w:t>
      </w:r>
      <w:proofErr w:type="spellEnd"/>
      <w:r w:rsidR="007812F9">
        <w:rPr>
          <w:rFonts w:ascii="Times New Roman" w:hAnsi="Times New Roman" w:cs="Times New Roman"/>
          <w:sz w:val="24"/>
          <w:szCs w:val="24"/>
        </w:rPr>
        <w:t xml:space="preserve">. </w:t>
      </w:r>
      <w:r w:rsidR="007812F9" w:rsidRPr="007812F9">
        <w:rPr>
          <w:rFonts w:ascii="Times New Roman" w:hAnsi="Times New Roman" w:cs="Times New Roman"/>
          <w:i/>
          <w:iCs/>
          <w:sz w:val="24"/>
          <w:szCs w:val="24"/>
        </w:rPr>
        <w:t>The Mechanics of Ancient Egyptian Magical Practice</w:t>
      </w:r>
      <w:r w:rsidR="007812F9">
        <w:rPr>
          <w:rFonts w:ascii="Times New Roman" w:hAnsi="Times New Roman" w:cs="Times New Roman"/>
          <w:sz w:val="24"/>
          <w:szCs w:val="24"/>
        </w:rPr>
        <w:t xml:space="preserve">. </w:t>
      </w:r>
    </w:p>
    <w:p w14:paraId="2FA3DC26" w14:textId="591BD691" w:rsidR="006A4987" w:rsidRDefault="007812F9" w:rsidP="007812F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Chicago, The University of Chicago, 1993.</w:t>
      </w:r>
    </w:p>
    <w:p w14:paraId="4DF166C8" w14:textId="77777777" w:rsidR="00CE6A92" w:rsidRPr="00DC0554" w:rsidRDefault="00CE6A92" w:rsidP="00CE6A92">
      <w:pPr>
        <w:spacing w:after="0" w:line="480" w:lineRule="auto"/>
        <w:rPr>
          <w:rFonts w:ascii="Times New Roman" w:hAnsi="Times New Roman" w:cs="Times New Roman"/>
          <w:i/>
          <w:iCs/>
          <w:sz w:val="24"/>
          <w:szCs w:val="24"/>
        </w:rPr>
      </w:pPr>
      <w:r w:rsidRPr="00750138">
        <w:rPr>
          <w:rFonts w:ascii="Times New Roman" w:hAnsi="Times New Roman" w:cs="Times New Roman"/>
          <w:sz w:val="24"/>
          <w:szCs w:val="24"/>
        </w:rPr>
        <w:t xml:space="preserve">Shaw, Gregory. </w:t>
      </w:r>
      <w:r w:rsidRPr="00DC0554">
        <w:rPr>
          <w:rFonts w:ascii="Times New Roman" w:hAnsi="Times New Roman" w:cs="Times New Roman"/>
          <w:i/>
          <w:iCs/>
          <w:sz w:val="24"/>
          <w:szCs w:val="24"/>
        </w:rPr>
        <w:t xml:space="preserve">Theurgy and the Soul: The Neoplatonism of Iamblichus. </w:t>
      </w:r>
    </w:p>
    <w:p w14:paraId="763CB7B2" w14:textId="49FC7B89" w:rsidR="006A4987" w:rsidRDefault="00CE6A92" w:rsidP="007812F9">
      <w:pPr>
        <w:spacing w:after="0" w:line="480" w:lineRule="auto"/>
        <w:ind w:firstLine="720"/>
        <w:rPr>
          <w:rFonts w:ascii="Times New Roman" w:hAnsi="Times New Roman" w:cs="Times New Roman"/>
          <w:sz w:val="24"/>
          <w:szCs w:val="24"/>
        </w:rPr>
      </w:pPr>
      <w:r w:rsidRPr="00750138">
        <w:rPr>
          <w:rFonts w:ascii="Times New Roman" w:hAnsi="Times New Roman" w:cs="Times New Roman"/>
          <w:sz w:val="24"/>
          <w:szCs w:val="24"/>
        </w:rPr>
        <w:t>Ohio, Angelico Press, 2014</w:t>
      </w:r>
    </w:p>
    <w:p w14:paraId="65A6C5CC" w14:textId="77777777" w:rsidR="00596852" w:rsidRDefault="006A4987" w:rsidP="00596852">
      <w:pPr>
        <w:spacing w:after="0" w:line="480" w:lineRule="auto"/>
        <w:rPr>
          <w:rFonts w:ascii="Times New Roman" w:hAnsi="Times New Roman" w:cs="Times New Roman"/>
          <w:sz w:val="24"/>
          <w:szCs w:val="24"/>
        </w:rPr>
      </w:pPr>
      <w:r>
        <w:rPr>
          <w:rFonts w:ascii="Times New Roman" w:hAnsi="Times New Roman" w:cs="Times New Roman"/>
          <w:sz w:val="24"/>
          <w:szCs w:val="24"/>
        </w:rPr>
        <w:t>Tick</w:t>
      </w:r>
      <w:r w:rsidR="00596852">
        <w:rPr>
          <w:rFonts w:ascii="Times New Roman" w:hAnsi="Times New Roman" w:cs="Times New Roman"/>
          <w:sz w:val="24"/>
          <w:szCs w:val="24"/>
        </w:rPr>
        <w:t xml:space="preserve">, Edward. </w:t>
      </w:r>
      <w:r w:rsidR="00596852" w:rsidRPr="00596852">
        <w:rPr>
          <w:rFonts w:ascii="Times New Roman" w:hAnsi="Times New Roman" w:cs="Times New Roman"/>
          <w:i/>
          <w:iCs/>
          <w:sz w:val="24"/>
          <w:szCs w:val="24"/>
        </w:rPr>
        <w:t>The Practice of Dream Healing.</w:t>
      </w:r>
      <w:r w:rsidR="00596852">
        <w:rPr>
          <w:rFonts w:ascii="Times New Roman" w:hAnsi="Times New Roman" w:cs="Times New Roman"/>
          <w:sz w:val="24"/>
          <w:szCs w:val="24"/>
        </w:rPr>
        <w:t xml:space="preserve"> Wheaton, IL, Quest Books Theosophical</w:t>
      </w:r>
    </w:p>
    <w:p w14:paraId="0E873A28" w14:textId="725C9AAD" w:rsidR="006A4987" w:rsidRDefault="00596852" w:rsidP="00596852">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Publishing House, 2001.</w:t>
      </w:r>
    </w:p>
    <w:p w14:paraId="4FDC48E2" w14:textId="3543EF7F" w:rsidR="006A4987" w:rsidRPr="00750138" w:rsidRDefault="006A4987" w:rsidP="006A4987">
      <w:pPr>
        <w:spacing w:after="0" w:line="480" w:lineRule="auto"/>
        <w:rPr>
          <w:rFonts w:ascii="Times New Roman" w:hAnsi="Times New Roman" w:cs="Times New Roman"/>
          <w:sz w:val="24"/>
          <w:szCs w:val="24"/>
        </w:rPr>
      </w:pPr>
    </w:p>
    <w:p w14:paraId="49A5FDF3" w14:textId="77777777" w:rsidR="00E10936" w:rsidRPr="00E10936" w:rsidRDefault="00E10936">
      <w:pPr>
        <w:rPr>
          <w:rFonts w:ascii="Times New Roman" w:hAnsi="Times New Roman" w:cs="Times New Roman"/>
          <w:sz w:val="24"/>
          <w:szCs w:val="24"/>
        </w:rPr>
      </w:pPr>
    </w:p>
    <w:sectPr w:rsidR="00E10936" w:rsidRPr="00E10936">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83D450" w14:textId="77777777" w:rsidR="000E5828" w:rsidRDefault="000E5828" w:rsidP="00E10936">
      <w:pPr>
        <w:spacing w:after="0" w:line="240" w:lineRule="auto"/>
      </w:pPr>
      <w:r>
        <w:separator/>
      </w:r>
    </w:p>
  </w:endnote>
  <w:endnote w:type="continuationSeparator" w:id="0">
    <w:p w14:paraId="0F9A31A1" w14:textId="77777777" w:rsidR="000E5828" w:rsidRDefault="000E5828" w:rsidP="00E109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7080646"/>
      <w:docPartObj>
        <w:docPartGallery w:val="Page Numbers (Bottom of Page)"/>
        <w:docPartUnique/>
      </w:docPartObj>
    </w:sdtPr>
    <w:sdtEndPr>
      <w:rPr>
        <w:noProof/>
      </w:rPr>
    </w:sdtEndPr>
    <w:sdtContent>
      <w:p w14:paraId="1CFD3DF7" w14:textId="187FAAB0" w:rsidR="00E10936" w:rsidRDefault="00E109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A400DA" w14:textId="77777777" w:rsidR="00E10936" w:rsidRDefault="00E109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D421E8" w14:textId="77777777" w:rsidR="000E5828" w:rsidRDefault="000E5828" w:rsidP="00E10936">
      <w:pPr>
        <w:spacing w:after="0" w:line="240" w:lineRule="auto"/>
      </w:pPr>
      <w:r>
        <w:separator/>
      </w:r>
    </w:p>
  </w:footnote>
  <w:footnote w:type="continuationSeparator" w:id="0">
    <w:p w14:paraId="2E5B0A55" w14:textId="77777777" w:rsidR="000E5828" w:rsidRDefault="000E5828" w:rsidP="00E1093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936"/>
    <w:rsid w:val="00056525"/>
    <w:rsid w:val="000E5828"/>
    <w:rsid w:val="001033D1"/>
    <w:rsid w:val="001400D0"/>
    <w:rsid w:val="00213E79"/>
    <w:rsid w:val="00321D79"/>
    <w:rsid w:val="00361803"/>
    <w:rsid w:val="005538E1"/>
    <w:rsid w:val="00596852"/>
    <w:rsid w:val="006A35A8"/>
    <w:rsid w:val="006A4987"/>
    <w:rsid w:val="006A60E8"/>
    <w:rsid w:val="007812F9"/>
    <w:rsid w:val="00A946B2"/>
    <w:rsid w:val="00CE6A92"/>
    <w:rsid w:val="00D14811"/>
    <w:rsid w:val="00E10936"/>
    <w:rsid w:val="00EE3164"/>
    <w:rsid w:val="00F224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A6A58"/>
  <w15:chartTrackingRefBased/>
  <w15:docId w15:val="{919377DC-43F6-4311-A456-C55424BE1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09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0936"/>
  </w:style>
  <w:style w:type="paragraph" w:styleId="Footer">
    <w:name w:val="footer"/>
    <w:basedOn w:val="Normal"/>
    <w:link w:val="FooterChar"/>
    <w:uiPriority w:val="99"/>
    <w:unhideWhenUsed/>
    <w:rsid w:val="00E109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09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4703</Words>
  <Characters>26812</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Hahn</dc:creator>
  <cp:keywords/>
  <dc:description/>
  <cp:lastModifiedBy>Kevin Hahn</cp:lastModifiedBy>
  <cp:revision>2</cp:revision>
  <dcterms:created xsi:type="dcterms:W3CDTF">2023-04-25T14:19:00Z</dcterms:created>
  <dcterms:modified xsi:type="dcterms:W3CDTF">2023-04-25T14:19:00Z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e862b280-e5dd-471c-b71c-c1360ae22e31</vt:lpwstr>
  </property>
</Properties>
</file>