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5D821A" w14:textId="77777777" w:rsidR="00C44332" w:rsidRDefault="00C44332">
      <w:pPr>
        <w:spacing w:line="360" w:lineRule="auto"/>
        <w:jc w:val="center"/>
        <w:rPr>
          <w:rFonts w:ascii="Times New Roman" w:eastAsia="Times New Roman" w:hAnsi="Times New Roman" w:cs="Times New Roman"/>
          <w:b/>
          <w:sz w:val="40"/>
          <w:szCs w:val="40"/>
          <w:u w:val="single"/>
          <w:lang w:val="en-GB"/>
        </w:rPr>
      </w:pPr>
    </w:p>
    <w:p w14:paraId="24550400" w14:textId="77777777" w:rsidR="00C44332" w:rsidRDefault="00C44332">
      <w:pPr>
        <w:spacing w:line="360" w:lineRule="auto"/>
        <w:jc w:val="center"/>
        <w:rPr>
          <w:rFonts w:ascii="Times New Roman" w:eastAsia="Times New Roman" w:hAnsi="Times New Roman" w:cs="Times New Roman"/>
          <w:b/>
          <w:sz w:val="40"/>
          <w:szCs w:val="40"/>
          <w:u w:val="single"/>
          <w:lang w:val="en-GB"/>
        </w:rPr>
      </w:pPr>
    </w:p>
    <w:p w14:paraId="6C8744B2" w14:textId="77777777" w:rsidR="00C44332" w:rsidRDefault="00C44332">
      <w:pPr>
        <w:spacing w:line="360" w:lineRule="auto"/>
        <w:jc w:val="center"/>
        <w:rPr>
          <w:rFonts w:ascii="Times New Roman" w:eastAsia="Times New Roman" w:hAnsi="Times New Roman" w:cs="Times New Roman"/>
          <w:b/>
          <w:sz w:val="40"/>
          <w:szCs w:val="40"/>
          <w:u w:val="single"/>
          <w:lang w:val="en-GB"/>
        </w:rPr>
      </w:pPr>
    </w:p>
    <w:p w14:paraId="1C63528F" w14:textId="77777777" w:rsidR="00C44332" w:rsidRDefault="00C44332">
      <w:pPr>
        <w:spacing w:line="360" w:lineRule="auto"/>
        <w:jc w:val="center"/>
        <w:rPr>
          <w:rFonts w:ascii="Times New Roman" w:eastAsia="Times New Roman" w:hAnsi="Times New Roman" w:cs="Times New Roman"/>
          <w:b/>
          <w:sz w:val="40"/>
          <w:szCs w:val="40"/>
          <w:u w:val="single"/>
          <w:lang w:val="en-GB"/>
        </w:rPr>
      </w:pPr>
    </w:p>
    <w:p w14:paraId="2962EF06" w14:textId="77777777" w:rsidR="00C44332" w:rsidRDefault="00C44332">
      <w:pPr>
        <w:spacing w:line="360" w:lineRule="auto"/>
        <w:jc w:val="center"/>
        <w:rPr>
          <w:rFonts w:ascii="Times New Roman" w:eastAsia="Times New Roman" w:hAnsi="Times New Roman" w:cs="Times New Roman"/>
          <w:b/>
          <w:sz w:val="40"/>
          <w:szCs w:val="40"/>
          <w:u w:val="single"/>
          <w:lang w:val="en-GB"/>
        </w:rPr>
      </w:pPr>
    </w:p>
    <w:p w14:paraId="53788010" w14:textId="77777777" w:rsidR="00C44332" w:rsidRDefault="00C44332">
      <w:pPr>
        <w:spacing w:line="360" w:lineRule="auto"/>
        <w:jc w:val="center"/>
        <w:rPr>
          <w:rFonts w:ascii="Times New Roman" w:eastAsia="Times New Roman" w:hAnsi="Times New Roman" w:cs="Times New Roman"/>
          <w:b/>
          <w:sz w:val="40"/>
          <w:szCs w:val="40"/>
          <w:u w:val="single"/>
          <w:lang w:val="en-GB"/>
        </w:rPr>
      </w:pPr>
    </w:p>
    <w:p w14:paraId="50D5B935" w14:textId="77777777" w:rsidR="00C44332" w:rsidRDefault="00C44332">
      <w:pPr>
        <w:spacing w:line="360" w:lineRule="auto"/>
        <w:jc w:val="center"/>
        <w:rPr>
          <w:rFonts w:ascii="Times New Roman" w:eastAsia="Times New Roman" w:hAnsi="Times New Roman" w:cs="Times New Roman"/>
          <w:b/>
          <w:sz w:val="40"/>
          <w:szCs w:val="40"/>
          <w:u w:val="single"/>
          <w:lang w:val="en-GB"/>
        </w:rPr>
      </w:pPr>
    </w:p>
    <w:p w14:paraId="322F0677" w14:textId="77777777" w:rsidR="00C44332" w:rsidRDefault="00C44332">
      <w:pPr>
        <w:spacing w:line="360" w:lineRule="auto"/>
        <w:jc w:val="center"/>
        <w:rPr>
          <w:rFonts w:ascii="Times New Roman" w:eastAsia="Times New Roman" w:hAnsi="Times New Roman" w:cs="Times New Roman"/>
          <w:b/>
          <w:sz w:val="40"/>
          <w:szCs w:val="40"/>
          <w:u w:val="single"/>
          <w:lang w:val="en-GB"/>
        </w:rPr>
      </w:pPr>
    </w:p>
    <w:p w14:paraId="00000001" w14:textId="77777777" w:rsidR="00C26BCA" w:rsidRDefault="00003159">
      <w:pPr>
        <w:spacing w:line="360" w:lineRule="auto"/>
        <w:jc w:val="center"/>
        <w:rPr>
          <w:rFonts w:ascii="Times New Roman" w:eastAsia="Times New Roman" w:hAnsi="Times New Roman" w:cs="Times New Roman"/>
          <w:b/>
          <w:sz w:val="40"/>
          <w:szCs w:val="40"/>
          <w:u w:val="single"/>
          <w:lang w:val="en-GB"/>
        </w:rPr>
      </w:pPr>
      <w:r w:rsidRPr="00C44332">
        <w:rPr>
          <w:rFonts w:ascii="Times New Roman" w:eastAsia="Times New Roman" w:hAnsi="Times New Roman" w:cs="Times New Roman"/>
          <w:b/>
          <w:sz w:val="40"/>
          <w:szCs w:val="40"/>
          <w:u w:val="single"/>
          <w:lang w:val="en-GB"/>
        </w:rPr>
        <w:t>International Financial Management</w:t>
      </w:r>
    </w:p>
    <w:p w14:paraId="00000002" w14:textId="77777777" w:rsidR="00C26BCA" w:rsidRPr="00C44332" w:rsidRDefault="00003159" w:rsidP="00C44332">
      <w:pPr>
        <w:spacing w:line="360" w:lineRule="auto"/>
        <w:jc w:val="center"/>
        <w:rPr>
          <w:rFonts w:ascii="Times New Roman" w:eastAsia="Times New Roman" w:hAnsi="Times New Roman" w:cs="Times New Roman"/>
          <w:sz w:val="24"/>
          <w:szCs w:val="24"/>
          <w:lang w:val="en-GB"/>
        </w:rPr>
      </w:pPr>
      <w:r w:rsidRPr="00C44332">
        <w:rPr>
          <w:rFonts w:ascii="Times New Roman" w:hAnsi="Times New Roman" w:cs="Times New Roman"/>
          <w:sz w:val="24"/>
          <w:szCs w:val="24"/>
          <w:lang w:val="en-GB"/>
        </w:rPr>
        <w:br w:type="page"/>
      </w:r>
    </w:p>
    <w:sdt>
      <w:sdtPr>
        <w:rPr>
          <w:rFonts w:ascii="Arial" w:eastAsia="Arial" w:hAnsi="Arial" w:cs="Arial"/>
          <w:color w:val="auto"/>
          <w:sz w:val="22"/>
          <w:szCs w:val="22"/>
          <w:lang w:val="en-IN" w:eastAsia="en-IN"/>
        </w:rPr>
        <w:id w:val="1631973662"/>
        <w:docPartObj>
          <w:docPartGallery w:val="Table of Contents"/>
          <w:docPartUnique/>
        </w:docPartObj>
      </w:sdtPr>
      <w:sdtEndPr>
        <w:rPr>
          <w:rFonts w:ascii="Times New Roman" w:hAnsi="Times New Roman" w:cs="Times New Roman"/>
          <w:b/>
          <w:bCs/>
          <w:noProof/>
          <w:sz w:val="24"/>
          <w:szCs w:val="24"/>
        </w:rPr>
      </w:sdtEndPr>
      <w:sdtContent>
        <w:p w14:paraId="6397D5BF" w14:textId="74DF2BDF" w:rsidR="009C3A7A" w:rsidRPr="009C3A7A" w:rsidRDefault="009C3A7A" w:rsidP="009C3A7A">
          <w:pPr>
            <w:pStyle w:val="TOCHeading"/>
            <w:jc w:val="center"/>
            <w:rPr>
              <w:rFonts w:ascii="Times New Roman" w:hAnsi="Times New Roman" w:cs="Times New Roman"/>
              <w:b/>
              <w:color w:val="auto"/>
              <w:sz w:val="24"/>
              <w:szCs w:val="24"/>
            </w:rPr>
          </w:pPr>
          <w:r w:rsidRPr="009C3A7A">
            <w:rPr>
              <w:rFonts w:ascii="Times New Roman" w:hAnsi="Times New Roman" w:cs="Times New Roman"/>
              <w:b/>
              <w:color w:val="auto"/>
              <w:sz w:val="24"/>
              <w:szCs w:val="24"/>
            </w:rPr>
            <w:t>Table of Contents</w:t>
          </w:r>
        </w:p>
        <w:p w14:paraId="7B274630" w14:textId="77777777" w:rsidR="009C3A7A" w:rsidRPr="009C3A7A" w:rsidRDefault="009C3A7A" w:rsidP="009C3A7A">
          <w:pPr>
            <w:pStyle w:val="TOC1"/>
            <w:tabs>
              <w:tab w:val="right" w:leader="dot" w:pos="9019"/>
            </w:tabs>
            <w:spacing w:line="360" w:lineRule="auto"/>
            <w:jc w:val="both"/>
            <w:rPr>
              <w:rFonts w:ascii="Times New Roman" w:eastAsiaTheme="minorEastAsia" w:hAnsi="Times New Roman" w:cs="Times New Roman"/>
              <w:noProof/>
              <w:sz w:val="24"/>
              <w:szCs w:val="24"/>
            </w:rPr>
          </w:pPr>
          <w:r w:rsidRPr="009C3A7A">
            <w:rPr>
              <w:rFonts w:ascii="Times New Roman" w:hAnsi="Times New Roman" w:cs="Times New Roman"/>
              <w:sz w:val="24"/>
              <w:szCs w:val="24"/>
            </w:rPr>
            <w:fldChar w:fldCharType="begin"/>
          </w:r>
          <w:r w:rsidRPr="009C3A7A">
            <w:rPr>
              <w:rFonts w:ascii="Times New Roman" w:hAnsi="Times New Roman" w:cs="Times New Roman"/>
              <w:sz w:val="24"/>
              <w:szCs w:val="24"/>
            </w:rPr>
            <w:instrText xml:space="preserve"> TOC \o "1-3" \h \z \u </w:instrText>
          </w:r>
          <w:r w:rsidRPr="009C3A7A">
            <w:rPr>
              <w:rFonts w:ascii="Times New Roman" w:hAnsi="Times New Roman" w:cs="Times New Roman"/>
              <w:sz w:val="24"/>
              <w:szCs w:val="24"/>
            </w:rPr>
            <w:fldChar w:fldCharType="separate"/>
          </w:r>
          <w:hyperlink w:anchor="_Toc142918211" w:history="1">
            <w:r w:rsidRPr="009C3A7A">
              <w:rPr>
                <w:rStyle w:val="Hyperlink"/>
                <w:rFonts w:ascii="Times New Roman" w:hAnsi="Times New Roman" w:cs="Times New Roman"/>
                <w:noProof/>
                <w:sz w:val="24"/>
                <w:szCs w:val="24"/>
                <w:lang w:val="en-GB"/>
              </w:rPr>
              <w:t>1. Introduction</w:t>
            </w:r>
            <w:r w:rsidRPr="009C3A7A">
              <w:rPr>
                <w:rFonts w:ascii="Times New Roman" w:hAnsi="Times New Roman" w:cs="Times New Roman"/>
                <w:noProof/>
                <w:webHidden/>
                <w:sz w:val="24"/>
                <w:szCs w:val="24"/>
              </w:rPr>
              <w:tab/>
            </w:r>
            <w:r w:rsidRPr="009C3A7A">
              <w:rPr>
                <w:rFonts w:ascii="Times New Roman" w:hAnsi="Times New Roman" w:cs="Times New Roman"/>
                <w:noProof/>
                <w:webHidden/>
                <w:sz w:val="24"/>
                <w:szCs w:val="24"/>
              </w:rPr>
              <w:fldChar w:fldCharType="begin"/>
            </w:r>
            <w:r w:rsidRPr="009C3A7A">
              <w:rPr>
                <w:rFonts w:ascii="Times New Roman" w:hAnsi="Times New Roman" w:cs="Times New Roman"/>
                <w:noProof/>
                <w:webHidden/>
                <w:sz w:val="24"/>
                <w:szCs w:val="24"/>
              </w:rPr>
              <w:instrText xml:space="preserve"> PAGEREF _Toc142918211 \h </w:instrText>
            </w:r>
            <w:r w:rsidRPr="009C3A7A">
              <w:rPr>
                <w:rFonts w:ascii="Times New Roman" w:hAnsi="Times New Roman" w:cs="Times New Roman"/>
                <w:noProof/>
                <w:webHidden/>
                <w:sz w:val="24"/>
                <w:szCs w:val="24"/>
              </w:rPr>
            </w:r>
            <w:r w:rsidRPr="009C3A7A">
              <w:rPr>
                <w:rFonts w:ascii="Times New Roman" w:hAnsi="Times New Roman" w:cs="Times New Roman"/>
                <w:noProof/>
                <w:webHidden/>
                <w:sz w:val="24"/>
                <w:szCs w:val="24"/>
              </w:rPr>
              <w:fldChar w:fldCharType="separate"/>
            </w:r>
            <w:r w:rsidRPr="009C3A7A">
              <w:rPr>
                <w:rFonts w:ascii="Times New Roman" w:hAnsi="Times New Roman" w:cs="Times New Roman"/>
                <w:noProof/>
                <w:webHidden/>
                <w:sz w:val="24"/>
                <w:szCs w:val="24"/>
              </w:rPr>
              <w:t>3</w:t>
            </w:r>
            <w:r w:rsidRPr="009C3A7A">
              <w:rPr>
                <w:rFonts w:ascii="Times New Roman" w:hAnsi="Times New Roman" w:cs="Times New Roman"/>
                <w:noProof/>
                <w:webHidden/>
                <w:sz w:val="24"/>
                <w:szCs w:val="24"/>
              </w:rPr>
              <w:fldChar w:fldCharType="end"/>
            </w:r>
          </w:hyperlink>
        </w:p>
        <w:p w14:paraId="2CBC8F02" w14:textId="77777777" w:rsidR="009C3A7A" w:rsidRPr="009C3A7A" w:rsidRDefault="000C6456" w:rsidP="009C3A7A">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2918212" w:history="1">
            <w:r w:rsidR="009C3A7A" w:rsidRPr="009C3A7A">
              <w:rPr>
                <w:rStyle w:val="Hyperlink"/>
                <w:rFonts w:ascii="Times New Roman" w:hAnsi="Times New Roman" w:cs="Times New Roman"/>
                <w:noProof/>
                <w:sz w:val="24"/>
                <w:szCs w:val="24"/>
                <w:lang w:val="en-GB"/>
              </w:rPr>
              <w:t>2. Main Analysis</w:t>
            </w:r>
            <w:r w:rsidR="009C3A7A" w:rsidRPr="009C3A7A">
              <w:rPr>
                <w:rFonts w:ascii="Times New Roman" w:hAnsi="Times New Roman" w:cs="Times New Roman"/>
                <w:noProof/>
                <w:webHidden/>
                <w:sz w:val="24"/>
                <w:szCs w:val="24"/>
              </w:rPr>
              <w:tab/>
            </w:r>
            <w:r w:rsidR="009C3A7A" w:rsidRPr="009C3A7A">
              <w:rPr>
                <w:rFonts w:ascii="Times New Roman" w:hAnsi="Times New Roman" w:cs="Times New Roman"/>
                <w:noProof/>
                <w:webHidden/>
                <w:sz w:val="24"/>
                <w:szCs w:val="24"/>
              </w:rPr>
              <w:fldChar w:fldCharType="begin"/>
            </w:r>
            <w:r w:rsidR="009C3A7A" w:rsidRPr="009C3A7A">
              <w:rPr>
                <w:rFonts w:ascii="Times New Roman" w:hAnsi="Times New Roman" w:cs="Times New Roman"/>
                <w:noProof/>
                <w:webHidden/>
                <w:sz w:val="24"/>
                <w:szCs w:val="24"/>
              </w:rPr>
              <w:instrText xml:space="preserve"> PAGEREF _Toc142918212 \h </w:instrText>
            </w:r>
            <w:r w:rsidR="009C3A7A" w:rsidRPr="009C3A7A">
              <w:rPr>
                <w:rFonts w:ascii="Times New Roman" w:hAnsi="Times New Roman" w:cs="Times New Roman"/>
                <w:noProof/>
                <w:webHidden/>
                <w:sz w:val="24"/>
                <w:szCs w:val="24"/>
              </w:rPr>
            </w:r>
            <w:r w:rsidR="009C3A7A" w:rsidRPr="009C3A7A">
              <w:rPr>
                <w:rFonts w:ascii="Times New Roman" w:hAnsi="Times New Roman" w:cs="Times New Roman"/>
                <w:noProof/>
                <w:webHidden/>
                <w:sz w:val="24"/>
                <w:szCs w:val="24"/>
              </w:rPr>
              <w:fldChar w:fldCharType="separate"/>
            </w:r>
            <w:r w:rsidR="009C3A7A" w:rsidRPr="009C3A7A">
              <w:rPr>
                <w:rFonts w:ascii="Times New Roman" w:hAnsi="Times New Roman" w:cs="Times New Roman"/>
                <w:noProof/>
                <w:webHidden/>
                <w:sz w:val="24"/>
                <w:szCs w:val="24"/>
              </w:rPr>
              <w:t>3</w:t>
            </w:r>
            <w:r w:rsidR="009C3A7A" w:rsidRPr="009C3A7A">
              <w:rPr>
                <w:rFonts w:ascii="Times New Roman" w:hAnsi="Times New Roman" w:cs="Times New Roman"/>
                <w:noProof/>
                <w:webHidden/>
                <w:sz w:val="24"/>
                <w:szCs w:val="24"/>
              </w:rPr>
              <w:fldChar w:fldCharType="end"/>
            </w:r>
          </w:hyperlink>
        </w:p>
        <w:p w14:paraId="58C70509" w14:textId="77777777" w:rsidR="009C3A7A" w:rsidRPr="009C3A7A" w:rsidRDefault="000C6456" w:rsidP="009C3A7A">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2918213" w:history="1">
            <w:r w:rsidR="009C3A7A" w:rsidRPr="009C3A7A">
              <w:rPr>
                <w:rStyle w:val="Hyperlink"/>
                <w:rFonts w:ascii="Times New Roman" w:hAnsi="Times New Roman" w:cs="Times New Roman"/>
                <w:noProof/>
                <w:sz w:val="24"/>
                <w:szCs w:val="24"/>
                <w:lang w:val="en-GB"/>
              </w:rPr>
              <w:t>3. Conclusion and Recommendations</w:t>
            </w:r>
            <w:r w:rsidR="009C3A7A" w:rsidRPr="009C3A7A">
              <w:rPr>
                <w:rFonts w:ascii="Times New Roman" w:hAnsi="Times New Roman" w:cs="Times New Roman"/>
                <w:noProof/>
                <w:webHidden/>
                <w:sz w:val="24"/>
                <w:szCs w:val="24"/>
              </w:rPr>
              <w:tab/>
            </w:r>
            <w:r w:rsidR="009C3A7A" w:rsidRPr="009C3A7A">
              <w:rPr>
                <w:rFonts w:ascii="Times New Roman" w:hAnsi="Times New Roman" w:cs="Times New Roman"/>
                <w:noProof/>
                <w:webHidden/>
                <w:sz w:val="24"/>
                <w:szCs w:val="24"/>
              </w:rPr>
              <w:fldChar w:fldCharType="begin"/>
            </w:r>
            <w:r w:rsidR="009C3A7A" w:rsidRPr="009C3A7A">
              <w:rPr>
                <w:rFonts w:ascii="Times New Roman" w:hAnsi="Times New Roman" w:cs="Times New Roman"/>
                <w:noProof/>
                <w:webHidden/>
                <w:sz w:val="24"/>
                <w:szCs w:val="24"/>
              </w:rPr>
              <w:instrText xml:space="preserve"> PAGEREF _Toc142918213 \h </w:instrText>
            </w:r>
            <w:r w:rsidR="009C3A7A" w:rsidRPr="009C3A7A">
              <w:rPr>
                <w:rFonts w:ascii="Times New Roman" w:hAnsi="Times New Roman" w:cs="Times New Roman"/>
                <w:noProof/>
                <w:webHidden/>
                <w:sz w:val="24"/>
                <w:szCs w:val="24"/>
              </w:rPr>
            </w:r>
            <w:r w:rsidR="009C3A7A" w:rsidRPr="009C3A7A">
              <w:rPr>
                <w:rFonts w:ascii="Times New Roman" w:hAnsi="Times New Roman" w:cs="Times New Roman"/>
                <w:noProof/>
                <w:webHidden/>
                <w:sz w:val="24"/>
                <w:szCs w:val="24"/>
              </w:rPr>
              <w:fldChar w:fldCharType="separate"/>
            </w:r>
            <w:r w:rsidR="009C3A7A" w:rsidRPr="009C3A7A">
              <w:rPr>
                <w:rFonts w:ascii="Times New Roman" w:hAnsi="Times New Roman" w:cs="Times New Roman"/>
                <w:noProof/>
                <w:webHidden/>
                <w:sz w:val="24"/>
                <w:szCs w:val="24"/>
              </w:rPr>
              <w:t>6</w:t>
            </w:r>
            <w:r w:rsidR="009C3A7A" w:rsidRPr="009C3A7A">
              <w:rPr>
                <w:rFonts w:ascii="Times New Roman" w:hAnsi="Times New Roman" w:cs="Times New Roman"/>
                <w:noProof/>
                <w:webHidden/>
                <w:sz w:val="24"/>
                <w:szCs w:val="24"/>
              </w:rPr>
              <w:fldChar w:fldCharType="end"/>
            </w:r>
          </w:hyperlink>
        </w:p>
        <w:p w14:paraId="661904C8" w14:textId="77777777" w:rsidR="009C3A7A" w:rsidRPr="009C3A7A" w:rsidRDefault="000C6456" w:rsidP="009C3A7A">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2918214" w:history="1">
            <w:r w:rsidR="009C3A7A" w:rsidRPr="009C3A7A">
              <w:rPr>
                <w:rStyle w:val="Hyperlink"/>
                <w:rFonts w:ascii="Times New Roman" w:hAnsi="Times New Roman" w:cs="Times New Roman"/>
                <w:noProof/>
                <w:sz w:val="24"/>
                <w:szCs w:val="24"/>
                <w:lang w:val="en-GB"/>
              </w:rPr>
              <w:t>References</w:t>
            </w:r>
            <w:r w:rsidR="009C3A7A" w:rsidRPr="009C3A7A">
              <w:rPr>
                <w:rFonts w:ascii="Times New Roman" w:hAnsi="Times New Roman" w:cs="Times New Roman"/>
                <w:noProof/>
                <w:webHidden/>
                <w:sz w:val="24"/>
                <w:szCs w:val="24"/>
              </w:rPr>
              <w:tab/>
            </w:r>
            <w:r w:rsidR="009C3A7A" w:rsidRPr="009C3A7A">
              <w:rPr>
                <w:rFonts w:ascii="Times New Roman" w:hAnsi="Times New Roman" w:cs="Times New Roman"/>
                <w:noProof/>
                <w:webHidden/>
                <w:sz w:val="24"/>
                <w:szCs w:val="24"/>
              </w:rPr>
              <w:fldChar w:fldCharType="begin"/>
            </w:r>
            <w:r w:rsidR="009C3A7A" w:rsidRPr="009C3A7A">
              <w:rPr>
                <w:rFonts w:ascii="Times New Roman" w:hAnsi="Times New Roman" w:cs="Times New Roman"/>
                <w:noProof/>
                <w:webHidden/>
                <w:sz w:val="24"/>
                <w:szCs w:val="24"/>
              </w:rPr>
              <w:instrText xml:space="preserve"> PAGEREF _Toc142918214 \h </w:instrText>
            </w:r>
            <w:r w:rsidR="009C3A7A" w:rsidRPr="009C3A7A">
              <w:rPr>
                <w:rFonts w:ascii="Times New Roman" w:hAnsi="Times New Roman" w:cs="Times New Roman"/>
                <w:noProof/>
                <w:webHidden/>
                <w:sz w:val="24"/>
                <w:szCs w:val="24"/>
              </w:rPr>
            </w:r>
            <w:r w:rsidR="009C3A7A" w:rsidRPr="009C3A7A">
              <w:rPr>
                <w:rFonts w:ascii="Times New Roman" w:hAnsi="Times New Roman" w:cs="Times New Roman"/>
                <w:noProof/>
                <w:webHidden/>
                <w:sz w:val="24"/>
                <w:szCs w:val="24"/>
              </w:rPr>
              <w:fldChar w:fldCharType="separate"/>
            </w:r>
            <w:r w:rsidR="009C3A7A" w:rsidRPr="009C3A7A">
              <w:rPr>
                <w:rFonts w:ascii="Times New Roman" w:hAnsi="Times New Roman" w:cs="Times New Roman"/>
                <w:noProof/>
                <w:webHidden/>
                <w:sz w:val="24"/>
                <w:szCs w:val="24"/>
              </w:rPr>
              <w:t>8</w:t>
            </w:r>
            <w:r w:rsidR="009C3A7A" w:rsidRPr="009C3A7A">
              <w:rPr>
                <w:rFonts w:ascii="Times New Roman" w:hAnsi="Times New Roman" w:cs="Times New Roman"/>
                <w:noProof/>
                <w:webHidden/>
                <w:sz w:val="24"/>
                <w:szCs w:val="24"/>
              </w:rPr>
              <w:fldChar w:fldCharType="end"/>
            </w:r>
          </w:hyperlink>
        </w:p>
        <w:p w14:paraId="52EFE876" w14:textId="68D956AD" w:rsidR="009C3A7A" w:rsidRPr="009C3A7A" w:rsidRDefault="009C3A7A" w:rsidP="009C3A7A">
          <w:pPr>
            <w:spacing w:line="360" w:lineRule="auto"/>
            <w:jc w:val="both"/>
            <w:rPr>
              <w:rFonts w:ascii="Times New Roman" w:hAnsi="Times New Roman" w:cs="Times New Roman"/>
              <w:sz w:val="24"/>
              <w:szCs w:val="24"/>
            </w:rPr>
          </w:pPr>
          <w:r w:rsidRPr="009C3A7A">
            <w:rPr>
              <w:rFonts w:ascii="Times New Roman" w:hAnsi="Times New Roman" w:cs="Times New Roman"/>
              <w:b/>
              <w:bCs/>
              <w:noProof/>
              <w:sz w:val="24"/>
              <w:szCs w:val="24"/>
            </w:rPr>
            <w:fldChar w:fldCharType="end"/>
          </w:r>
        </w:p>
      </w:sdtContent>
    </w:sdt>
    <w:p w14:paraId="4E2D1C39" w14:textId="77777777" w:rsidR="009C3A7A" w:rsidRDefault="009C3A7A">
      <w:pPr>
        <w:rPr>
          <w:rFonts w:ascii="Times New Roman" w:hAnsi="Times New Roman"/>
          <w:b/>
          <w:sz w:val="24"/>
          <w:szCs w:val="40"/>
          <w:lang w:val="en-GB"/>
        </w:rPr>
      </w:pPr>
      <w:r>
        <w:rPr>
          <w:lang w:val="en-GB"/>
        </w:rPr>
        <w:br w:type="page"/>
      </w:r>
    </w:p>
    <w:p w14:paraId="00000003" w14:textId="06C1A6EA" w:rsidR="00C26BCA" w:rsidRPr="00C44332" w:rsidRDefault="00003159" w:rsidP="009C3A7A">
      <w:pPr>
        <w:pStyle w:val="Heading1"/>
        <w:rPr>
          <w:lang w:val="en-GB"/>
        </w:rPr>
      </w:pPr>
      <w:bookmarkStart w:id="0" w:name="_Toc142918185"/>
      <w:bookmarkStart w:id="1" w:name="_Toc142918211"/>
      <w:r w:rsidRPr="00C44332">
        <w:rPr>
          <w:lang w:val="en-GB"/>
        </w:rPr>
        <w:lastRenderedPageBreak/>
        <w:t>1. Introduction</w:t>
      </w:r>
      <w:bookmarkEnd w:id="0"/>
      <w:bookmarkEnd w:id="1"/>
      <w:r w:rsidR="00C44332">
        <w:rPr>
          <w:lang w:val="en-GB"/>
        </w:rPr>
        <w:t xml:space="preserve"> </w:t>
      </w:r>
    </w:p>
    <w:p w14:paraId="00000004" w14:textId="77777777" w:rsidR="00C26BCA" w:rsidRPr="00C44332" w:rsidRDefault="00003159">
      <w:pPr>
        <w:spacing w:line="360" w:lineRule="auto"/>
        <w:jc w:val="both"/>
        <w:rPr>
          <w:rFonts w:ascii="Times New Roman" w:eastAsia="Times New Roman" w:hAnsi="Times New Roman" w:cs="Times New Roman"/>
          <w:b/>
          <w:i/>
          <w:sz w:val="24"/>
          <w:szCs w:val="24"/>
          <w:lang w:val="en-GB"/>
        </w:rPr>
      </w:pPr>
      <w:r w:rsidRPr="00C44332">
        <w:rPr>
          <w:rFonts w:ascii="Times New Roman" w:eastAsia="Times New Roman" w:hAnsi="Times New Roman" w:cs="Times New Roman"/>
          <w:b/>
          <w:i/>
          <w:sz w:val="24"/>
          <w:szCs w:val="24"/>
          <w:lang w:val="en-GB"/>
        </w:rPr>
        <w:t>1.1 Background of the MNC</w:t>
      </w:r>
    </w:p>
    <w:p w14:paraId="00000005" w14:textId="77777777" w:rsidR="00C26BCA" w:rsidRPr="00C44332" w:rsidRDefault="00003159">
      <w:pPr>
        <w:spacing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sz w:val="24"/>
          <w:szCs w:val="24"/>
          <w:lang w:val="en-GB"/>
        </w:rPr>
        <w:t xml:space="preserve">As per the views of </w:t>
      </w:r>
      <w:r w:rsidRPr="00C44332">
        <w:rPr>
          <w:rFonts w:ascii="Times New Roman" w:eastAsia="Times New Roman" w:hAnsi="Times New Roman" w:cs="Times New Roman"/>
          <w:color w:val="222222"/>
          <w:sz w:val="24"/>
          <w:szCs w:val="24"/>
          <w:highlight w:val="white"/>
          <w:lang w:val="en-GB"/>
        </w:rPr>
        <w:t xml:space="preserve">Madura (2020), </w:t>
      </w:r>
      <w:r w:rsidRPr="00C44332">
        <w:rPr>
          <w:rFonts w:ascii="Times New Roman" w:eastAsia="Times New Roman" w:hAnsi="Times New Roman" w:cs="Times New Roman"/>
          <w:i/>
          <w:sz w:val="24"/>
          <w:szCs w:val="24"/>
          <w:lang w:val="en-GB"/>
        </w:rPr>
        <w:t xml:space="preserve">international finance management </w:t>
      </w:r>
      <w:r w:rsidRPr="00C44332">
        <w:rPr>
          <w:rFonts w:ascii="Times New Roman" w:eastAsia="Times New Roman" w:hAnsi="Times New Roman" w:cs="Times New Roman"/>
          <w:sz w:val="24"/>
          <w:szCs w:val="24"/>
          <w:lang w:val="en-GB"/>
        </w:rPr>
        <w:t xml:space="preserve">includes overseeing global financial operations like investing, financing and risk management. In this context, an MNC is chosen to discuss the dividend policies and the application of the theories in handling these policies to better the financial structure. A </w:t>
      </w:r>
      <w:r w:rsidRPr="00C44332">
        <w:rPr>
          <w:rFonts w:ascii="Times New Roman" w:eastAsia="Times New Roman" w:hAnsi="Times New Roman" w:cs="Times New Roman"/>
          <w:i/>
          <w:sz w:val="24"/>
          <w:szCs w:val="24"/>
          <w:lang w:val="en-GB"/>
        </w:rPr>
        <w:t xml:space="preserve">British chain of conglomerates British Telecom </w:t>
      </w:r>
      <w:r w:rsidRPr="00C44332">
        <w:rPr>
          <w:rFonts w:ascii="Times New Roman" w:eastAsia="Times New Roman" w:hAnsi="Times New Roman" w:cs="Times New Roman"/>
          <w:sz w:val="24"/>
          <w:szCs w:val="24"/>
          <w:lang w:val="en-GB"/>
        </w:rPr>
        <w:t xml:space="preserve">whose main office is in London and serves products such as </w:t>
      </w:r>
      <w:r w:rsidRPr="00C44332">
        <w:rPr>
          <w:rFonts w:ascii="Times New Roman" w:eastAsia="Times New Roman" w:hAnsi="Times New Roman" w:cs="Times New Roman"/>
          <w:i/>
          <w:sz w:val="24"/>
          <w:szCs w:val="24"/>
          <w:lang w:val="en-GB"/>
        </w:rPr>
        <w:t xml:space="preserve">Fixed Line Telephony, Broadband Internet </w:t>
      </w:r>
      <w:r w:rsidRPr="00C44332">
        <w:rPr>
          <w:rFonts w:ascii="Times New Roman" w:eastAsia="Times New Roman" w:hAnsi="Times New Roman" w:cs="Times New Roman"/>
          <w:sz w:val="24"/>
          <w:szCs w:val="24"/>
          <w:lang w:val="en-GB"/>
        </w:rPr>
        <w:t xml:space="preserve">and </w:t>
      </w:r>
      <w:r w:rsidRPr="00C44332">
        <w:rPr>
          <w:rFonts w:ascii="Times New Roman" w:eastAsia="Times New Roman" w:hAnsi="Times New Roman" w:cs="Times New Roman"/>
          <w:i/>
          <w:sz w:val="24"/>
          <w:szCs w:val="24"/>
          <w:lang w:val="en-GB"/>
        </w:rPr>
        <w:t xml:space="preserve">Fibre Optic Communication </w:t>
      </w:r>
      <w:r w:rsidRPr="00C44332">
        <w:rPr>
          <w:rFonts w:ascii="Times New Roman" w:eastAsia="Times New Roman" w:hAnsi="Times New Roman" w:cs="Times New Roman"/>
          <w:sz w:val="24"/>
          <w:szCs w:val="24"/>
          <w:lang w:val="en-GB"/>
        </w:rPr>
        <w:t xml:space="preserve">to the global audience. The provision of the services has assisted the telecommunication firm to achieve 20.7 billion pounds providing a boost to U.K economy by increasing 24 billion pounds (bt.com, 2023). The building of fresh networks for the customers has ensured the firm to declare a </w:t>
      </w:r>
      <w:r w:rsidRPr="00C44332">
        <w:rPr>
          <w:rFonts w:ascii="Times New Roman" w:eastAsia="Times New Roman" w:hAnsi="Times New Roman" w:cs="Times New Roman"/>
          <w:i/>
          <w:sz w:val="24"/>
          <w:szCs w:val="24"/>
          <w:lang w:val="en-GB"/>
        </w:rPr>
        <w:t xml:space="preserve">dividend of 5.39 pence per share </w:t>
      </w:r>
      <w:r w:rsidRPr="00C44332">
        <w:rPr>
          <w:rFonts w:ascii="Times New Roman" w:eastAsia="Times New Roman" w:hAnsi="Times New Roman" w:cs="Times New Roman"/>
          <w:sz w:val="24"/>
          <w:szCs w:val="24"/>
          <w:lang w:val="en-GB"/>
        </w:rPr>
        <w:t xml:space="preserve">bringing the complete year dividend of 7.7 pence per share (bt.com, 2023).    </w:t>
      </w:r>
      <w:r w:rsidRPr="00C44332">
        <w:rPr>
          <w:rFonts w:ascii="Times New Roman" w:eastAsia="Times New Roman" w:hAnsi="Times New Roman" w:cs="Times New Roman"/>
          <w:i/>
          <w:sz w:val="24"/>
          <w:szCs w:val="24"/>
          <w:lang w:val="en-GB"/>
        </w:rPr>
        <w:t xml:space="preserve"> </w:t>
      </w:r>
      <w:r w:rsidRPr="00C44332">
        <w:rPr>
          <w:rFonts w:ascii="Times New Roman" w:eastAsia="Times New Roman" w:hAnsi="Times New Roman" w:cs="Times New Roman"/>
          <w:sz w:val="24"/>
          <w:szCs w:val="24"/>
          <w:lang w:val="en-GB"/>
        </w:rPr>
        <w:t xml:space="preserve">   </w:t>
      </w:r>
    </w:p>
    <w:p w14:paraId="00000006" w14:textId="77777777" w:rsidR="00C26BCA" w:rsidRPr="00C44332" w:rsidRDefault="00003159">
      <w:pPr>
        <w:spacing w:line="360" w:lineRule="auto"/>
        <w:jc w:val="both"/>
        <w:rPr>
          <w:rFonts w:ascii="Times New Roman" w:eastAsia="Times New Roman" w:hAnsi="Times New Roman" w:cs="Times New Roman"/>
          <w:b/>
          <w:i/>
          <w:sz w:val="24"/>
          <w:szCs w:val="24"/>
          <w:lang w:val="en-GB"/>
        </w:rPr>
      </w:pPr>
      <w:r w:rsidRPr="00C44332">
        <w:rPr>
          <w:rFonts w:ascii="Times New Roman" w:eastAsia="Times New Roman" w:hAnsi="Times New Roman" w:cs="Times New Roman"/>
          <w:b/>
          <w:i/>
          <w:sz w:val="24"/>
          <w:szCs w:val="24"/>
          <w:lang w:val="en-GB"/>
        </w:rPr>
        <w:t xml:space="preserve">1.2 Importance of International Financial Management in the chosen organisation </w:t>
      </w:r>
    </w:p>
    <w:p w14:paraId="00000007" w14:textId="77777777" w:rsidR="00C26BCA" w:rsidRPr="00C44332" w:rsidRDefault="00003159">
      <w:pPr>
        <w:spacing w:line="360" w:lineRule="auto"/>
        <w:jc w:val="both"/>
        <w:rPr>
          <w:rFonts w:ascii="Times New Roman" w:eastAsia="Times New Roman" w:hAnsi="Times New Roman" w:cs="Times New Roman"/>
          <w:i/>
          <w:sz w:val="24"/>
          <w:szCs w:val="24"/>
          <w:lang w:val="en-GB"/>
        </w:rPr>
      </w:pPr>
      <w:r w:rsidRPr="00C44332">
        <w:rPr>
          <w:rFonts w:ascii="Times New Roman" w:eastAsia="Times New Roman" w:hAnsi="Times New Roman" w:cs="Times New Roman"/>
          <w:sz w:val="24"/>
          <w:szCs w:val="24"/>
          <w:lang w:val="en-GB"/>
        </w:rPr>
        <w:t xml:space="preserve">As stated by </w:t>
      </w:r>
      <w:r w:rsidRPr="00C44332">
        <w:rPr>
          <w:rFonts w:ascii="Times New Roman" w:eastAsia="Times New Roman" w:hAnsi="Times New Roman" w:cs="Times New Roman"/>
          <w:color w:val="222222"/>
          <w:sz w:val="24"/>
          <w:szCs w:val="24"/>
          <w:highlight w:val="white"/>
          <w:lang w:val="en-GB"/>
        </w:rPr>
        <w:t xml:space="preserve">Robinson, (2020), </w:t>
      </w:r>
      <w:r w:rsidRPr="00C44332">
        <w:rPr>
          <w:rFonts w:ascii="Times New Roman" w:eastAsia="Times New Roman" w:hAnsi="Times New Roman" w:cs="Times New Roman"/>
          <w:sz w:val="24"/>
          <w:szCs w:val="24"/>
          <w:lang w:val="en-GB"/>
        </w:rPr>
        <w:t xml:space="preserve">the importance of </w:t>
      </w:r>
      <w:r w:rsidRPr="00C44332">
        <w:rPr>
          <w:rFonts w:ascii="Times New Roman" w:eastAsia="Times New Roman" w:hAnsi="Times New Roman" w:cs="Times New Roman"/>
          <w:i/>
          <w:sz w:val="24"/>
          <w:szCs w:val="24"/>
          <w:lang w:val="en-GB"/>
        </w:rPr>
        <w:t xml:space="preserve">International Financial Management </w:t>
      </w:r>
      <w:r w:rsidRPr="00C44332">
        <w:rPr>
          <w:rFonts w:ascii="Times New Roman" w:eastAsia="Times New Roman" w:hAnsi="Times New Roman" w:cs="Times New Roman"/>
          <w:sz w:val="24"/>
          <w:szCs w:val="24"/>
          <w:lang w:val="en-GB"/>
        </w:rPr>
        <w:t xml:space="preserve">lies in investigating the </w:t>
      </w:r>
      <w:r w:rsidRPr="00C44332">
        <w:rPr>
          <w:rFonts w:ascii="Times New Roman" w:eastAsia="Times New Roman" w:hAnsi="Times New Roman" w:cs="Times New Roman"/>
          <w:i/>
          <w:sz w:val="24"/>
          <w:szCs w:val="24"/>
          <w:lang w:val="en-GB"/>
        </w:rPr>
        <w:t>exchange rate, comparing rates of inflation and getting an overall idea of investing in global debt securities.</w:t>
      </w:r>
      <w:r w:rsidRPr="00C44332">
        <w:rPr>
          <w:rFonts w:ascii="Times New Roman" w:eastAsia="Times New Roman" w:hAnsi="Times New Roman" w:cs="Times New Roman"/>
          <w:sz w:val="24"/>
          <w:szCs w:val="24"/>
          <w:lang w:val="en-GB"/>
        </w:rPr>
        <w:t xml:space="preserve"> For instance, BT Group Plc utilises </w:t>
      </w:r>
      <w:r w:rsidRPr="00C44332">
        <w:rPr>
          <w:rFonts w:ascii="Times New Roman" w:eastAsia="Times New Roman" w:hAnsi="Times New Roman" w:cs="Times New Roman"/>
          <w:i/>
          <w:sz w:val="24"/>
          <w:szCs w:val="24"/>
          <w:lang w:val="en-GB"/>
        </w:rPr>
        <w:t xml:space="preserve">third parties </w:t>
      </w:r>
      <w:r w:rsidRPr="00C44332">
        <w:rPr>
          <w:rFonts w:ascii="Times New Roman" w:eastAsia="Times New Roman" w:hAnsi="Times New Roman" w:cs="Times New Roman"/>
          <w:sz w:val="24"/>
          <w:szCs w:val="24"/>
          <w:lang w:val="en-GB"/>
        </w:rPr>
        <w:t xml:space="preserve">to highlight the exchange rate which is recorded to be 3 million pounds in 2023 a 1% decrease from 2022 which is estimated to be 4 million pounds because of depreciation in terms of currency (bt.com, 2023). It provides a range of options in global trade to </w:t>
      </w:r>
      <w:r w:rsidRPr="00C44332">
        <w:rPr>
          <w:rFonts w:ascii="Times New Roman" w:eastAsia="Times New Roman" w:hAnsi="Times New Roman" w:cs="Times New Roman"/>
          <w:i/>
          <w:sz w:val="24"/>
          <w:szCs w:val="24"/>
          <w:lang w:val="en-GB"/>
        </w:rPr>
        <w:t xml:space="preserve">manage capital for the business </w:t>
      </w:r>
      <w:r w:rsidRPr="00C44332">
        <w:rPr>
          <w:rFonts w:ascii="Times New Roman" w:eastAsia="Times New Roman" w:hAnsi="Times New Roman" w:cs="Times New Roman"/>
          <w:sz w:val="24"/>
          <w:szCs w:val="24"/>
          <w:lang w:val="en-GB"/>
        </w:rPr>
        <w:t>(</w:t>
      </w:r>
      <w:r w:rsidRPr="00C44332">
        <w:rPr>
          <w:rFonts w:ascii="Times New Roman" w:eastAsia="Times New Roman" w:hAnsi="Times New Roman" w:cs="Times New Roman"/>
          <w:color w:val="222222"/>
          <w:sz w:val="24"/>
          <w:szCs w:val="24"/>
          <w:highlight w:val="white"/>
          <w:lang w:val="en-GB"/>
        </w:rPr>
        <w:t xml:space="preserve">Shapiro and </w:t>
      </w:r>
      <w:proofErr w:type="spellStart"/>
      <w:r w:rsidRPr="00C44332">
        <w:rPr>
          <w:rFonts w:ascii="Times New Roman" w:eastAsia="Times New Roman" w:hAnsi="Times New Roman" w:cs="Times New Roman"/>
          <w:color w:val="222222"/>
          <w:sz w:val="24"/>
          <w:szCs w:val="24"/>
          <w:highlight w:val="white"/>
          <w:lang w:val="en-GB"/>
        </w:rPr>
        <w:t>Hanouna</w:t>
      </w:r>
      <w:proofErr w:type="spellEnd"/>
      <w:r w:rsidRPr="00C44332">
        <w:rPr>
          <w:rFonts w:ascii="Times New Roman" w:eastAsia="Times New Roman" w:hAnsi="Times New Roman" w:cs="Times New Roman"/>
          <w:color w:val="222222"/>
          <w:sz w:val="24"/>
          <w:szCs w:val="24"/>
          <w:highlight w:val="white"/>
          <w:lang w:val="en-GB"/>
        </w:rPr>
        <w:t xml:space="preserve">, 2019). </w:t>
      </w:r>
      <w:r w:rsidRPr="00C44332">
        <w:rPr>
          <w:rFonts w:ascii="Times New Roman" w:eastAsia="Times New Roman" w:hAnsi="Times New Roman" w:cs="Times New Roman"/>
          <w:sz w:val="24"/>
          <w:szCs w:val="24"/>
          <w:lang w:val="en-GB"/>
        </w:rPr>
        <w:t xml:space="preserve"> Apparently, BT gets the chances of doing international trade in countries like </w:t>
      </w:r>
      <w:r w:rsidRPr="00C44332">
        <w:rPr>
          <w:rFonts w:ascii="Times New Roman" w:eastAsia="Times New Roman" w:hAnsi="Times New Roman" w:cs="Times New Roman"/>
          <w:i/>
          <w:sz w:val="24"/>
          <w:szCs w:val="24"/>
          <w:lang w:val="en-GB"/>
        </w:rPr>
        <w:t xml:space="preserve">Mexico, Switzerland, Morocco, Netherlands </w:t>
      </w:r>
      <w:r w:rsidRPr="00C44332">
        <w:rPr>
          <w:rFonts w:ascii="Times New Roman" w:eastAsia="Times New Roman" w:hAnsi="Times New Roman" w:cs="Times New Roman"/>
          <w:sz w:val="24"/>
          <w:szCs w:val="24"/>
          <w:lang w:val="en-GB"/>
        </w:rPr>
        <w:t xml:space="preserve">and many other countries helping them to manage the capital expenditure of </w:t>
      </w:r>
      <w:r w:rsidRPr="00C44332">
        <w:rPr>
          <w:rFonts w:ascii="Times New Roman" w:eastAsia="Times New Roman" w:hAnsi="Times New Roman" w:cs="Times New Roman"/>
          <w:i/>
          <w:sz w:val="24"/>
          <w:szCs w:val="24"/>
          <w:lang w:val="en-GB"/>
        </w:rPr>
        <w:t xml:space="preserve">5.1 billion pounds as per the annual report 2023 </w:t>
      </w:r>
      <w:r w:rsidRPr="00C44332">
        <w:rPr>
          <w:rFonts w:ascii="Times New Roman" w:eastAsia="Times New Roman" w:hAnsi="Times New Roman" w:cs="Times New Roman"/>
          <w:sz w:val="24"/>
          <w:szCs w:val="24"/>
          <w:lang w:val="en-GB"/>
        </w:rPr>
        <w:t>(bt.com, 2023).</w:t>
      </w:r>
      <w:r w:rsidRPr="00C44332">
        <w:rPr>
          <w:rFonts w:ascii="Times New Roman" w:eastAsia="Times New Roman" w:hAnsi="Times New Roman" w:cs="Times New Roman"/>
          <w:i/>
          <w:sz w:val="24"/>
          <w:szCs w:val="24"/>
          <w:lang w:val="en-GB"/>
        </w:rPr>
        <w:t xml:space="preserve"> </w:t>
      </w:r>
    </w:p>
    <w:p w14:paraId="00000008" w14:textId="77777777" w:rsidR="00C26BCA" w:rsidRPr="00C44332" w:rsidRDefault="00003159" w:rsidP="009C3A7A">
      <w:pPr>
        <w:pStyle w:val="Heading1"/>
        <w:rPr>
          <w:lang w:val="en-GB"/>
        </w:rPr>
      </w:pPr>
      <w:bookmarkStart w:id="2" w:name="_Toc142918186"/>
      <w:bookmarkStart w:id="3" w:name="_Toc142918212"/>
      <w:r w:rsidRPr="00C44332">
        <w:rPr>
          <w:lang w:val="en-GB"/>
        </w:rPr>
        <w:t>2. Main Analysis</w:t>
      </w:r>
      <w:bookmarkEnd w:id="2"/>
      <w:bookmarkEnd w:id="3"/>
    </w:p>
    <w:p w14:paraId="00000009" w14:textId="77777777" w:rsidR="00C26BCA" w:rsidRPr="00C44332" w:rsidRDefault="00003159">
      <w:pPr>
        <w:spacing w:line="360" w:lineRule="auto"/>
        <w:jc w:val="both"/>
        <w:rPr>
          <w:rFonts w:ascii="Times New Roman" w:eastAsia="Times New Roman" w:hAnsi="Times New Roman" w:cs="Times New Roman"/>
          <w:b/>
          <w:sz w:val="24"/>
          <w:szCs w:val="24"/>
          <w:lang w:val="en-GB"/>
        </w:rPr>
      </w:pPr>
      <w:r w:rsidRPr="00C44332">
        <w:rPr>
          <w:rFonts w:ascii="Times New Roman" w:eastAsia="Times New Roman" w:hAnsi="Times New Roman" w:cs="Times New Roman"/>
          <w:b/>
          <w:sz w:val="24"/>
          <w:szCs w:val="24"/>
          <w:lang w:val="en-GB"/>
        </w:rPr>
        <w:t>2.1 Critically analyse and evaluate your chosen multinational corporation’s dividend distribution policy</w:t>
      </w:r>
    </w:p>
    <w:p w14:paraId="0000000A" w14:textId="77777777" w:rsidR="00C26BCA" w:rsidRPr="00C44332" w:rsidRDefault="00003159">
      <w:pPr>
        <w:spacing w:line="360" w:lineRule="auto"/>
        <w:jc w:val="both"/>
        <w:rPr>
          <w:rFonts w:ascii="Times New Roman" w:eastAsia="Times New Roman" w:hAnsi="Times New Roman" w:cs="Times New Roman"/>
          <w:b/>
          <w:i/>
          <w:sz w:val="24"/>
          <w:szCs w:val="24"/>
          <w:lang w:val="en-GB"/>
        </w:rPr>
      </w:pPr>
      <w:r w:rsidRPr="00C44332">
        <w:rPr>
          <w:rFonts w:ascii="Times New Roman" w:eastAsia="Times New Roman" w:hAnsi="Times New Roman" w:cs="Times New Roman"/>
          <w:b/>
          <w:i/>
          <w:sz w:val="24"/>
          <w:szCs w:val="24"/>
          <w:lang w:val="en-GB"/>
        </w:rPr>
        <w:t>2.1.1 Dividend Distribution policies based on the application of models</w:t>
      </w:r>
    </w:p>
    <w:p w14:paraId="0000000B" w14:textId="7A1E4BAB" w:rsidR="00C26BCA" w:rsidRPr="00C44332" w:rsidRDefault="00003159">
      <w:pPr>
        <w:spacing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sz w:val="24"/>
          <w:szCs w:val="24"/>
          <w:lang w:val="en-GB"/>
        </w:rPr>
        <w:t xml:space="preserve">As depicted by </w:t>
      </w:r>
      <w:proofErr w:type="spellStart"/>
      <w:r w:rsidRPr="00C44332">
        <w:rPr>
          <w:rFonts w:ascii="Times New Roman" w:eastAsia="Times New Roman" w:hAnsi="Times New Roman" w:cs="Times New Roman"/>
          <w:color w:val="222222"/>
          <w:sz w:val="24"/>
          <w:szCs w:val="24"/>
          <w:highlight w:val="white"/>
          <w:lang w:val="en-GB"/>
        </w:rPr>
        <w:t>Krylov</w:t>
      </w:r>
      <w:proofErr w:type="spellEnd"/>
      <w:r w:rsidRPr="00C44332">
        <w:rPr>
          <w:rFonts w:ascii="Times New Roman" w:eastAsia="Times New Roman" w:hAnsi="Times New Roman" w:cs="Times New Roman"/>
          <w:color w:val="222222"/>
          <w:sz w:val="24"/>
          <w:szCs w:val="24"/>
          <w:highlight w:val="white"/>
          <w:lang w:val="en-GB"/>
        </w:rPr>
        <w:t>, (2020,</w:t>
      </w:r>
      <w:r w:rsidR="00C44332">
        <w:rPr>
          <w:rFonts w:ascii="Times New Roman" w:eastAsia="Times New Roman" w:hAnsi="Times New Roman" w:cs="Times New Roman"/>
          <w:color w:val="222222"/>
          <w:sz w:val="24"/>
          <w:szCs w:val="24"/>
          <w:highlight w:val="white"/>
          <w:lang w:val="en-GB"/>
        </w:rPr>
        <w:t xml:space="preserve"> </w:t>
      </w:r>
      <w:r w:rsidRPr="00C44332">
        <w:rPr>
          <w:rFonts w:ascii="Times New Roman" w:eastAsia="Times New Roman" w:hAnsi="Times New Roman" w:cs="Times New Roman"/>
          <w:color w:val="222222"/>
          <w:sz w:val="24"/>
          <w:szCs w:val="24"/>
          <w:highlight w:val="white"/>
          <w:lang w:val="en-GB"/>
        </w:rPr>
        <w:t xml:space="preserve">p.24), </w:t>
      </w:r>
      <w:r w:rsidRPr="00C44332">
        <w:rPr>
          <w:rFonts w:ascii="Times New Roman" w:eastAsia="Times New Roman" w:hAnsi="Times New Roman" w:cs="Times New Roman"/>
          <w:i/>
          <w:sz w:val="24"/>
          <w:szCs w:val="24"/>
          <w:lang w:val="en-GB"/>
        </w:rPr>
        <w:t xml:space="preserve">Walter’s Model </w:t>
      </w:r>
      <w:r w:rsidRPr="00C44332">
        <w:rPr>
          <w:rFonts w:ascii="Times New Roman" w:eastAsia="Times New Roman" w:hAnsi="Times New Roman" w:cs="Times New Roman"/>
          <w:sz w:val="24"/>
          <w:szCs w:val="24"/>
          <w:lang w:val="en-GB"/>
        </w:rPr>
        <w:t xml:space="preserve">elucidates the connection between the internal rate return and returns on investment with the cost of capital. It provides insights into the way dividends affect the overall return of the institution. BT Group implements the respective model by making a policy for the shareholder to deliver a return on investment through a fixed dividend rate of 30% (bt.com, 2023). Additionally, the buybacks of shares of </w:t>
      </w:r>
      <w:r w:rsidRPr="00C44332">
        <w:rPr>
          <w:rFonts w:ascii="Times New Roman" w:eastAsia="Times New Roman" w:hAnsi="Times New Roman" w:cs="Times New Roman"/>
          <w:sz w:val="24"/>
          <w:szCs w:val="24"/>
          <w:lang w:val="en-GB"/>
        </w:rPr>
        <w:lastRenderedPageBreak/>
        <w:t xml:space="preserve">dividends are estimated to be 940 million pounds in 2023 a 115% increase from the previous year 2022 affecting the internal return rate by 68.2% which is higher because of the expansion in the net cash flow which is identified to be 6.7 billion dollars a 14% increase in 2023 (bt.com, 2023). </w:t>
      </w:r>
    </w:p>
    <w:p w14:paraId="0000000C" w14:textId="77777777" w:rsidR="00C26BCA" w:rsidRPr="00C44332" w:rsidRDefault="00003159">
      <w:pPr>
        <w:spacing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i/>
          <w:sz w:val="24"/>
          <w:szCs w:val="24"/>
          <w:lang w:val="en-GB"/>
        </w:rPr>
        <w:t xml:space="preserve">Gordon’s Model of Dividend </w:t>
      </w:r>
      <w:r w:rsidRPr="00C44332">
        <w:rPr>
          <w:rFonts w:ascii="Times New Roman" w:eastAsia="Times New Roman" w:hAnsi="Times New Roman" w:cs="Times New Roman"/>
          <w:sz w:val="24"/>
          <w:szCs w:val="24"/>
          <w:lang w:val="en-GB"/>
        </w:rPr>
        <w:t xml:space="preserve">states the relationship between the valuation of a stock and the returns expected generated from the same. As depicted by </w:t>
      </w:r>
      <w:proofErr w:type="spellStart"/>
      <w:r w:rsidRPr="00C44332">
        <w:rPr>
          <w:rFonts w:ascii="Times New Roman" w:eastAsia="Times New Roman" w:hAnsi="Times New Roman" w:cs="Times New Roman"/>
          <w:color w:val="222222"/>
          <w:sz w:val="24"/>
          <w:szCs w:val="24"/>
          <w:highlight w:val="white"/>
          <w:lang w:val="en-GB"/>
        </w:rPr>
        <w:t>Barbier</w:t>
      </w:r>
      <w:proofErr w:type="spellEnd"/>
      <w:r w:rsidRPr="00C44332">
        <w:rPr>
          <w:rFonts w:ascii="Times New Roman" w:eastAsia="Times New Roman" w:hAnsi="Times New Roman" w:cs="Times New Roman"/>
          <w:color w:val="222222"/>
          <w:sz w:val="24"/>
          <w:szCs w:val="24"/>
          <w:highlight w:val="white"/>
          <w:lang w:val="en-GB"/>
        </w:rPr>
        <w:t xml:space="preserve">, (2023, p.587), </w:t>
      </w:r>
      <w:r w:rsidRPr="00C44332">
        <w:rPr>
          <w:rFonts w:ascii="Times New Roman" w:eastAsia="Times New Roman" w:hAnsi="Times New Roman" w:cs="Times New Roman"/>
          <w:sz w:val="24"/>
          <w:szCs w:val="24"/>
          <w:lang w:val="en-GB"/>
        </w:rPr>
        <w:t xml:space="preserve">it exhibits the way various variables such as valuation, dividend growth rate and the discount rate are closely related. The implication of the model by the telecommunication company relies on identifying the valuation of stock which is recorded to be 9882.19 million as per the annual report 2023, which resulted in higher returns which is estimated to be 68.2% growing the dividend rate by 115% and discount rate by 9.4% (bt.com, 2023). The reason for increasing the dividend rate is the performance of the company is high and they have earned a profit of 1.7 billion pounds (bt.com, 2023).  </w:t>
      </w:r>
    </w:p>
    <w:p w14:paraId="0000000D" w14:textId="77777777" w:rsidR="00C26BCA" w:rsidRPr="00C44332" w:rsidRDefault="00003159">
      <w:pPr>
        <w:spacing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i/>
          <w:sz w:val="24"/>
          <w:szCs w:val="24"/>
          <w:lang w:val="en-GB"/>
        </w:rPr>
        <w:t xml:space="preserve">MM </w:t>
      </w:r>
      <w:r w:rsidRPr="00C44332">
        <w:rPr>
          <w:rFonts w:ascii="Times New Roman" w:eastAsia="Times New Roman" w:hAnsi="Times New Roman" w:cs="Times New Roman"/>
          <w:sz w:val="24"/>
          <w:szCs w:val="24"/>
          <w:lang w:val="en-GB"/>
        </w:rPr>
        <w:t xml:space="preserve">is a modern finance concept which discusses the nil connection between the structure of capital and the valuation of the company. It involves that there is no effect of dividend patterns on the share value of the company. British Telecom applies this concept by following a progressive dividend policy where the shareholders retain a good impression towards the company and the valuation of shares is outstanding which is identified to be 41.00 million in the annual year 2023 (bt.com, 2023).        </w:t>
      </w:r>
    </w:p>
    <w:p w14:paraId="0000000E" w14:textId="77777777" w:rsidR="00C26BCA" w:rsidRPr="00C44332" w:rsidRDefault="00003159">
      <w:pPr>
        <w:spacing w:line="360" w:lineRule="auto"/>
        <w:jc w:val="both"/>
        <w:rPr>
          <w:rFonts w:ascii="Times New Roman" w:eastAsia="Times New Roman" w:hAnsi="Times New Roman" w:cs="Times New Roman"/>
          <w:b/>
          <w:i/>
          <w:sz w:val="24"/>
          <w:szCs w:val="24"/>
          <w:lang w:val="en-GB"/>
        </w:rPr>
      </w:pPr>
      <w:r w:rsidRPr="00C44332">
        <w:rPr>
          <w:rFonts w:ascii="Times New Roman" w:eastAsia="Times New Roman" w:hAnsi="Times New Roman" w:cs="Times New Roman"/>
          <w:b/>
          <w:i/>
          <w:sz w:val="24"/>
          <w:szCs w:val="24"/>
          <w:lang w:val="en-GB"/>
        </w:rPr>
        <w:t>2.1.2 Dividend Distribution Policy of BT Group</w:t>
      </w:r>
    </w:p>
    <w:p w14:paraId="0000000F" w14:textId="54A286E8" w:rsidR="00C26BCA" w:rsidRPr="00C44332" w:rsidRDefault="00003159">
      <w:pPr>
        <w:spacing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sz w:val="24"/>
          <w:szCs w:val="24"/>
          <w:lang w:val="en-GB"/>
        </w:rPr>
        <w:t xml:space="preserve">As asserted by </w:t>
      </w:r>
      <w:r w:rsidRPr="00C44332">
        <w:rPr>
          <w:rFonts w:ascii="Times New Roman" w:eastAsia="Times New Roman" w:hAnsi="Times New Roman" w:cs="Times New Roman"/>
          <w:color w:val="222222"/>
          <w:sz w:val="24"/>
          <w:szCs w:val="24"/>
          <w:highlight w:val="white"/>
          <w:lang w:val="en-GB"/>
        </w:rPr>
        <w:t xml:space="preserve">KANAKRIYAH, (2020, p.532), </w:t>
      </w:r>
      <w:r w:rsidRPr="00C44332">
        <w:rPr>
          <w:rFonts w:ascii="Times New Roman" w:eastAsia="Times New Roman" w:hAnsi="Times New Roman" w:cs="Times New Roman"/>
          <w:i/>
          <w:sz w:val="24"/>
          <w:szCs w:val="24"/>
          <w:lang w:val="en-GB"/>
        </w:rPr>
        <w:t xml:space="preserve">dividend distribution policies </w:t>
      </w:r>
      <w:r w:rsidRPr="00C44332">
        <w:rPr>
          <w:rFonts w:ascii="Times New Roman" w:eastAsia="Times New Roman" w:hAnsi="Times New Roman" w:cs="Times New Roman"/>
          <w:sz w:val="24"/>
          <w:szCs w:val="24"/>
          <w:lang w:val="en-GB"/>
        </w:rPr>
        <w:t>are illustrated as the policy a firm utilises to structure its pay</w:t>
      </w:r>
      <w:r w:rsidR="00C44332">
        <w:rPr>
          <w:rFonts w:ascii="Times New Roman" w:eastAsia="Times New Roman" w:hAnsi="Times New Roman" w:cs="Times New Roman"/>
          <w:sz w:val="24"/>
          <w:szCs w:val="24"/>
          <w:lang w:val="en-GB"/>
        </w:rPr>
        <w:t xml:space="preserve"> </w:t>
      </w:r>
      <w:r w:rsidRPr="00C44332">
        <w:rPr>
          <w:rFonts w:ascii="Times New Roman" w:eastAsia="Times New Roman" w:hAnsi="Times New Roman" w:cs="Times New Roman"/>
          <w:sz w:val="24"/>
          <w:szCs w:val="24"/>
          <w:lang w:val="en-GB"/>
        </w:rPr>
        <w:t xml:space="preserve">out of dividends. It highlights the way a firm distributes its dividends to the shareholders and BT's Group's dividends are generally paid twice annually in November and March with the fixed interim dividend of 30% as per the annual report 2023. The company follows a </w:t>
      </w:r>
      <w:r w:rsidRPr="00C44332">
        <w:rPr>
          <w:rFonts w:ascii="Times New Roman" w:eastAsia="Times New Roman" w:hAnsi="Times New Roman" w:cs="Times New Roman"/>
          <w:i/>
          <w:sz w:val="24"/>
          <w:szCs w:val="24"/>
          <w:lang w:val="en-GB"/>
        </w:rPr>
        <w:t xml:space="preserve">Progressive Dividend Policy </w:t>
      </w:r>
      <w:r w:rsidRPr="00C44332">
        <w:rPr>
          <w:rFonts w:ascii="Times New Roman" w:eastAsia="Times New Roman" w:hAnsi="Times New Roman" w:cs="Times New Roman"/>
          <w:sz w:val="24"/>
          <w:szCs w:val="24"/>
          <w:lang w:val="en-GB"/>
        </w:rPr>
        <w:t xml:space="preserve">which is explained as one where the dividend is expected to increase at least in line with expansion of earnings per share. It is evident that net financial debt was 13.5 billion pounds in 2023 in comparison to 12.2 billion pounds in the year 2022 and the growth in the present year is because of the </w:t>
      </w:r>
      <w:r w:rsidRPr="00C44332">
        <w:rPr>
          <w:rFonts w:ascii="Times New Roman" w:eastAsia="Times New Roman" w:hAnsi="Times New Roman" w:cs="Times New Roman"/>
          <w:i/>
          <w:sz w:val="24"/>
          <w:szCs w:val="24"/>
          <w:lang w:val="en-GB"/>
        </w:rPr>
        <w:t xml:space="preserve">dividend payments </w:t>
      </w:r>
      <w:r w:rsidRPr="00C44332">
        <w:rPr>
          <w:rFonts w:ascii="Times New Roman" w:eastAsia="Times New Roman" w:hAnsi="Times New Roman" w:cs="Times New Roman"/>
          <w:sz w:val="24"/>
          <w:szCs w:val="24"/>
          <w:lang w:val="en-GB"/>
        </w:rPr>
        <w:t>(bt.com, 2023).</w:t>
      </w:r>
      <w:r w:rsidRPr="00C44332">
        <w:rPr>
          <w:rFonts w:ascii="Times New Roman" w:eastAsia="Times New Roman" w:hAnsi="Times New Roman" w:cs="Times New Roman"/>
          <w:i/>
          <w:sz w:val="24"/>
          <w:szCs w:val="24"/>
          <w:lang w:val="en-GB"/>
        </w:rPr>
        <w:t xml:space="preserve"> </w:t>
      </w:r>
      <w:r w:rsidRPr="00C44332">
        <w:rPr>
          <w:rFonts w:ascii="Times New Roman" w:eastAsia="Times New Roman" w:hAnsi="Times New Roman" w:cs="Times New Roman"/>
          <w:sz w:val="24"/>
          <w:szCs w:val="24"/>
          <w:lang w:val="en-GB"/>
        </w:rPr>
        <w:t xml:space="preserve">In contradiction to 2022, in spite of the uncertainty in the business the Group performed a commendable performance in terms of dividend which was estimated to be 22.7%. The reason is BT has a commendable number of investors such as </w:t>
      </w:r>
      <w:r w:rsidRPr="00C44332">
        <w:rPr>
          <w:rFonts w:ascii="Times New Roman" w:eastAsia="Times New Roman" w:hAnsi="Times New Roman" w:cs="Times New Roman"/>
          <w:i/>
          <w:sz w:val="24"/>
          <w:szCs w:val="24"/>
          <w:lang w:val="en-GB"/>
        </w:rPr>
        <w:t xml:space="preserve">BNP Paribas, Vanguard Group, Schroder Investment </w:t>
      </w:r>
      <w:r w:rsidRPr="00C44332">
        <w:rPr>
          <w:rFonts w:ascii="Times New Roman" w:eastAsia="Times New Roman" w:hAnsi="Times New Roman" w:cs="Times New Roman"/>
          <w:sz w:val="24"/>
          <w:szCs w:val="24"/>
          <w:lang w:val="en-GB"/>
        </w:rPr>
        <w:t xml:space="preserve">and </w:t>
      </w:r>
      <w:r w:rsidRPr="00C44332">
        <w:rPr>
          <w:rFonts w:ascii="Times New Roman" w:eastAsia="Times New Roman" w:hAnsi="Times New Roman" w:cs="Times New Roman"/>
          <w:i/>
          <w:sz w:val="24"/>
          <w:szCs w:val="24"/>
          <w:lang w:val="en-GB"/>
        </w:rPr>
        <w:t xml:space="preserve">Vanguard Group </w:t>
      </w:r>
      <w:r w:rsidRPr="00C44332">
        <w:rPr>
          <w:rFonts w:ascii="Times New Roman" w:eastAsia="Times New Roman" w:hAnsi="Times New Roman" w:cs="Times New Roman"/>
          <w:sz w:val="24"/>
          <w:szCs w:val="24"/>
          <w:lang w:val="en-GB"/>
        </w:rPr>
        <w:t xml:space="preserve">with 10.83%, 2.43%, 1.82% and 1.79% shares (bt.com, 2023). This type of dividend policy is responsible for </w:t>
      </w:r>
      <w:r w:rsidRPr="00C44332">
        <w:rPr>
          <w:rFonts w:ascii="Times New Roman" w:eastAsia="Times New Roman" w:hAnsi="Times New Roman" w:cs="Times New Roman"/>
          <w:sz w:val="24"/>
          <w:szCs w:val="24"/>
          <w:lang w:val="en-GB"/>
        </w:rPr>
        <w:lastRenderedPageBreak/>
        <w:t xml:space="preserve">communicating the financial strength and value of the firm, creating goodwill among the shareholders and driving the demand for stocks. </w:t>
      </w:r>
    </w:p>
    <w:p w14:paraId="00000010" w14:textId="17773E6D" w:rsidR="00C26BCA" w:rsidRPr="00C44332" w:rsidRDefault="00003159">
      <w:pPr>
        <w:spacing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sz w:val="24"/>
          <w:szCs w:val="24"/>
          <w:lang w:val="en-GB"/>
        </w:rPr>
        <w:t xml:space="preserve">The </w:t>
      </w:r>
      <w:r w:rsidRPr="00C44332">
        <w:rPr>
          <w:rFonts w:ascii="Times New Roman" w:eastAsia="Times New Roman" w:hAnsi="Times New Roman" w:cs="Times New Roman"/>
          <w:i/>
          <w:sz w:val="24"/>
          <w:szCs w:val="24"/>
          <w:lang w:val="en-GB"/>
        </w:rPr>
        <w:t xml:space="preserve">dividend </w:t>
      </w:r>
      <w:r w:rsidRPr="00C44332">
        <w:rPr>
          <w:rFonts w:ascii="Times New Roman" w:eastAsia="Times New Roman" w:hAnsi="Times New Roman" w:cs="Times New Roman"/>
          <w:sz w:val="24"/>
          <w:szCs w:val="24"/>
          <w:lang w:val="en-GB"/>
        </w:rPr>
        <w:t>was recorded to be lower in 2022 than in 2023, because the liquidity ratio was less, only 0.87, therefore the company had to lower the dividend payments. Therefore the shareholders were not happy and invested less in the telecommunication firm, lowering the stock level in 2022 which is recorded to be 176p as compared to the improvement in the level of stock in 2023 which is indicated to be 240 p a 42.92% (bt.com, 2023). Therefore it is clear that in terms of stock 2023 is a more booming year than the existing year and the reason is the up</w:t>
      </w:r>
      <w:r w:rsidR="00C44332">
        <w:rPr>
          <w:rFonts w:ascii="Times New Roman" w:eastAsia="Times New Roman" w:hAnsi="Times New Roman" w:cs="Times New Roman"/>
          <w:sz w:val="24"/>
          <w:szCs w:val="24"/>
          <w:lang w:val="en-GB"/>
        </w:rPr>
        <w:t xml:space="preserve"> </w:t>
      </w:r>
      <w:r w:rsidRPr="00C44332">
        <w:rPr>
          <w:rFonts w:ascii="Times New Roman" w:eastAsia="Times New Roman" w:hAnsi="Times New Roman" w:cs="Times New Roman"/>
          <w:sz w:val="24"/>
          <w:szCs w:val="24"/>
          <w:lang w:val="en-GB"/>
        </w:rPr>
        <w:t xml:space="preserve">gradation in dividends. The </w:t>
      </w:r>
      <w:r w:rsidRPr="00C44332">
        <w:rPr>
          <w:rFonts w:ascii="Times New Roman" w:eastAsia="Times New Roman" w:hAnsi="Times New Roman" w:cs="Times New Roman"/>
          <w:i/>
          <w:sz w:val="24"/>
          <w:szCs w:val="24"/>
          <w:lang w:val="en-GB"/>
        </w:rPr>
        <w:t xml:space="preserve">Progressive Dividend Model </w:t>
      </w:r>
      <w:r w:rsidRPr="00C44332">
        <w:rPr>
          <w:rFonts w:ascii="Times New Roman" w:eastAsia="Times New Roman" w:hAnsi="Times New Roman" w:cs="Times New Roman"/>
          <w:sz w:val="24"/>
          <w:szCs w:val="24"/>
          <w:lang w:val="en-GB"/>
        </w:rPr>
        <w:t xml:space="preserve">is accountable for taking decisions on cash flow management. For instance, the company reinvested the dividend of 45,402 to manage a cash flow of 6.7 billion pounds as addressed in the year 2023 (bt.com, 2023). </w:t>
      </w:r>
      <w:r w:rsidRPr="00C44332">
        <w:rPr>
          <w:rFonts w:ascii="Times New Roman" w:eastAsia="Times New Roman" w:hAnsi="Times New Roman" w:cs="Times New Roman"/>
          <w:i/>
          <w:sz w:val="24"/>
          <w:szCs w:val="24"/>
          <w:lang w:val="en-GB"/>
        </w:rPr>
        <w:t xml:space="preserve"> </w:t>
      </w:r>
      <w:r w:rsidRPr="00C44332">
        <w:rPr>
          <w:rFonts w:ascii="Times New Roman" w:eastAsia="Times New Roman" w:hAnsi="Times New Roman" w:cs="Times New Roman"/>
          <w:sz w:val="24"/>
          <w:szCs w:val="24"/>
          <w:lang w:val="en-GB"/>
        </w:rPr>
        <w:t xml:space="preserve">       </w:t>
      </w:r>
    </w:p>
    <w:p w14:paraId="00000011" w14:textId="77777777" w:rsidR="00C26BCA" w:rsidRPr="00C44332" w:rsidRDefault="00003159">
      <w:pPr>
        <w:spacing w:line="360" w:lineRule="auto"/>
        <w:jc w:val="both"/>
        <w:rPr>
          <w:rFonts w:ascii="Times New Roman" w:eastAsia="Times New Roman" w:hAnsi="Times New Roman" w:cs="Times New Roman"/>
          <w:b/>
          <w:sz w:val="24"/>
          <w:szCs w:val="24"/>
          <w:lang w:val="en-GB"/>
        </w:rPr>
      </w:pPr>
      <w:r w:rsidRPr="00C44332">
        <w:rPr>
          <w:rFonts w:ascii="Times New Roman" w:eastAsia="Times New Roman" w:hAnsi="Times New Roman" w:cs="Times New Roman"/>
          <w:b/>
          <w:sz w:val="24"/>
          <w:szCs w:val="24"/>
          <w:lang w:val="en-GB"/>
        </w:rPr>
        <w:t>2.2 Critically analyse the efficient market hypothesis theory in the context of your chosen multinational corporation’s operations</w:t>
      </w:r>
    </w:p>
    <w:p w14:paraId="00000012" w14:textId="77777777" w:rsidR="00C26BCA" w:rsidRDefault="00003159">
      <w:pPr>
        <w:spacing w:line="360" w:lineRule="auto"/>
        <w:jc w:val="both"/>
        <w:rPr>
          <w:rFonts w:ascii="Times New Roman" w:eastAsia="Times New Roman" w:hAnsi="Times New Roman" w:cs="Times New Roman"/>
          <w:b/>
          <w:i/>
          <w:sz w:val="24"/>
          <w:szCs w:val="24"/>
          <w:lang w:val="en-GB"/>
        </w:rPr>
      </w:pPr>
      <w:r w:rsidRPr="00C44332">
        <w:rPr>
          <w:rFonts w:ascii="Times New Roman" w:eastAsia="Times New Roman" w:hAnsi="Times New Roman" w:cs="Times New Roman"/>
          <w:b/>
          <w:i/>
          <w:sz w:val="24"/>
          <w:szCs w:val="24"/>
          <w:lang w:val="en-GB"/>
        </w:rPr>
        <w:t>2.2.1 Efficient Market Hypotheses</w:t>
      </w:r>
    </w:p>
    <w:p w14:paraId="15E18C54" w14:textId="449CC8FD" w:rsidR="008C7D3D" w:rsidRDefault="008C7D3D" w:rsidP="008C7D3D">
      <w:pPr>
        <w:spacing w:line="360" w:lineRule="auto"/>
        <w:jc w:val="center"/>
        <w:rPr>
          <w:rFonts w:ascii="Times New Roman" w:eastAsia="Times New Roman" w:hAnsi="Times New Roman" w:cs="Times New Roman"/>
          <w:b/>
          <w:sz w:val="24"/>
          <w:szCs w:val="24"/>
          <w:lang w:val="en-GB"/>
        </w:rPr>
      </w:pPr>
      <w:r>
        <w:rPr>
          <w:noProof/>
        </w:rPr>
        <w:drawing>
          <wp:inline distT="0" distB="0" distL="0" distR="0" wp14:anchorId="4DD775DD" wp14:editId="5DD184F6">
            <wp:extent cx="4791075" cy="2114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91075" cy="2114550"/>
                    </a:xfrm>
                    <a:prstGeom prst="rect">
                      <a:avLst/>
                    </a:prstGeom>
                  </pic:spPr>
                </pic:pic>
              </a:graphicData>
            </a:graphic>
          </wp:inline>
        </w:drawing>
      </w:r>
    </w:p>
    <w:p w14:paraId="49E6BDDD" w14:textId="50C366F5" w:rsidR="008C7D3D" w:rsidRPr="00BE71E2" w:rsidRDefault="008C7D3D" w:rsidP="008C7D3D">
      <w:pPr>
        <w:spacing w:line="360" w:lineRule="auto"/>
        <w:jc w:val="center"/>
        <w:rPr>
          <w:rFonts w:ascii="Times New Roman" w:eastAsia="Times New Roman" w:hAnsi="Times New Roman" w:cs="Times New Roman"/>
          <w:b/>
          <w:color w:val="FF0000"/>
          <w:sz w:val="24"/>
          <w:szCs w:val="24"/>
          <w:lang w:val="en-GB"/>
        </w:rPr>
      </w:pPr>
      <w:r w:rsidRPr="00BE71E2">
        <w:rPr>
          <w:rFonts w:ascii="Times New Roman" w:eastAsia="Times New Roman" w:hAnsi="Times New Roman" w:cs="Times New Roman"/>
          <w:b/>
          <w:color w:val="FF0000"/>
          <w:sz w:val="24"/>
          <w:szCs w:val="24"/>
          <w:lang w:val="en-GB"/>
        </w:rPr>
        <w:t xml:space="preserve">Figure 1: Efficient Market Hypothesis </w:t>
      </w:r>
    </w:p>
    <w:p w14:paraId="397B7850" w14:textId="5100DA93" w:rsidR="008C7D3D" w:rsidRPr="00BE71E2" w:rsidRDefault="00BE71E2" w:rsidP="008C7D3D">
      <w:pPr>
        <w:spacing w:line="360" w:lineRule="auto"/>
        <w:jc w:val="center"/>
        <w:rPr>
          <w:rFonts w:ascii="Times New Roman" w:eastAsia="Times New Roman" w:hAnsi="Times New Roman" w:cs="Times New Roman"/>
          <w:color w:val="FF0000"/>
          <w:sz w:val="24"/>
          <w:szCs w:val="24"/>
          <w:lang w:val="en-GB"/>
        </w:rPr>
      </w:pPr>
      <w:r>
        <w:rPr>
          <w:rFonts w:ascii="Times New Roman" w:eastAsia="Times New Roman" w:hAnsi="Times New Roman" w:cs="Times New Roman"/>
          <w:color w:val="FF0000"/>
          <w:sz w:val="24"/>
          <w:szCs w:val="24"/>
          <w:lang w:val="en-GB"/>
        </w:rPr>
        <w:t>(</w:t>
      </w:r>
      <w:r w:rsidR="008C7D3D" w:rsidRPr="00BE71E2">
        <w:rPr>
          <w:rFonts w:ascii="Times New Roman" w:eastAsia="Times New Roman" w:hAnsi="Times New Roman" w:cs="Times New Roman"/>
          <w:color w:val="FF0000"/>
          <w:sz w:val="24"/>
          <w:szCs w:val="24"/>
          <w:lang w:val="en-GB"/>
        </w:rPr>
        <w:t xml:space="preserve">Source: </w:t>
      </w:r>
      <w:r w:rsidRPr="00BE71E2">
        <w:rPr>
          <w:rFonts w:ascii="Times New Roman" w:hAnsi="Times New Roman" w:cs="Times New Roman"/>
          <w:color w:val="FF0000"/>
          <w:sz w:val="24"/>
          <w:szCs w:val="24"/>
        </w:rPr>
        <w:t>wallstreetmojo.com</w:t>
      </w:r>
      <w:r w:rsidRPr="00BE71E2">
        <w:rPr>
          <w:rFonts w:ascii="Times New Roman" w:hAnsi="Times New Roman" w:cs="Times New Roman"/>
          <w:i/>
          <w:iCs/>
          <w:color w:val="FF0000"/>
          <w:sz w:val="24"/>
          <w:szCs w:val="24"/>
        </w:rPr>
        <w:t xml:space="preserve">, </w:t>
      </w:r>
      <w:r w:rsidRPr="00BE71E2">
        <w:rPr>
          <w:rFonts w:ascii="Times New Roman" w:hAnsi="Times New Roman" w:cs="Times New Roman"/>
          <w:iCs/>
          <w:color w:val="FF0000"/>
          <w:sz w:val="24"/>
          <w:szCs w:val="24"/>
        </w:rPr>
        <w:t>2022</w:t>
      </w:r>
      <w:r>
        <w:rPr>
          <w:rFonts w:ascii="Times New Roman" w:hAnsi="Times New Roman" w:cs="Times New Roman"/>
          <w:iCs/>
          <w:color w:val="FF0000"/>
          <w:sz w:val="24"/>
          <w:szCs w:val="24"/>
        </w:rPr>
        <w:t>)</w:t>
      </w:r>
    </w:p>
    <w:p w14:paraId="00000013" w14:textId="07907EB1" w:rsidR="00C26BCA" w:rsidRPr="00AC418A" w:rsidRDefault="00003159">
      <w:pPr>
        <w:spacing w:line="360" w:lineRule="auto"/>
        <w:jc w:val="both"/>
        <w:rPr>
          <w:rFonts w:ascii="Times New Roman" w:eastAsia="Times New Roman" w:hAnsi="Times New Roman" w:cs="Times New Roman"/>
          <w:i/>
          <w:color w:val="000000" w:themeColor="text1"/>
          <w:sz w:val="24"/>
          <w:szCs w:val="24"/>
          <w:lang w:val="en-GB"/>
        </w:rPr>
      </w:pPr>
      <w:r w:rsidRPr="00C44332">
        <w:rPr>
          <w:rFonts w:ascii="Times New Roman" w:eastAsia="Times New Roman" w:hAnsi="Times New Roman" w:cs="Times New Roman"/>
          <w:sz w:val="24"/>
          <w:szCs w:val="24"/>
          <w:lang w:val="en-GB"/>
        </w:rPr>
        <w:t xml:space="preserve">As proposed by </w:t>
      </w:r>
      <w:proofErr w:type="spellStart"/>
      <w:r w:rsidRPr="00C44332">
        <w:rPr>
          <w:rFonts w:ascii="Times New Roman" w:eastAsia="Times New Roman" w:hAnsi="Times New Roman" w:cs="Times New Roman"/>
          <w:color w:val="222222"/>
          <w:sz w:val="24"/>
          <w:szCs w:val="24"/>
          <w:highlight w:val="white"/>
          <w:lang w:val="en-GB"/>
        </w:rPr>
        <w:t>Mandacı</w:t>
      </w:r>
      <w:proofErr w:type="spellEnd"/>
      <w:r w:rsidRPr="00C44332">
        <w:rPr>
          <w:rFonts w:ascii="Times New Roman" w:eastAsia="Times New Roman" w:hAnsi="Times New Roman" w:cs="Times New Roman"/>
          <w:color w:val="222222"/>
          <w:sz w:val="24"/>
          <w:szCs w:val="24"/>
          <w:highlight w:val="white"/>
          <w:lang w:val="en-GB"/>
        </w:rPr>
        <w:t xml:space="preserve">, </w:t>
      </w:r>
      <w:r w:rsidRPr="00C44332">
        <w:rPr>
          <w:rFonts w:ascii="Times New Roman" w:eastAsia="Times New Roman" w:hAnsi="Times New Roman" w:cs="Times New Roman"/>
          <w:i/>
          <w:color w:val="222222"/>
          <w:sz w:val="24"/>
          <w:szCs w:val="24"/>
          <w:highlight w:val="white"/>
          <w:lang w:val="en-GB"/>
        </w:rPr>
        <w:t>et al</w:t>
      </w:r>
      <w:r w:rsidRPr="00C44332">
        <w:rPr>
          <w:rFonts w:ascii="Times New Roman" w:eastAsia="Times New Roman" w:hAnsi="Times New Roman" w:cs="Times New Roman"/>
          <w:color w:val="222222"/>
          <w:sz w:val="24"/>
          <w:szCs w:val="24"/>
          <w:highlight w:val="white"/>
          <w:lang w:val="en-GB"/>
        </w:rPr>
        <w:t xml:space="preserve">., (2019, p.85), </w:t>
      </w:r>
      <w:r w:rsidRPr="00C44332">
        <w:rPr>
          <w:rFonts w:ascii="Times New Roman" w:eastAsia="Times New Roman" w:hAnsi="Times New Roman" w:cs="Times New Roman"/>
          <w:sz w:val="24"/>
          <w:szCs w:val="24"/>
          <w:lang w:val="en-GB"/>
        </w:rPr>
        <w:t xml:space="preserve">the </w:t>
      </w:r>
      <w:r w:rsidRPr="00C44332">
        <w:rPr>
          <w:rFonts w:ascii="Times New Roman" w:eastAsia="Times New Roman" w:hAnsi="Times New Roman" w:cs="Times New Roman"/>
          <w:i/>
          <w:sz w:val="24"/>
          <w:szCs w:val="24"/>
          <w:lang w:val="en-GB"/>
        </w:rPr>
        <w:t xml:space="preserve">Efficient Market Hypothesis </w:t>
      </w:r>
      <w:r w:rsidRPr="00C44332">
        <w:rPr>
          <w:rFonts w:ascii="Times New Roman" w:eastAsia="Times New Roman" w:hAnsi="Times New Roman" w:cs="Times New Roman"/>
          <w:sz w:val="24"/>
          <w:szCs w:val="24"/>
          <w:lang w:val="en-GB"/>
        </w:rPr>
        <w:t xml:space="preserve">describes when fresh information comes into the market it is immediately reflected in the price of stock and therefore neither technical nor fundamental analysis can generate excess returns. It involves a higher rate of return resulting in lower chances of risk in investment and vice versa, which implies a lower rate of return leading to higher opportunities for investment. </w:t>
      </w:r>
      <w:r w:rsidRPr="00C44332">
        <w:rPr>
          <w:rFonts w:ascii="Times New Roman" w:eastAsia="Times New Roman" w:hAnsi="Times New Roman" w:cs="Times New Roman"/>
          <w:i/>
          <w:sz w:val="24"/>
          <w:szCs w:val="24"/>
          <w:lang w:val="en-GB"/>
        </w:rPr>
        <w:t>The Efficient Market Hypothesis</w:t>
      </w:r>
      <w:r w:rsidRPr="00C44332">
        <w:rPr>
          <w:rFonts w:ascii="Times New Roman" w:eastAsia="Times New Roman" w:hAnsi="Times New Roman" w:cs="Times New Roman"/>
          <w:sz w:val="24"/>
          <w:szCs w:val="24"/>
          <w:lang w:val="en-GB"/>
        </w:rPr>
        <w:t xml:space="preserve"> exists in weak, semi-strong and strong forms. The return rate of British Telecom is 68.2% in the year 2023, therefore the risk of investment for the shareholders in the market is lower urging </w:t>
      </w:r>
      <w:r w:rsidRPr="00C44332">
        <w:rPr>
          <w:rFonts w:ascii="Times New Roman" w:eastAsia="Times New Roman" w:hAnsi="Times New Roman" w:cs="Times New Roman"/>
          <w:i/>
          <w:sz w:val="24"/>
          <w:szCs w:val="24"/>
          <w:lang w:val="en-GB"/>
        </w:rPr>
        <w:t xml:space="preserve">T Mobile Holdings </w:t>
      </w:r>
      <w:r w:rsidRPr="00C44332">
        <w:rPr>
          <w:rFonts w:ascii="Times New Roman" w:eastAsia="Times New Roman" w:hAnsi="Times New Roman" w:cs="Times New Roman"/>
          <w:sz w:val="24"/>
          <w:szCs w:val="24"/>
          <w:lang w:val="en-GB"/>
        </w:rPr>
        <w:t>to safely invest 24.52% of shares adding to the growth and innovation of the company (bt.com, 2023).</w:t>
      </w:r>
      <w:r w:rsidR="008C7D3D">
        <w:rPr>
          <w:rFonts w:ascii="Times New Roman" w:eastAsia="Times New Roman" w:hAnsi="Times New Roman" w:cs="Times New Roman"/>
          <w:color w:val="FF0000"/>
          <w:sz w:val="24"/>
          <w:szCs w:val="24"/>
          <w:lang w:val="en-GB"/>
        </w:rPr>
        <w:t xml:space="preserve"> </w:t>
      </w:r>
      <w:r w:rsidR="008C7D3D" w:rsidRPr="00AC418A">
        <w:rPr>
          <w:rFonts w:ascii="Times New Roman" w:eastAsia="Times New Roman" w:hAnsi="Times New Roman" w:cs="Times New Roman"/>
          <w:color w:val="000000" w:themeColor="text1"/>
          <w:sz w:val="24"/>
          <w:szCs w:val="24"/>
          <w:lang w:val="en-GB"/>
        </w:rPr>
        <w:t xml:space="preserve">It is clear from the concept of Efficient </w:t>
      </w:r>
      <w:r w:rsidR="008C7D3D" w:rsidRPr="00AC418A">
        <w:rPr>
          <w:rFonts w:ascii="Times New Roman" w:eastAsia="Times New Roman" w:hAnsi="Times New Roman" w:cs="Times New Roman"/>
          <w:color w:val="000000" w:themeColor="text1"/>
          <w:sz w:val="24"/>
          <w:szCs w:val="24"/>
          <w:lang w:val="en-GB"/>
        </w:rPr>
        <w:lastRenderedPageBreak/>
        <w:t xml:space="preserve">Market Analysis that British Telecom is in strong form and the application of the concept plays a crucial role in providing the crucial information which helps them to decide the authentic worth of the television services it provides. It also assists British Telecom to obtain a larger amount of capital. </w:t>
      </w:r>
      <w:r w:rsidRPr="00AC418A">
        <w:rPr>
          <w:rFonts w:ascii="Times New Roman" w:eastAsia="Times New Roman" w:hAnsi="Times New Roman" w:cs="Times New Roman"/>
          <w:color w:val="000000" w:themeColor="text1"/>
          <w:sz w:val="24"/>
          <w:szCs w:val="24"/>
          <w:lang w:val="en-GB"/>
        </w:rPr>
        <w:t xml:space="preserve"> </w:t>
      </w:r>
      <w:r w:rsidRPr="00AC418A">
        <w:rPr>
          <w:rFonts w:ascii="Times New Roman" w:eastAsia="Times New Roman" w:hAnsi="Times New Roman" w:cs="Times New Roman"/>
          <w:i/>
          <w:color w:val="000000" w:themeColor="text1"/>
          <w:sz w:val="24"/>
          <w:szCs w:val="24"/>
          <w:lang w:val="en-GB"/>
        </w:rPr>
        <w:t xml:space="preserve"> </w:t>
      </w:r>
    </w:p>
    <w:p w14:paraId="00000014" w14:textId="100ABB57" w:rsidR="00C26BCA" w:rsidRDefault="00003159">
      <w:pPr>
        <w:spacing w:line="360" w:lineRule="auto"/>
        <w:jc w:val="both"/>
        <w:rPr>
          <w:rFonts w:ascii="Times New Roman" w:eastAsia="Times New Roman" w:hAnsi="Times New Roman" w:cs="Times New Roman"/>
          <w:b/>
          <w:i/>
          <w:sz w:val="24"/>
          <w:szCs w:val="24"/>
          <w:lang w:val="en-GB"/>
        </w:rPr>
      </w:pPr>
      <w:r w:rsidRPr="00C44332">
        <w:rPr>
          <w:rFonts w:ascii="Times New Roman" w:eastAsia="Times New Roman" w:hAnsi="Times New Roman" w:cs="Times New Roman"/>
          <w:b/>
          <w:i/>
          <w:sz w:val="24"/>
          <w:szCs w:val="24"/>
          <w:lang w:val="en-GB"/>
        </w:rPr>
        <w:t xml:space="preserve">2.2.2 Application of </w:t>
      </w:r>
      <w:proofErr w:type="spellStart"/>
      <w:r w:rsidR="009C3A7A">
        <w:rPr>
          <w:rFonts w:ascii="Times New Roman" w:eastAsia="Times New Roman" w:hAnsi="Times New Roman" w:cs="Times New Roman"/>
          <w:b/>
          <w:i/>
          <w:sz w:val="24"/>
          <w:szCs w:val="24"/>
          <w:lang w:val="en-GB"/>
        </w:rPr>
        <w:t>Fama’s</w:t>
      </w:r>
      <w:proofErr w:type="spellEnd"/>
      <w:r w:rsidRPr="00C44332">
        <w:rPr>
          <w:rFonts w:ascii="Times New Roman" w:eastAsia="Times New Roman" w:hAnsi="Times New Roman" w:cs="Times New Roman"/>
          <w:b/>
          <w:i/>
          <w:sz w:val="24"/>
          <w:szCs w:val="24"/>
          <w:lang w:val="en-GB"/>
        </w:rPr>
        <w:t xml:space="preserve"> Model</w:t>
      </w:r>
    </w:p>
    <w:p w14:paraId="48B86BAF" w14:textId="1DEF7F6F" w:rsidR="008C7D3D" w:rsidRDefault="008C7D3D" w:rsidP="008C7D3D">
      <w:pPr>
        <w:spacing w:line="360" w:lineRule="auto"/>
        <w:jc w:val="center"/>
        <w:rPr>
          <w:rFonts w:ascii="Times New Roman" w:eastAsia="Times New Roman" w:hAnsi="Times New Roman" w:cs="Times New Roman"/>
          <w:b/>
          <w:sz w:val="24"/>
          <w:szCs w:val="24"/>
          <w:lang w:val="en-GB"/>
        </w:rPr>
      </w:pPr>
      <w:r>
        <w:rPr>
          <w:noProof/>
        </w:rPr>
        <w:drawing>
          <wp:inline distT="0" distB="0" distL="0" distR="0" wp14:anchorId="07F87CA0" wp14:editId="24F450E2">
            <wp:extent cx="5733415" cy="908050"/>
            <wp:effectExtent l="0" t="0" r="63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908050"/>
                    </a:xfrm>
                    <a:prstGeom prst="rect">
                      <a:avLst/>
                    </a:prstGeom>
                  </pic:spPr>
                </pic:pic>
              </a:graphicData>
            </a:graphic>
          </wp:inline>
        </w:drawing>
      </w:r>
    </w:p>
    <w:p w14:paraId="4BCFAB2B" w14:textId="7EF992C4" w:rsidR="008C7D3D" w:rsidRPr="00BE71E2" w:rsidRDefault="008C7D3D" w:rsidP="008C7D3D">
      <w:pPr>
        <w:spacing w:line="360" w:lineRule="auto"/>
        <w:jc w:val="center"/>
        <w:rPr>
          <w:rFonts w:ascii="Times New Roman" w:eastAsia="Times New Roman" w:hAnsi="Times New Roman" w:cs="Times New Roman"/>
          <w:b/>
          <w:color w:val="FF0000"/>
          <w:sz w:val="24"/>
          <w:szCs w:val="24"/>
          <w:lang w:val="en-GB"/>
        </w:rPr>
      </w:pPr>
      <w:r w:rsidRPr="00BE71E2">
        <w:rPr>
          <w:rFonts w:ascii="Times New Roman" w:eastAsia="Times New Roman" w:hAnsi="Times New Roman" w:cs="Times New Roman"/>
          <w:b/>
          <w:color w:val="FF0000"/>
          <w:sz w:val="24"/>
          <w:szCs w:val="24"/>
          <w:lang w:val="en-GB"/>
        </w:rPr>
        <w:t xml:space="preserve">Figure 2: Fama’s Model </w:t>
      </w:r>
    </w:p>
    <w:p w14:paraId="60037057" w14:textId="75675C27" w:rsidR="008C7D3D" w:rsidRPr="00BE71E2" w:rsidRDefault="00BE71E2" w:rsidP="008C7D3D">
      <w:pPr>
        <w:spacing w:line="360" w:lineRule="auto"/>
        <w:jc w:val="center"/>
        <w:rPr>
          <w:rFonts w:ascii="Times New Roman" w:eastAsia="Times New Roman" w:hAnsi="Times New Roman" w:cs="Times New Roman"/>
          <w:color w:val="FF0000"/>
          <w:sz w:val="24"/>
          <w:szCs w:val="24"/>
          <w:lang w:val="en-GB"/>
        </w:rPr>
      </w:pPr>
      <w:r>
        <w:rPr>
          <w:rFonts w:ascii="Times New Roman" w:eastAsia="Times New Roman" w:hAnsi="Times New Roman" w:cs="Times New Roman"/>
          <w:color w:val="FF0000"/>
          <w:sz w:val="24"/>
          <w:szCs w:val="24"/>
          <w:lang w:val="en-GB"/>
        </w:rPr>
        <w:t>(</w:t>
      </w:r>
      <w:r w:rsidR="008C7D3D" w:rsidRPr="00BE71E2">
        <w:rPr>
          <w:rFonts w:ascii="Times New Roman" w:eastAsia="Times New Roman" w:hAnsi="Times New Roman" w:cs="Times New Roman"/>
          <w:color w:val="FF0000"/>
          <w:sz w:val="24"/>
          <w:szCs w:val="24"/>
          <w:lang w:val="en-GB"/>
        </w:rPr>
        <w:t xml:space="preserve">Source: </w:t>
      </w:r>
      <w:r w:rsidRPr="00BE71E2">
        <w:rPr>
          <w:rFonts w:ascii="Times New Roman" w:hAnsi="Times New Roman" w:cs="Times New Roman"/>
          <w:color w:val="FF0000"/>
          <w:sz w:val="24"/>
          <w:szCs w:val="24"/>
        </w:rPr>
        <w:t>wallstreetmojo.com</w:t>
      </w:r>
      <w:r w:rsidRPr="00BE71E2">
        <w:rPr>
          <w:rFonts w:ascii="Times New Roman" w:hAnsi="Times New Roman" w:cs="Times New Roman"/>
          <w:i/>
          <w:iCs/>
          <w:color w:val="FF0000"/>
          <w:sz w:val="24"/>
          <w:szCs w:val="24"/>
        </w:rPr>
        <w:t xml:space="preserve">, </w:t>
      </w:r>
      <w:r w:rsidRPr="00BE71E2">
        <w:rPr>
          <w:rFonts w:ascii="Times New Roman" w:hAnsi="Times New Roman" w:cs="Times New Roman"/>
          <w:iCs/>
          <w:color w:val="FF0000"/>
          <w:sz w:val="24"/>
          <w:szCs w:val="24"/>
        </w:rPr>
        <w:t>2022</w:t>
      </w:r>
      <w:r>
        <w:rPr>
          <w:rFonts w:ascii="Times New Roman" w:hAnsi="Times New Roman" w:cs="Times New Roman"/>
          <w:iCs/>
          <w:color w:val="FF0000"/>
          <w:sz w:val="24"/>
          <w:szCs w:val="24"/>
        </w:rPr>
        <w:t>)</w:t>
      </w:r>
    </w:p>
    <w:p w14:paraId="4D5904DF" w14:textId="2B68B31C" w:rsidR="008C7D3D" w:rsidRPr="00AC418A" w:rsidRDefault="00003159">
      <w:pPr>
        <w:spacing w:line="360" w:lineRule="auto"/>
        <w:jc w:val="both"/>
        <w:rPr>
          <w:rFonts w:ascii="Times New Roman" w:eastAsia="Times New Roman" w:hAnsi="Times New Roman" w:cs="Times New Roman"/>
          <w:color w:val="000000" w:themeColor="text1"/>
          <w:sz w:val="24"/>
          <w:szCs w:val="24"/>
          <w:lang w:val="en-GB"/>
        </w:rPr>
      </w:pPr>
      <w:r w:rsidRPr="00C44332">
        <w:rPr>
          <w:rFonts w:ascii="Times New Roman" w:eastAsia="Times New Roman" w:hAnsi="Times New Roman" w:cs="Times New Roman"/>
          <w:i/>
          <w:sz w:val="24"/>
          <w:szCs w:val="24"/>
          <w:lang w:val="en-GB"/>
        </w:rPr>
        <w:t xml:space="preserve">Fama’s French Model </w:t>
      </w:r>
      <w:r w:rsidRPr="00C44332">
        <w:rPr>
          <w:rFonts w:ascii="Times New Roman" w:eastAsia="Times New Roman" w:hAnsi="Times New Roman" w:cs="Times New Roman"/>
          <w:sz w:val="24"/>
          <w:szCs w:val="24"/>
          <w:lang w:val="en-GB"/>
        </w:rPr>
        <w:t xml:space="preserve">aims to analyse the stock returns through three components like market risk, the outperformance of the company and high book-to-market value. It is applied by the company through three forms such as </w:t>
      </w:r>
      <w:r w:rsidRPr="00C44332">
        <w:rPr>
          <w:rFonts w:ascii="Times New Roman" w:eastAsia="Times New Roman" w:hAnsi="Times New Roman" w:cs="Times New Roman"/>
          <w:i/>
          <w:sz w:val="24"/>
          <w:szCs w:val="24"/>
          <w:lang w:val="en-GB"/>
        </w:rPr>
        <w:t xml:space="preserve">strong, semi-strong </w:t>
      </w:r>
      <w:r w:rsidRPr="00C44332">
        <w:rPr>
          <w:rFonts w:ascii="Times New Roman" w:eastAsia="Times New Roman" w:hAnsi="Times New Roman" w:cs="Times New Roman"/>
          <w:sz w:val="24"/>
          <w:szCs w:val="24"/>
          <w:lang w:val="en-GB"/>
        </w:rPr>
        <w:t xml:space="preserve">and </w:t>
      </w:r>
      <w:r w:rsidRPr="00C44332">
        <w:rPr>
          <w:rFonts w:ascii="Times New Roman" w:eastAsia="Times New Roman" w:hAnsi="Times New Roman" w:cs="Times New Roman"/>
          <w:i/>
          <w:sz w:val="24"/>
          <w:szCs w:val="24"/>
          <w:lang w:val="en-GB"/>
        </w:rPr>
        <w:t xml:space="preserve">weak performance, </w:t>
      </w:r>
      <w:r w:rsidRPr="00C44332">
        <w:rPr>
          <w:rFonts w:ascii="Times New Roman" w:eastAsia="Times New Roman" w:hAnsi="Times New Roman" w:cs="Times New Roman"/>
          <w:sz w:val="24"/>
          <w:szCs w:val="24"/>
          <w:lang w:val="en-GB"/>
        </w:rPr>
        <w:t xml:space="preserve">where the </w:t>
      </w:r>
      <w:r w:rsidRPr="00C44332">
        <w:rPr>
          <w:rFonts w:ascii="Times New Roman" w:eastAsia="Times New Roman" w:hAnsi="Times New Roman" w:cs="Times New Roman"/>
          <w:i/>
          <w:sz w:val="24"/>
          <w:szCs w:val="24"/>
          <w:lang w:val="en-GB"/>
        </w:rPr>
        <w:t xml:space="preserve">weak form </w:t>
      </w:r>
      <w:r w:rsidRPr="00C44332">
        <w:rPr>
          <w:rFonts w:ascii="Times New Roman" w:eastAsia="Times New Roman" w:hAnsi="Times New Roman" w:cs="Times New Roman"/>
          <w:sz w:val="24"/>
          <w:szCs w:val="24"/>
          <w:lang w:val="en-GB"/>
        </w:rPr>
        <w:t>assumes that the present stock prices reflect all the available security information of the market (</w:t>
      </w:r>
      <w:proofErr w:type="spellStart"/>
      <w:r w:rsidRPr="00C44332">
        <w:rPr>
          <w:rFonts w:ascii="Times New Roman" w:eastAsia="Times New Roman" w:hAnsi="Times New Roman" w:cs="Times New Roman"/>
          <w:color w:val="222222"/>
          <w:sz w:val="24"/>
          <w:szCs w:val="24"/>
          <w:highlight w:val="white"/>
          <w:lang w:val="en-GB"/>
        </w:rPr>
        <w:t>Paliienko</w:t>
      </w:r>
      <w:proofErr w:type="spellEnd"/>
      <w:r w:rsidRPr="00C44332">
        <w:rPr>
          <w:rFonts w:ascii="Times New Roman" w:eastAsia="Times New Roman" w:hAnsi="Times New Roman" w:cs="Times New Roman"/>
          <w:color w:val="222222"/>
          <w:sz w:val="24"/>
          <w:szCs w:val="24"/>
          <w:highlight w:val="white"/>
          <w:lang w:val="en-GB"/>
        </w:rPr>
        <w:t xml:space="preserve">, </w:t>
      </w:r>
      <w:r w:rsidRPr="00C44332">
        <w:rPr>
          <w:rFonts w:ascii="Times New Roman" w:eastAsia="Times New Roman" w:hAnsi="Times New Roman" w:cs="Times New Roman"/>
          <w:i/>
          <w:color w:val="222222"/>
          <w:sz w:val="24"/>
          <w:szCs w:val="24"/>
          <w:highlight w:val="white"/>
          <w:lang w:val="en-GB"/>
        </w:rPr>
        <w:t>et al</w:t>
      </w:r>
      <w:r w:rsidRPr="00C44332">
        <w:rPr>
          <w:rFonts w:ascii="Times New Roman" w:eastAsia="Times New Roman" w:hAnsi="Times New Roman" w:cs="Times New Roman"/>
          <w:color w:val="222222"/>
          <w:sz w:val="24"/>
          <w:szCs w:val="24"/>
          <w:highlight w:val="white"/>
          <w:lang w:val="en-GB"/>
        </w:rPr>
        <w:t xml:space="preserve">., 2020, p. 144). </w:t>
      </w:r>
      <w:r w:rsidRPr="00C44332">
        <w:rPr>
          <w:rFonts w:ascii="Times New Roman" w:eastAsia="Times New Roman" w:hAnsi="Times New Roman" w:cs="Times New Roman"/>
          <w:sz w:val="24"/>
          <w:szCs w:val="24"/>
          <w:lang w:val="en-GB"/>
        </w:rPr>
        <w:t xml:space="preserve">The </w:t>
      </w:r>
      <w:r w:rsidRPr="00C44332">
        <w:rPr>
          <w:rFonts w:ascii="Times New Roman" w:eastAsia="Times New Roman" w:hAnsi="Times New Roman" w:cs="Times New Roman"/>
          <w:i/>
          <w:sz w:val="24"/>
          <w:szCs w:val="24"/>
          <w:lang w:val="en-GB"/>
        </w:rPr>
        <w:t xml:space="preserve">semi-strong efficiency </w:t>
      </w:r>
      <w:r w:rsidRPr="00C44332">
        <w:rPr>
          <w:rFonts w:ascii="Times New Roman" w:eastAsia="Times New Roman" w:hAnsi="Times New Roman" w:cs="Times New Roman"/>
          <w:sz w:val="24"/>
          <w:szCs w:val="24"/>
          <w:lang w:val="en-GB"/>
        </w:rPr>
        <w:t xml:space="preserve">contends the price movements of the security are a reflection of publicly available material information. </w:t>
      </w:r>
      <w:r w:rsidRPr="00C44332">
        <w:rPr>
          <w:rFonts w:ascii="Times New Roman" w:eastAsia="Times New Roman" w:hAnsi="Times New Roman" w:cs="Times New Roman"/>
          <w:i/>
          <w:sz w:val="24"/>
          <w:szCs w:val="24"/>
          <w:lang w:val="en-GB"/>
        </w:rPr>
        <w:t xml:space="preserve">British Telecom </w:t>
      </w:r>
      <w:r w:rsidRPr="00C44332">
        <w:rPr>
          <w:rFonts w:ascii="Times New Roman" w:eastAsia="Times New Roman" w:hAnsi="Times New Roman" w:cs="Times New Roman"/>
          <w:sz w:val="24"/>
          <w:szCs w:val="24"/>
          <w:lang w:val="en-GB"/>
        </w:rPr>
        <w:t>is in strong form which assumes that the current stock price reflects all public and private information. The present stock price as per the annual report 2023, is estimated to be 240 p which reflects a profit in investing in the company, minimising the risk level of the shareholders so BNP Paribas safely invests 10.83% (bt.com, 2023).</w:t>
      </w:r>
      <w:r w:rsidR="00BE71E2">
        <w:rPr>
          <w:rFonts w:ascii="Times New Roman" w:eastAsia="Times New Roman" w:hAnsi="Times New Roman" w:cs="Times New Roman"/>
          <w:sz w:val="24"/>
          <w:szCs w:val="24"/>
          <w:lang w:val="en-GB"/>
        </w:rPr>
        <w:t xml:space="preserve"> </w:t>
      </w:r>
      <w:bookmarkStart w:id="4" w:name="_GoBack"/>
      <w:r w:rsidR="008C7D3D" w:rsidRPr="00AC418A">
        <w:rPr>
          <w:rFonts w:ascii="Times New Roman" w:eastAsia="Times New Roman" w:hAnsi="Times New Roman" w:cs="Times New Roman"/>
          <w:color w:val="000000" w:themeColor="text1"/>
          <w:sz w:val="24"/>
          <w:szCs w:val="24"/>
          <w:lang w:val="en-GB"/>
        </w:rPr>
        <w:t xml:space="preserve">The implication of the Fama’s Model can assist British Telecom </w:t>
      </w:r>
      <w:r w:rsidR="00BE71E2" w:rsidRPr="00AC418A">
        <w:rPr>
          <w:rFonts w:ascii="Times New Roman" w:eastAsia="Times New Roman" w:hAnsi="Times New Roman" w:cs="Times New Roman"/>
          <w:color w:val="000000" w:themeColor="text1"/>
          <w:sz w:val="24"/>
          <w:szCs w:val="24"/>
          <w:lang w:val="en-GB"/>
        </w:rPr>
        <w:t xml:space="preserve">to measure the return on the basis of their stock market investment. It assists them to measure the upcoming risk and take effective strategies to solve it to retain its market value in a systematic manner. </w:t>
      </w:r>
    </w:p>
    <w:p w14:paraId="00000015" w14:textId="6B1CBE2B" w:rsidR="00C26BCA" w:rsidRPr="00AC418A" w:rsidRDefault="00003159">
      <w:pPr>
        <w:spacing w:line="360" w:lineRule="auto"/>
        <w:jc w:val="both"/>
        <w:rPr>
          <w:rFonts w:ascii="Times New Roman" w:eastAsia="Times New Roman" w:hAnsi="Times New Roman" w:cs="Times New Roman"/>
          <w:color w:val="000000" w:themeColor="text1"/>
          <w:sz w:val="24"/>
          <w:szCs w:val="24"/>
          <w:lang w:val="en-GB"/>
        </w:rPr>
      </w:pPr>
      <w:r w:rsidRPr="00AC418A">
        <w:rPr>
          <w:rFonts w:ascii="Times New Roman" w:eastAsia="Times New Roman" w:hAnsi="Times New Roman" w:cs="Times New Roman"/>
          <w:color w:val="000000" w:themeColor="text1"/>
          <w:sz w:val="24"/>
          <w:szCs w:val="24"/>
          <w:lang w:val="en-GB"/>
        </w:rPr>
        <w:t xml:space="preserve">  </w:t>
      </w:r>
    </w:p>
    <w:bookmarkEnd w:id="4"/>
    <w:p w14:paraId="00000016" w14:textId="6800724C" w:rsidR="00C26BCA" w:rsidRPr="00C44332" w:rsidRDefault="009C3A7A">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2.3 Judgementally</w:t>
      </w:r>
      <w:r w:rsidR="00003159" w:rsidRPr="00C44332">
        <w:rPr>
          <w:rFonts w:ascii="Times New Roman" w:eastAsia="Times New Roman" w:hAnsi="Times New Roman" w:cs="Times New Roman"/>
          <w:b/>
          <w:sz w:val="24"/>
          <w:szCs w:val="24"/>
          <w:lang w:val="en-GB"/>
        </w:rPr>
        <w:t xml:space="preserve"> demonstrate and evaluate your chosen multinational corporation’s methods of appraising projects.</w:t>
      </w:r>
    </w:p>
    <w:p w14:paraId="00000017" w14:textId="77777777" w:rsidR="00C26BCA" w:rsidRPr="00C44332" w:rsidRDefault="00003159">
      <w:pPr>
        <w:spacing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i/>
          <w:sz w:val="24"/>
          <w:szCs w:val="24"/>
          <w:lang w:val="en-GB"/>
        </w:rPr>
        <w:t xml:space="preserve">Methods of Appraising Projects </w:t>
      </w:r>
      <w:r w:rsidRPr="00C44332">
        <w:rPr>
          <w:rFonts w:ascii="Times New Roman" w:eastAsia="Times New Roman" w:hAnsi="Times New Roman" w:cs="Times New Roman"/>
          <w:sz w:val="24"/>
          <w:szCs w:val="24"/>
          <w:lang w:val="en-GB"/>
        </w:rPr>
        <w:t xml:space="preserve">are illustrated as the methods utilised to access a proposed potential of the success and viability of the project. The following company utilises </w:t>
      </w:r>
      <w:r w:rsidRPr="00C44332">
        <w:rPr>
          <w:rFonts w:ascii="Times New Roman" w:eastAsia="Times New Roman" w:hAnsi="Times New Roman" w:cs="Times New Roman"/>
          <w:i/>
          <w:sz w:val="24"/>
          <w:szCs w:val="24"/>
          <w:lang w:val="en-GB"/>
        </w:rPr>
        <w:t xml:space="preserve">the Internal Rate of Return </w:t>
      </w:r>
      <w:r w:rsidRPr="00C44332">
        <w:rPr>
          <w:rFonts w:ascii="Times New Roman" w:eastAsia="Times New Roman" w:hAnsi="Times New Roman" w:cs="Times New Roman"/>
          <w:sz w:val="24"/>
          <w:szCs w:val="24"/>
          <w:lang w:val="en-GB"/>
        </w:rPr>
        <w:t xml:space="preserve">which is a metric utilised in financial analysis to estimate the profitability of the capable investments. As stated by </w:t>
      </w:r>
      <w:proofErr w:type="spellStart"/>
      <w:r w:rsidRPr="00C44332">
        <w:rPr>
          <w:rFonts w:ascii="Times New Roman" w:eastAsia="Times New Roman" w:hAnsi="Times New Roman" w:cs="Times New Roman"/>
          <w:color w:val="222222"/>
          <w:sz w:val="24"/>
          <w:szCs w:val="24"/>
          <w:highlight w:val="white"/>
          <w:lang w:val="en-GB"/>
        </w:rPr>
        <w:t>Speranda</w:t>
      </w:r>
      <w:proofErr w:type="spellEnd"/>
      <w:r w:rsidRPr="00C44332">
        <w:rPr>
          <w:rFonts w:ascii="Times New Roman" w:eastAsia="Times New Roman" w:hAnsi="Times New Roman" w:cs="Times New Roman"/>
          <w:color w:val="222222"/>
          <w:sz w:val="24"/>
          <w:szCs w:val="24"/>
          <w:highlight w:val="white"/>
          <w:lang w:val="en-GB"/>
        </w:rPr>
        <w:t xml:space="preserve"> and </w:t>
      </w:r>
      <w:proofErr w:type="spellStart"/>
      <w:r w:rsidRPr="00C44332">
        <w:rPr>
          <w:rFonts w:ascii="Times New Roman" w:eastAsia="Times New Roman" w:hAnsi="Times New Roman" w:cs="Times New Roman"/>
          <w:color w:val="222222"/>
          <w:sz w:val="24"/>
          <w:szCs w:val="24"/>
          <w:highlight w:val="white"/>
          <w:lang w:val="en-GB"/>
        </w:rPr>
        <w:t>Speranda</w:t>
      </w:r>
      <w:proofErr w:type="spellEnd"/>
      <w:r w:rsidRPr="00C44332">
        <w:rPr>
          <w:rFonts w:ascii="Times New Roman" w:eastAsia="Times New Roman" w:hAnsi="Times New Roman" w:cs="Times New Roman"/>
          <w:color w:val="222222"/>
          <w:sz w:val="24"/>
          <w:szCs w:val="24"/>
          <w:highlight w:val="white"/>
          <w:lang w:val="en-GB"/>
        </w:rPr>
        <w:t xml:space="preserve">, (2019, p. 74), </w:t>
      </w:r>
      <w:r w:rsidRPr="00C44332">
        <w:rPr>
          <w:rFonts w:ascii="Times New Roman" w:eastAsia="Times New Roman" w:hAnsi="Times New Roman" w:cs="Times New Roman"/>
          <w:sz w:val="24"/>
          <w:szCs w:val="24"/>
          <w:lang w:val="en-GB"/>
        </w:rPr>
        <w:t xml:space="preserve">it is a discount rate which makes the net present value of all cash flows equal to zero in a discounted cash flow analysis. The discount rate of the telecommunication company is 9.7% leading to a free cash flow rate of 1.3 billion pounds in the year 2023 estimating the growth rate of investment by </w:t>
      </w:r>
      <w:r w:rsidRPr="00C44332">
        <w:rPr>
          <w:rFonts w:ascii="Times New Roman" w:eastAsia="Times New Roman" w:hAnsi="Times New Roman" w:cs="Times New Roman"/>
          <w:sz w:val="24"/>
          <w:szCs w:val="24"/>
          <w:lang w:val="en-GB"/>
        </w:rPr>
        <w:lastRenderedPageBreak/>
        <w:t xml:space="preserve">2.24% (bt.com, 2023). It is important because </w:t>
      </w:r>
      <w:r w:rsidRPr="00C44332">
        <w:rPr>
          <w:rFonts w:ascii="Times New Roman" w:eastAsia="Times New Roman" w:hAnsi="Times New Roman" w:cs="Times New Roman"/>
          <w:i/>
          <w:sz w:val="24"/>
          <w:szCs w:val="24"/>
          <w:lang w:val="en-GB"/>
        </w:rPr>
        <w:t>the internal rate of return</w:t>
      </w:r>
      <w:r w:rsidRPr="00C44332">
        <w:rPr>
          <w:rFonts w:ascii="Times New Roman" w:eastAsia="Times New Roman" w:hAnsi="Times New Roman" w:cs="Times New Roman"/>
          <w:sz w:val="24"/>
          <w:szCs w:val="24"/>
          <w:lang w:val="en-GB"/>
        </w:rPr>
        <w:t xml:space="preserve"> helps the respective company to clearly understand the cash flow and better yield investment for implementing growth as well as improved productivity of the company. Apparently, the IRR is responsible for ensuring the time value of money and evaluating the accuracy along with the credibility of the project. </w:t>
      </w:r>
    </w:p>
    <w:p w14:paraId="00000018" w14:textId="465B76DA" w:rsidR="00C26BCA" w:rsidRPr="00C44332" w:rsidRDefault="00C44332">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2.4 </w:t>
      </w:r>
      <w:r w:rsidR="009C3A7A">
        <w:rPr>
          <w:rFonts w:ascii="Times New Roman" w:eastAsia="Times New Roman" w:hAnsi="Times New Roman" w:cs="Times New Roman"/>
          <w:b/>
          <w:sz w:val="24"/>
          <w:szCs w:val="24"/>
          <w:lang w:val="en-GB"/>
        </w:rPr>
        <w:t>Limitations</w:t>
      </w:r>
      <w:r w:rsidR="00003159" w:rsidRPr="00C44332">
        <w:rPr>
          <w:rFonts w:ascii="Times New Roman" w:eastAsia="Times New Roman" w:hAnsi="Times New Roman" w:cs="Times New Roman"/>
          <w:b/>
          <w:sz w:val="24"/>
          <w:szCs w:val="24"/>
          <w:lang w:val="en-GB"/>
        </w:rPr>
        <w:t xml:space="preserve"> which the corporation may be ex</w:t>
      </w:r>
      <w:r w:rsidR="009C3A7A">
        <w:rPr>
          <w:rFonts w:ascii="Times New Roman" w:eastAsia="Times New Roman" w:hAnsi="Times New Roman" w:cs="Times New Roman"/>
          <w:b/>
          <w:sz w:val="24"/>
          <w:szCs w:val="24"/>
          <w:lang w:val="en-GB"/>
        </w:rPr>
        <w:t>periencing in various</w:t>
      </w:r>
      <w:r w:rsidR="00003159" w:rsidRPr="00C44332">
        <w:rPr>
          <w:rFonts w:ascii="Times New Roman" w:eastAsia="Times New Roman" w:hAnsi="Times New Roman" w:cs="Times New Roman"/>
          <w:b/>
          <w:sz w:val="24"/>
          <w:szCs w:val="24"/>
          <w:lang w:val="en-GB"/>
        </w:rPr>
        <w:t xml:space="preserve"> global financial markets.</w:t>
      </w:r>
    </w:p>
    <w:p w14:paraId="00000019" w14:textId="361EACA2" w:rsidR="00C26BCA" w:rsidRPr="00C44332" w:rsidRDefault="00003159">
      <w:pPr>
        <w:spacing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sz w:val="24"/>
          <w:szCs w:val="24"/>
          <w:lang w:val="en-GB"/>
        </w:rPr>
        <w:t xml:space="preserve">The issue related to the </w:t>
      </w:r>
      <w:r w:rsidRPr="00C44332">
        <w:rPr>
          <w:rFonts w:ascii="Times New Roman" w:eastAsia="Times New Roman" w:hAnsi="Times New Roman" w:cs="Times New Roman"/>
          <w:i/>
          <w:sz w:val="24"/>
          <w:szCs w:val="24"/>
          <w:lang w:val="en-GB"/>
        </w:rPr>
        <w:t xml:space="preserve">capital structure </w:t>
      </w:r>
      <w:r w:rsidRPr="00C44332">
        <w:rPr>
          <w:rFonts w:ascii="Times New Roman" w:eastAsia="Times New Roman" w:hAnsi="Times New Roman" w:cs="Times New Roman"/>
          <w:sz w:val="24"/>
          <w:szCs w:val="24"/>
          <w:lang w:val="en-GB"/>
        </w:rPr>
        <w:t xml:space="preserve">is British Telecom is facing a large amount of debt which can be a credit risk for the firm putting pressure on the underutilisation of equity. For instance, British Telecom is facing a debt of 18,859 million pounds for the annual year 2023 because of not having a proper budget and leading to a credit risk as well as an underside of the equity investment of 34 million pounds (bt.com, 2023).  Based on the evidence of </w:t>
      </w:r>
      <w:r w:rsidRPr="00C44332">
        <w:rPr>
          <w:rFonts w:ascii="Times New Roman" w:eastAsia="Times New Roman" w:hAnsi="Times New Roman" w:cs="Times New Roman"/>
          <w:color w:val="222222"/>
          <w:sz w:val="24"/>
          <w:szCs w:val="24"/>
          <w:highlight w:val="white"/>
          <w:lang w:val="en-GB"/>
        </w:rPr>
        <w:t>Wright</w:t>
      </w:r>
      <w:r w:rsidR="009C3A7A" w:rsidRPr="00C44332">
        <w:rPr>
          <w:rFonts w:ascii="Times New Roman" w:eastAsia="Times New Roman" w:hAnsi="Times New Roman" w:cs="Times New Roman"/>
          <w:color w:val="222222"/>
          <w:sz w:val="24"/>
          <w:szCs w:val="24"/>
          <w:highlight w:val="white"/>
          <w:lang w:val="en-GB"/>
        </w:rPr>
        <w:t>, (</w:t>
      </w:r>
      <w:r w:rsidRPr="00C44332">
        <w:rPr>
          <w:rFonts w:ascii="Times New Roman" w:eastAsia="Times New Roman" w:hAnsi="Times New Roman" w:cs="Times New Roman"/>
          <w:color w:val="222222"/>
          <w:sz w:val="24"/>
          <w:szCs w:val="24"/>
          <w:highlight w:val="white"/>
          <w:lang w:val="en-GB"/>
        </w:rPr>
        <w:t xml:space="preserve">2021), </w:t>
      </w:r>
      <w:r w:rsidRPr="00C44332">
        <w:rPr>
          <w:rFonts w:ascii="Times New Roman" w:eastAsia="Times New Roman" w:hAnsi="Times New Roman" w:cs="Times New Roman"/>
          <w:sz w:val="24"/>
          <w:szCs w:val="24"/>
          <w:lang w:val="en-GB"/>
        </w:rPr>
        <w:t xml:space="preserve">the issue associated with the leverage is the company can face loss because of the initial capital investment. For instance, British Telecom encountered an annual loss of 7.9% after investing 15 billion pounds in the annual year 2023, causing a hurdle in the growth of the company increasing the risk of insolvency along with bankruptcy (bt.com, 2023).  </w:t>
      </w:r>
    </w:p>
    <w:p w14:paraId="0000001A" w14:textId="77777777" w:rsidR="00C26BCA" w:rsidRPr="00C44332" w:rsidRDefault="00003159" w:rsidP="009C3A7A">
      <w:pPr>
        <w:pStyle w:val="Heading1"/>
        <w:rPr>
          <w:lang w:val="en-GB"/>
        </w:rPr>
      </w:pPr>
      <w:bookmarkStart w:id="5" w:name="_Toc142918187"/>
      <w:bookmarkStart w:id="6" w:name="_Toc142918213"/>
      <w:r w:rsidRPr="00C44332">
        <w:rPr>
          <w:lang w:val="en-GB"/>
        </w:rPr>
        <w:t>3. Conclusion and Recommendations</w:t>
      </w:r>
      <w:bookmarkEnd w:id="5"/>
      <w:bookmarkEnd w:id="6"/>
    </w:p>
    <w:p w14:paraId="0000001B" w14:textId="77777777" w:rsidR="00C26BCA" w:rsidRPr="00C44332" w:rsidRDefault="00003159">
      <w:pPr>
        <w:spacing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sz w:val="24"/>
          <w:szCs w:val="24"/>
          <w:lang w:val="en-GB"/>
        </w:rPr>
        <w:t xml:space="preserve">Therefore it can be concluded that </w:t>
      </w:r>
      <w:r w:rsidRPr="00C44332">
        <w:rPr>
          <w:rFonts w:ascii="Times New Roman" w:eastAsia="Times New Roman" w:hAnsi="Times New Roman" w:cs="Times New Roman"/>
          <w:i/>
          <w:sz w:val="24"/>
          <w:szCs w:val="24"/>
          <w:lang w:val="en-GB"/>
        </w:rPr>
        <w:t xml:space="preserve">International Financial Management </w:t>
      </w:r>
      <w:r w:rsidRPr="00C44332">
        <w:rPr>
          <w:rFonts w:ascii="Times New Roman" w:eastAsia="Times New Roman" w:hAnsi="Times New Roman" w:cs="Times New Roman"/>
          <w:sz w:val="24"/>
          <w:szCs w:val="24"/>
          <w:lang w:val="en-GB"/>
        </w:rPr>
        <w:t xml:space="preserve">plays a crucial role in giving opportunities to the company to make capital and providing British Telecom the chance of maintaining a higher dividend rate of 30% in the year 2023. The application of the theories is utilised to explain the policies of dividend of the company which is </w:t>
      </w:r>
      <w:r w:rsidRPr="00C44332">
        <w:rPr>
          <w:rFonts w:ascii="Times New Roman" w:eastAsia="Times New Roman" w:hAnsi="Times New Roman" w:cs="Times New Roman"/>
          <w:i/>
          <w:sz w:val="24"/>
          <w:szCs w:val="24"/>
          <w:lang w:val="en-GB"/>
        </w:rPr>
        <w:t xml:space="preserve">Progressive. </w:t>
      </w:r>
      <w:r w:rsidRPr="00C44332">
        <w:rPr>
          <w:rFonts w:ascii="Times New Roman" w:eastAsia="Times New Roman" w:hAnsi="Times New Roman" w:cs="Times New Roman"/>
          <w:sz w:val="24"/>
          <w:szCs w:val="24"/>
          <w:lang w:val="en-GB"/>
        </w:rPr>
        <w:t xml:space="preserve">The </w:t>
      </w:r>
      <w:r w:rsidRPr="00C44332">
        <w:rPr>
          <w:rFonts w:ascii="Times New Roman" w:eastAsia="Times New Roman" w:hAnsi="Times New Roman" w:cs="Times New Roman"/>
          <w:i/>
          <w:sz w:val="24"/>
          <w:szCs w:val="24"/>
          <w:lang w:val="en-GB"/>
        </w:rPr>
        <w:t xml:space="preserve">debt </w:t>
      </w:r>
      <w:r w:rsidRPr="00C44332">
        <w:rPr>
          <w:rFonts w:ascii="Times New Roman" w:eastAsia="Times New Roman" w:hAnsi="Times New Roman" w:cs="Times New Roman"/>
          <w:sz w:val="24"/>
          <w:szCs w:val="24"/>
          <w:lang w:val="en-GB"/>
        </w:rPr>
        <w:t xml:space="preserve">can be maintained in the company by recommending them to </w:t>
      </w:r>
      <w:r w:rsidRPr="00C44332">
        <w:rPr>
          <w:rFonts w:ascii="Times New Roman" w:eastAsia="Times New Roman" w:hAnsi="Times New Roman" w:cs="Times New Roman"/>
          <w:i/>
          <w:sz w:val="24"/>
          <w:szCs w:val="24"/>
          <w:lang w:val="en-GB"/>
        </w:rPr>
        <w:t xml:space="preserve">upgrade the flow of cash </w:t>
      </w:r>
      <w:r w:rsidRPr="00C44332">
        <w:rPr>
          <w:rFonts w:ascii="Times New Roman" w:eastAsia="Times New Roman" w:hAnsi="Times New Roman" w:cs="Times New Roman"/>
          <w:sz w:val="24"/>
          <w:szCs w:val="24"/>
          <w:lang w:val="en-GB"/>
        </w:rPr>
        <w:t xml:space="preserve">and </w:t>
      </w:r>
      <w:r w:rsidRPr="00C44332">
        <w:rPr>
          <w:rFonts w:ascii="Times New Roman" w:eastAsia="Times New Roman" w:hAnsi="Times New Roman" w:cs="Times New Roman"/>
          <w:i/>
          <w:sz w:val="24"/>
          <w:szCs w:val="24"/>
          <w:lang w:val="en-GB"/>
        </w:rPr>
        <w:t xml:space="preserve">reviewing the terms of the loan </w:t>
      </w:r>
      <w:r w:rsidRPr="00C44332">
        <w:rPr>
          <w:rFonts w:ascii="Times New Roman" w:eastAsia="Times New Roman" w:hAnsi="Times New Roman" w:cs="Times New Roman"/>
          <w:sz w:val="24"/>
          <w:szCs w:val="24"/>
          <w:lang w:val="en-GB"/>
        </w:rPr>
        <w:t xml:space="preserve">along with the </w:t>
      </w:r>
      <w:r w:rsidRPr="00C44332">
        <w:rPr>
          <w:rFonts w:ascii="Times New Roman" w:eastAsia="Times New Roman" w:hAnsi="Times New Roman" w:cs="Times New Roman"/>
          <w:i/>
          <w:sz w:val="24"/>
          <w:szCs w:val="24"/>
          <w:lang w:val="en-GB"/>
        </w:rPr>
        <w:t xml:space="preserve">refinancing. </w:t>
      </w:r>
      <w:r w:rsidRPr="00C44332">
        <w:rPr>
          <w:rFonts w:ascii="Times New Roman" w:eastAsia="Times New Roman" w:hAnsi="Times New Roman" w:cs="Times New Roman"/>
          <w:sz w:val="24"/>
          <w:szCs w:val="24"/>
          <w:lang w:val="en-GB"/>
        </w:rPr>
        <w:t xml:space="preserve">British Telecom is suggested to measure the debt-equity ratio and consumer leverage ratio to prevent the loss of the capital invested.  </w:t>
      </w:r>
    </w:p>
    <w:p w14:paraId="0E74FC1D" w14:textId="77777777" w:rsidR="00C44332" w:rsidRDefault="00C44332">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0000001C" w14:textId="2F8EA5A2" w:rsidR="00C26BCA" w:rsidRPr="00C44332" w:rsidRDefault="00003159" w:rsidP="009C3A7A">
      <w:pPr>
        <w:pStyle w:val="Heading1"/>
        <w:rPr>
          <w:lang w:val="en-GB"/>
        </w:rPr>
      </w:pPr>
      <w:bookmarkStart w:id="7" w:name="_Toc142918214"/>
      <w:r w:rsidRPr="00C44332">
        <w:rPr>
          <w:lang w:val="en-GB"/>
        </w:rPr>
        <w:lastRenderedPageBreak/>
        <w:t>References</w:t>
      </w:r>
      <w:bookmarkEnd w:id="7"/>
    </w:p>
    <w:p w14:paraId="0BC95C89" w14:textId="77777777" w:rsidR="00BE71E2" w:rsidRPr="00C44332" w:rsidRDefault="00BE71E2" w:rsidP="00BE71E2">
      <w:pPr>
        <w:spacing w:before="240" w:after="240" w:line="360" w:lineRule="auto"/>
        <w:jc w:val="both"/>
        <w:rPr>
          <w:rFonts w:ascii="Times New Roman" w:eastAsia="Times New Roman" w:hAnsi="Times New Roman" w:cs="Times New Roman"/>
          <w:sz w:val="24"/>
          <w:szCs w:val="24"/>
          <w:lang w:val="en-GB"/>
        </w:rPr>
      </w:pPr>
      <w:proofErr w:type="spellStart"/>
      <w:r w:rsidRPr="00C44332">
        <w:rPr>
          <w:rFonts w:ascii="Times New Roman" w:eastAsia="Times New Roman" w:hAnsi="Times New Roman" w:cs="Times New Roman"/>
          <w:color w:val="222222"/>
          <w:sz w:val="24"/>
          <w:szCs w:val="24"/>
          <w:highlight w:val="white"/>
          <w:lang w:val="en-GB"/>
        </w:rPr>
        <w:t>Barbier</w:t>
      </w:r>
      <w:proofErr w:type="spellEnd"/>
      <w:r w:rsidRPr="00C44332">
        <w:rPr>
          <w:rFonts w:ascii="Times New Roman" w:eastAsia="Times New Roman" w:hAnsi="Times New Roman" w:cs="Times New Roman"/>
          <w:color w:val="222222"/>
          <w:sz w:val="24"/>
          <w:szCs w:val="24"/>
          <w:highlight w:val="white"/>
          <w:lang w:val="en-GB"/>
        </w:rPr>
        <w:t xml:space="preserve">, P.J.A., 2023. Towards a deeper comprehension of unlevered betas in emerging markets: Gordon and a regression stock valuation model. </w:t>
      </w:r>
      <w:r w:rsidRPr="00C44332">
        <w:rPr>
          <w:rFonts w:ascii="Times New Roman" w:eastAsia="Times New Roman" w:hAnsi="Times New Roman" w:cs="Times New Roman"/>
          <w:sz w:val="24"/>
          <w:szCs w:val="24"/>
          <w:lang w:val="en-GB"/>
        </w:rPr>
        <w:t>International Journal of Economic Policy in Emerging Economies, 17(4), pp.586-599.</w:t>
      </w:r>
      <w:hyperlink r:id="rId9">
        <w:r w:rsidRPr="00C44332">
          <w:rPr>
            <w:rFonts w:ascii="Times New Roman" w:eastAsia="Times New Roman" w:hAnsi="Times New Roman" w:cs="Times New Roman"/>
            <w:sz w:val="24"/>
            <w:szCs w:val="24"/>
            <w:lang w:val="en-GB"/>
          </w:rPr>
          <w:t xml:space="preserve"> </w:t>
        </w:r>
      </w:hyperlink>
      <w:hyperlink r:id="rId10">
        <w:r w:rsidRPr="00C44332">
          <w:rPr>
            <w:rFonts w:ascii="Times New Roman" w:eastAsia="Times New Roman" w:hAnsi="Times New Roman" w:cs="Times New Roman"/>
            <w:color w:val="1155CC"/>
            <w:sz w:val="24"/>
            <w:szCs w:val="24"/>
            <w:highlight w:val="white"/>
            <w:u w:val="single"/>
            <w:lang w:val="en-GB"/>
          </w:rPr>
          <w:t>https://www.inderscienceonline.com/doi/abs/10.1504/IJEPEE.2023.132536</w:t>
        </w:r>
      </w:hyperlink>
    </w:p>
    <w:p w14:paraId="46EFB0D6" w14:textId="77777777" w:rsidR="00BE71E2" w:rsidRPr="00C44332" w:rsidRDefault="00BE71E2" w:rsidP="00BE71E2">
      <w:pPr>
        <w:spacing w:before="240" w:after="240"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sz w:val="24"/>
          <w:szCs w:val="24"/>
          <w:lang w:val="en-GB"/>
        </w:rPr>
        <w:t>bt.com, 2023. About BT Group. BT Plc. Available at: https://www.bt.com/about/bt (Accessed: 14 August 2023).</w:t>
      </w:r>
    </w:p>
    <w:p w14:paraId="745FDD01" w14:textId="77777777" w:rsidR="00BE71E2" w:rsidRPr="00C44332" w:rsidRDefault="00BE71E2" w:rsidP="00BE71E2">
      <w:pPr>
        <w:spacing w:before="240" w:after="240" w:line="360" w:lineRule="auto"/>
        <w:jc w:val="both"/>
        <w:rPr>
          <w:rFonts w:ascii="Times New Roman" w:eastAsia="Times New Roman" w:hAnsi="Times New Roman" w:cs="Times New Roman"/>
          <w:sz w:val="24"/>
          <w:szCs w:val="24"/>
          <w:lang w:val="en-GB"/>
        </w:rPr>
      </w:pPr>
      <w:r w:rsidRPr="00C44332">
        <w:rPr>
          <w:rFonts w:ascii="Times New Roman" w:eastAsia="Times New Roman" w:hAnsi="Times New Roman" w:cs="Times New Roman"/>
          <w:sz w:val="24"/>
          <w:szCs w:val="24"/>
          <w:lang w:val="en-GB"/>
        </w:rPr>
        <w:t>bt.com, 2023. Financial statements 2023 - BT. Available at: https://www.bt.com/bt-plc/assets/documents/investors/financial-reporting-and-news/annual-reports/2023/2023-bt-group-annual-report-financial-statements.pdf (Accessed: 14 August 2023).</w:t>
      </w:r>
    </w:p>
    <w:p w14:paraId="1CAE5259" w14:textId="77777777" w:rsidR="00BE71E2" w:rsidRPr="00C44332" w:rsidRDefault="00BE71E2" w:rsidP="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44332">
        <w:rPr>
          <w:rFonts w:ascii="Times New Roman" w:eastAsia="Times New Roman" w:hAnsi="Times New Roman" w:cs="Times New Roman"/>
          <w:color w:val="222222"/>
          <w:sz w:val="24"/>
          <w:szCs w:val="24"/>
          <w:highlight w:val="white"/>
          <w:lang w:val="en-GB"/>
        </w:rPr>
        <w:t xml:space="preserve">KANAKRIYAH, R., 2020. Dividend policy and companies’ financial performance. </w:t>
      </w:r>
      <w:r w:rsidRPr="00C44332">
        <w:rPr>
          <w:rFonts w:ascii="Times New Roman" w:eastAsia="Times New Roman" w:hAnsi="Times New Roman" w:cs="Times New Roman"/>
          <w:sz w:val="24"/>
          <w:szCs w:val="24"/>
          <w:lang w:val="en-GB"/>
        </w:rPr>
        <w:t>The Journal of Asian Finance, Economics and Business (JAFEB), 7(10), pp.531-541.</w:t>
      </w:r>
      <w:hyperlink r:id="rId11">
        <w:r w:rsidRPr="00C44332">
          <w:rPr>
            <w:rFonts w:ascii="Times New Roman" w:eastAsia="Times New Roman" w:hAnsi="Times New Roman" w:cs="Times New Roman"/>
            <w:sz w:val="24"/>
            <w:szCs w:val="24"/>
            <w:lang w:val="en-GB"/>
          </w:rPr>
          <w:t xml:space="preserve"> </w:t>
        </w:r>
      </w:hyperlink>
      <w:hyperlink r:id="rId12">
        <w:r w:rsidRPr="00C44332">
          <w:rPr>
            <w:rFonts w:ascii="Times New Roman" w:eastAsia="Times New Roman" w:hAnsi="Times New Roman" w:cs="Times New Roman"/>
            <w:color w:val="1155CC"/>
            <w:sz w:val="24"/>
            <w:szCs w:val="24"/>
            <w:highlight w:val="white"/>
            <w:u w:val="single"/>
            <w:lang w:val="en-GB"/>
          </w:rPr>
          <w:t>https://www.researchgate.net/profile/Raed-Kanakriyah/publication/344485265_Dividend_Policy_and_Companies'_Financial_Performance/links/5f7bd713a6fdccfd7b4a743a/Dividend-Policy-and-Companies-Financial-Performance.pdf</w:t>
        </w:r>
      </w:hyperlink>
    </w:p>
    <w:p w14:paraId="6699D1DC" w14:textId="77777777" w:rsidR="00BE71E2" w:rsidRPr="00C44332" w:rsidRDefault="00BE71E2" w:rsidP="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C44332">
        <w:rPr>
          <w:rFonts w:ascii="Times New Roman" w:eastAsia="Times New Roman" w:hAnsi="Times New Roman" w:cs="Times New Roman"/>
          <w:color w:val="222222"/>
          <w:sz w:val="24"/>
          <w:szCs w:val="24"/>
          <w:highlight w:val="white"/>
          <w:lang w:val="en-GB"/>
        </w:rPr>
        <w:t>Krylov</w:t>
      </w:r>
      <w:proofErr w:type="spellEnd"/>
      <w:r w:rsidRPr="00C44332">
        <w:rPr>
          <w:rFonts w:ascii="Times New Roman" w:eastAsia="Times New Roman" w:hAnsi="Times New Roman" w:cs="Times New Roman"/>
          <w:color w:val="222222"/>
          <w:sz w:val="24"/>
          <w:szCs w:val="24"/>
          <w:highlight w:val="white"/>
          <w:lang w:val="en-GB"/>
        </w:rPr>
        <w:t xml:space="preserve">, S., 2020. Dividend Policy Scores Models: Neutral Approach. </w:t>
      </w:r>
      <w:r w:rsidRPr="00C44332">
        <w:rPr>
          <w:rFonts w:ascii="Times New Roman" w:eastAsia="Times New Roman" w:hAnsi="Times New Roman" w:cs="Times New Roman"/>
          <w:sz w:val="24"/>
          <w:szCs w:val="24"/>
          <w:lang w:val="en-GB"/>
        </w:rPr>
        <w:t>SBS Journal of Applied Business Research, 8, pp.23-33.</w:t>
      </w:r>
      <w:hyperlink r:id="rId13">
        <w:r w:rsidRPr="00C44332">
          <w:rPr>
            <w:rFonts w:ascii="Times New Roman" w:eastAsia="Times New Roman" w:hAnsi="Times New Roman" w:cs="Times New Roman"/>
            <w:sz w:val="24"/>
            <w:szCs w:val="24"/>
            <w:lang w:val="en-GB"/>
          </w:rPr>
          <w:t xml:space="preserve"> </w:t>
        </w:r>
      </w:hyperlink>
      <w:hyperlink r:id="rId14">
        <w:r w:rsidRPr="00C44332">
          <w:rPr>
            <w:rFonts w:ascii="Times New Roman" w:eastAsia="Times New Roman" w:hAnsi="Times New Roman" w:cs="Times New Roman"/>
            <w:color w:val="1155CC"/>
            <w:sz w:val="24"/>
            <w:szCs w:val="24"/>
            <w:highlight w:val="white"/>
            <w:u w:val="single"/>
            <w:lang w:val="en-GB"/>
          </w:rPr>
          <w:t>https://jabr.sbs.edu/vol8/SBS_JABR_Vol8_Art02.pdf</w:t>
        </w:r>
      </w:hyperlink>
    </w:p>
    <w:p w14:paraId="3614C13C" w14:textId="77777777" w:rsidR="00BE71E2" w:rsidRPr="00C44332" w:rsidRDefault="00BE71E2" w:rsidP="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44332">
        <w:rPr>
          <w:rFonts w:ascii="Times New Roman" w:eastAsia="Times New Roman" w:hAnsi="Times New Roman" w:cs="Times New Roman"/>
          <w:color w:val="222222"/>
          <w:sz w:val="24"/>
          <w:szCs w:val="24"/>
          <w:highlight w:val="white"/>
          <w:lang w:val="en-GB"/>
        </w:rPr>
        <w:t xml:space="preserve">Madura, J., 2020. </w:t>
      </w:r>
      <w:r w:rsidRPr="00C44332">
        <w:rPr>
          <w:rFonts w:ascii="Times New Roman" w:eastAsia="Times New Roman" w:hAnsi="Times New Roman" w:cs="Times New Roman"/>
          <w:sz w:val="24"/>
          <w:szCs w:val="24"/>
          <w:lang w:val="en-GB"/>
        </w:rPr>
        <w:t>International financial management. Cengage Learning.</w:t>
      </w:r>
      <w:hyperlink r:id="rId15">
        <w:r w:rsidRPr="00C44332">
          <w:rPr>
            <w:rFonts w:ascii="Times New Roman" w:eastAsia="Times New Roman" w:hAnsi="Times New Roman" w:cs="Times New Roman"/>
            <w:sz w:val="24"/>
            <w:szCs w:val="24"/>
            <w:lang w:val="en-GB"/>
          </w:rPr>
          <w:t xml:space="preserve"> </w:t>
        </w:r>
      </w:hyperlink>
      <w:hyperlink r:id="rId16">
        <w:r w:rsidRPr="00C44332">
          <w:rPr>
            <w:rFonts w:ascii="Times New Roman" w:eastAsia="Times New Roman" w:hAnsi="Times New Roman" w:cs="Times New Roman"/>
            <w:color w:val="1155CC"/>
            <w:sz w:val="24"/>
            <w:szCs w:val="24"/>
            <w:highlight w:val="white"/>
            <w:u w:val="single"/>
            <w:lang w:val="en-GB"/>
          </w:rPr>
          <w:t>https://books.google.com/books?hl=en&amp;lr=&amp;id=Z3TLDwAAQBAJ&amp;oi=fnd&amp;pg=PP1&amp;dq=International+Finance+Management&amp;ots=IEPVmotHTX&amp;sig=NgckuzQ24Oq85VlznnF4QRcvGe8</w:t>
        </w:r>
      </w:hyperlink>
    </w:p>
    <w:p w14:paraId="5545EC3E" w14:textId="77777777" w:rsidR="00BE71E2" w:rsidRPr="00C44332" w:rsidRDefault="00BE71E2" w:rsidP="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C44332">
        <w:rPr>
          <w:rFonts w:ascii="Times New Roman" w:eastAsia="Times New Roman" w:hAnsi="Times New Roman" w:cs="Times New Roman"/>
          <w:color w:val="222222"/>
          <w:sz w:val="24"/>
          <w:szCs w:val="24"/>
          <w:highlight w:val="white"/>
          <w:lang w:val="en-GB"/>
        </w:rPr>
        <w:t>Mandacı</w:t>
      </w:r>
      <w:proofErr w:type="spellEnd"/>
      <w:r w:rsidRPr="00C44332">
        <w:rPr>
          <w:rFonts w:ascii="Times New Roman" w:eastAsia="Times New Roman" w:hAnsi="Times New Roman" w:cs="Times New Roman"/>
          <w:color w:val="222222"/>
          <w:sz w:val="24"/>
          <w:szCs w:val="24"/>
          <w:highlight w:val="white"/>
          <w:lang w:val="en-GB"/>
        </w:rPr>
        <w:t xml:space="preserve">, P.E., </w:t>
      </w:r>
      <w:proofErr w:type="spellStart"/>
      <w:r w:rsidRPr="00C44332">
        <w:rPr>
          <w:rFonts w:ascii="Times New Roman" w:eastAsia="Times New Roman" w:hAnsi="Times New Roman" w:cs="Times New Roman"/>
          <w:color w:val="222222"/>
          <w:sz w:val="24"/>
          <w:szCs w:val="24"/>
          <w:highlight w:val="white"/>
          <w:lang w:val="en-GB"/>
        </w:rPr>
        <w:t>Taşkın</w:t>
      </w:r>
      <w:proofErr w:type="spellEnd"/>
      <w:r w:rsidRPr="00C44332">
        <w:rPr>
          <w:rFonts w:ascii="Times New Roman" w:eastAsia="Times New Roman" w:hAnsi="Times New Roman" w:cs="Times New Roman"/>
          <w:color w:val="222222"/>
          <w:sz w:val="24"/>
          <w:szCs w:val="24"/>
          <w:highlight w:val="white"/>
          <w:lang w:val="en-GB"/>
        </w:rPr>
        <w:t xml:space="preserve">, F.D. and </w:t>
      </w:r>
      <w:proofErr w:type="spellStart"/>
      <w:r w:rsidRPr="00C44332">
        <w:rPr>
          <w:rFonts w:ascii="Times New Roman" w:eastAsia="Times New Roman" w:hAnsi="Times New Roman" w:cs="Times New Roman"/>
          <w:color w:val="222222"/>
          <w:sz w:val="24"/>
          <w:szCs w:val="24"/>
          <w:highlight w:val="white"/>
          <w:lang w:val="en-GB"/>
        </w:rPr>
        <w:t>Ergün</w:t>
      </w:r>
      <w:proofErr w:type="spellEnd"/>
      <w:r w:rsidRPr="00C44332">
        <w:rPr>
          <w:rFonts w:ascii="Times New Roman" w:eastAsia="Times New Roman" w:hAnsi="Times New Roman" w:cs="Times New Roman"/>
          <w:color w:val="222222"/>
          <w:sz w:val="24"/>
          <w:szCs w:val="24"/>
          <w:highlight w:val="white"/>
          <w:lang w:val="en-GB"/>
        </w:rPr>
        <w:t xml:space="preserve">, Z.C., 2019. Adaptive market hypothesis. </w:t>
      </w:r>
      <w:r w:rsidRPr="00C44332">
        <w:rPr>
          <w:rFonts w:ascii="Times New Roman" w:eastAsia="Times New Roman" w:hAnsi="Times New Roman" w:cs="Times New Roman"/>
          <w:sz w:val="24"/>
          <w:szCs w:val="24"/>
          <w:lang w:val="en-GB"/>
        </w:rPr>
        <w:t>International Journal of Economics and Business Administration, 7(4), pp.84-101.</w:t>
      </w:r>
      <w:hyperlink r:id="rId17">
        <w:r w:rsidRPr="00C44332">
          <w:rPr>
            <w:rFonts w:ascii="Times New Roman" w:eastAsia="Times New Roman" w:hAnsi="Times New Roman" w:cs="Times New Roman"/>
            <w:sz w:val="24"/>
            <w:szCs w:val="24"/>
            <w:lang w:val="en-GB"/>
          </w:rPr>
          <w:t xml:space="preserve"> </w:t>
        </w:r>
      </w:hyperlink>
      <w:hyperlink r:id="rId18">
        <w:r w:rsidRPr="00C44332">
          <w:rPr>
            <w:rFonts w:ascii="Times New Roman" w:eastAsia="Times New Roman" w:hAnsi="Times New Roman" w:cs="Times New Roman"/>
            <w:color w:val="1155CC"/>
            <w:sz w:val="24"/>
            <w:szCs w:val="24"/>
            <w:highlight w:val="white"/>
            <w:u w:val="single"/>
            <w:lang w:val="en-GB"/>
          </w:rPr>
          <w:t>https://ijeba.com/journal/333/download/Adaptive+Market+Hypothesis.pdf</w:t>
        </w:r>
      </w:hyperlink>
    </w:p>
    <w:p w14:paraId="7684F15E" w14:textId="77777777" w:rsidR="00BE71E2" w:rsidRPr="00C44332" w:rsidRDefault="00BE71E2" w:rsidP="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C44332">
        <w:rPr>
          <w:rFonts w:ascii="Times New Roman" w:eastAsia="Times New Roman" w:hAnsi="Times New Roman" w:cs="Times New Roman"/>
          <w:color w:val="222222"/>
          <w:sz w:val="24"/>
          <w:szCs w:val="24"/>
          <w:highlight w:val="white"/>
          <w:lang w:val="en-GB"/>
        </w:rPr>
        <w:t>Paliienko</w:t>
      </w:r>
      <w:proofErr w:type="spellEnd"/>
      <w:r w:rsidRPr="00C44332">
        <w:rPr>
          <w:rFonts w:ascii="Times New Roman" w:eastAsia="Times New Roman" w:hAnsi="Times New Roman" w:cs="Times New Roman"/>
          <w:color w:val="222222"/>
          <w:sz w:val="24"/>
          <w:szCs w:val="24"/>
          <w:highlight w:val="white"/>
          <w:lang w:val="en-GB"/>
        </w:rPr>
        <w:t xml:space="preserve">, O., </w:t>
      </w:r>
      <w:proofErr w:type="spellStart"/>
      <w:r w:rsidRPr="00C44332">
        <w:rPr>
          <w:rFonts w:ascii="Times New Roman" w:eastAsia="Times New Roman" w:hAnsi="Times New Roman" w:cs="Times New Roman"/>
          <w:color w:val="222222"/>
          <w:sz w:val="24"/>
          <w:szCs w:val="24"/>
          <w:highlight w:val="white"/>
          <w:lang w:val="en-GB"/>
        </w:rPr>
        <w:t>Naumenkova</w:t>
      </w:r>
      <w:proofErr w:type="spellEnd"/>
      <w:r w:rsidRPr="00C44332">
        <w:rPr>
          <w:rFonts w:ascii="Times New Roman" w:eastAsia="Times New Roman" w:hAnsi="Times New Roman" w:cs="Times New Roman"/>
          <w:color w:val="222222"/>
          <w:sz w:val="24"/>
          <w:szCs w:val="24"/>
          <w:highlight w:val="white"/>
          <w:lang w:val="en-GB"/>
        </w:rPr>
        <w:t xml:space="preserve">, S. and </w:t>
      </w:r>
      <w:proofErr w:type="spellStart"/>
      <w:r w:rsidRPr="00C44332">
        <w:rPr>
          <w:rFonts w:ascii="Times New Roman" w:eastAsia="Times New Roman" w:hAnsi="Times New Roman" w:cs="Times New Roman"/>
          <w:color w:val="222222"/>
          <w:sz w:val="24"/>
          <w:szCs w:val="24"/>
          <w:highlight w:val="white"/>
          <w:lang w:val="en-GB"/>
        </w:rPr>
        <w:t>Mishchenko</w:t>
      </w:r>
      <w:proofErr w:type="spellEnd"/>
      <w:r w:rsidRPr="00C44332">
        <w:rPr>
          <w:rFonts w:ascii="Times New Roman" w:eastAsia="Times New Roman" w:hAnsi="Times New Roman" w:cs="Times New Roman"/>
          <w:color w:val="222222"/>
          <w:sz w:val="24"/>
          <w:szCs w:val="24"/>
          <w:highlight w:val="white"/>
          <w:lang w:val="en-GB"/>
        </w:rPr>
        <w:t xml:space="preserve">, S., 2020. An empirical investigation of the </w:t>
      </w:r>
      <w:proofErr w:type="spellStart"/>
      <w:r w:rsidRPr="00C44332">
        <w:rPr>
          <w:rFonts w:ascii="Times New Roman" w:eastAsia="Times New Roman" w:hAnsi="Times New Roman" w:cs="Times New Roman"/>
          <w:color w:val="222222"/>
          <w:sz w:val="24"/>
          <w:szCs w:val="24"/>
          <w:highlight w:val="white"/>
          <w:lang w:val="en-GB"/>
        </w:rPr>
        <w:t>Fama</w:t>
      </w:r>
      <w:proofErr w:type="spellEnd"/>
      <w:r w:rsidRPr="00C44332">
        <w:rPr>
          <w:rFonts w:ascii="Times New Roman" w:eastAsia="Times New Roman" w:hAnsi="Times New Roman" w:cs="Times New Roman"/>
          <w:color w:val="222222"/>
          <w:sz w:val="24"/>
          <w:szCs w:val="24"/>
          <w:highlight w:val="white"/>
          <w:lang w:val="en-GB"/>
        </w:rPr>
        <w:t xml:space="preserve">-French five-factor model. </w:t>
      </w:r>
      <w:r w:rsidRPr="00C44332">
        <w:rPr>
          <w:rFonts w:ascii="Times New Roman" w:eastAsia="Times New Roman" w:hAnsi="Times New Roman" w:cs="Times New Roman"/>
          <w:sz w:val="24"/>
          <w:szCs w:val="24"/>
          <w:lang w:val="en-GB"/>
        </w:rPr>
        <w:t>Investment Management and Financial Innovations, 17(1), pp.143-155.</w:t>
      </w:r>
      <w:hyperlink r:id="rId19">
        <w:r w:rsidRPr="00C44332">
          <w:rPr>
            <w:rFonts w:ascii="Times New Roman" w:eastAsia="Times New Roman" w:hAnsi="Times New Roman" w:cs="Times New Roman"/>
            <w:sz w:val="24"/>
            <w:szCs w:val="24"/>
            <w:lang w:val="en-GB"/>
          </w:rPr>
          <w:t xml:space="preserve"> </w:t>
        </w:r>
      </w:hyperlink>
      <w:hyperlink r:id="rId20">
        <w:r w:rsidRPr="00C44332">
          <w:rPr>
            <w:rFonts w:ascii="Times New Roman" w:eastAsia="Times New Roman" w:hAnsi="Times New Roman" w:cs="Times New Roman"/>
            <w:color w:val="1155CC"/>
            <w:sz w:val="24"/>
            <w:szCs w:val="24"/>
            <w:highlight w:val="white"/>
            <w:u w:val="single"/>
            <w:lang w:val="en-GB"/>
          </w:rPr>
          <w:t>https://www.businessperspectives.org/images/pdf/applications/publishing/templates/article/assets/13210/IMFI_2020_01_Paliienko.pdf</w:t>
        </w:r>
      </w:hyperlink>
    </w:p>
    <w:p w14:paraId="652CA419" w14:textId="77777777" w:rsidR="00BE71E2" w:rsidRPr="00C44332" w:rsidRDefault="00BE71E2" w:rsidP="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44332">
        <w:rPr>
          <w:rFonts w:ascii="Times New Roman" w:eastAsia="Times New Roman" w:hAnsi="Times New Roman" w:cs="Times New Roman"/>
          <w:color w:val="222222"/>
          <w:sz w:val="24"/>
          <w:szCs w:val="24"/>
          <w:highlight w:val="white"/>
          <w:lang w:val="en-GB"/>
        </w:rPr>
        <w:t xml:space="preserve">Robinson, T.R., 2020. </w:t>
      </w:r>
      <w:r w:rsidRPr="00C44332">
        <w:rPr>
          <w:rFonts w:ascii="Times New Roman" w:eastAsia="Times New Roman" w:hAnsi="Times New Roman" w:cs="Times New Roman"/>
          <w:sz w:val="24"/>
          <w:szCs w:val="24"/>
          <w:lang w:val="en-GB"/>
        </w:rPr>
        <w:t>International financial statement analysis. John Wiley &amp; Sons.</w:t>
      </w:r>
      <w:hyperlink r:id="rId21">
        <w:r w:rsidRPr="00C44332">
          <w:rPr>
            <w:rFonts w:ascii="Times New Roman" w:eastAsia="Times New Roman" w:hAnsi="Times New Roman" w:cs="Times New Roman"/>
            <w:sz w:val="24"/>
            <w:szCs w:val="24"/>
            <w:lang w:val="en-GB"/>
          </w:rPr>
          <w:t xml:space="preserve"> </w:t>
        </w:r>
      </w:hyperlink>
      <w:hyperlink r:id="rId22">
        <w:r w:rsidRPr="00C44332">
          <w:rPr>
            <w:rFonts w:ascii="Times New Roman" w:eastAsia="Times New Roman" w:hAnsi="Times New Roman" w:cs="Times New Roman"/>
            <w:color w:val="1155CC"/>
            <w:sz w:val="24"/>
            <w:szCs w:val="24"/>
            <w:highlight w:val="white"/>
            <w:u w:val="single"/>
            <w:lang w:val="en-GB"/>
          </w:rPr>
          <w:t>https://books.google.com/books?hl=en&amp;lr=&amp;id=Q7nEDwAAQBAJ&amp;oi=fnd&amp;pg=PR15&amp;dq=International+Finance+Management&amp;ots=iEKS1QiI9i&amp;sig=VyUlW-YcKtYrQG3a7IhpmGdRFRA</w:t>
        </w:r>
      </w:hyperlink>
    </w:p>
    <w:p w14:paraId="7CA04425" w14:textId="77777777" w:rsidR="00BE71E2" w:rsidRPr="00C44332" w:rsidRDefault="00BE71E2" w:rsidP="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44332">
        <w:rPr>
          <w:rFonts w:ascii="Times New Roman" w:eastAsia="Times New Roman" w:hAnsi="Times New Roman" w:cs="Times New Roman"/>
          <w:color w:val="222222"/>
          <w:sz w:val="24"/>
          <w:szCs w:val="24"/>
          <w:highlight w:val="white"/>
          <w:lang w:val="en-GB"/>
        </w:rPr>
        <w:t xml:space="preserve">Shapiro, A.C. and </w:t>
      </w:r>
      <w:proofErr w:type="spellStart"/>
      <w:r w:rsidRPr="00C44332">
        <w:rPr>
          <w:rFonts w:ascii="Times New Roman" w:eastAsia="Times New Roman" w:hAnsi="Times New Roman" w:cs="Times New Roman"/>
          <w:color w:val="222222"/>
          <w:sz w:val="24"/>
          <w:szCs w:val="24"/>
          <w:highlight w:val="white"/>
          <w:lang w:val="en-GB"/>
        </w:rPr>
        <w:t>Hanouna</w:t>
      </w:r>
      <w:proofErr w:type="spellEnd"/>
      <w:r w:rsidRPr="00C44332">
        <w:rPr>
          <w:rFonts w:ascii="Times New Roman" w:eastAsia="Times New Roman" w:hAnsi="Times New Roman" w:cs="Times New Roman"/>
          <w:color w:val="222222"/>
          <w:sz w:val="24"/>
          <w:szCs w:val="24"/>
          <w:highlight w:val="white"/>
          <w:lang w:val="en-GB"/>
        </w:rPr>
        <w:t xml:space="preserve">, P., 2019. </w:t>
      </w:r>
      <w:r w:rsidRPr="00C44332">
        <w:rPr>
          <w:rFonts w:ascii="Times New Roman" w:eastAsia="Times New Roman" w:hAnsi="Times New Roman" w:cs="Times New Roman"/>
          <w:sz w:val="24"/>
          <w:szCs w:val="24"/>
          <w:lang w:val="en-GB"/>
        </w:rPr>
        <w:t>Multinational financial management. John Wiley &amp; Sons.</w:t>
      </w:r>
      <w:hyperlink r:id="rId23">
        <w:r w:rsidRPr="00C44332">
          <w:rPr>
            <w:rFonts w:ascii="Times New Roman" w:eastAsia="Times New Roman" w:hAnsi="Times New Roman" w:cs="Times New Roman"/>
            <w:sz w:val="24"/>
            <w:szCs w:val="24"/>
            <w:lang w:val="en-GB"/>
          </w:rPr>
          <w:t xml:space="preserve"> </w:t>
        </w:r>
      </w:hyperlink>
      <w:hyperlink r:id="rId24">
        <w:r w:rsidRPr="00C44332">
          <w:rPr>
            <w:rFonts w:ascii="Times New Roman" w:eastAsia="Times New Roman" w:hAnsi="Times New Roman" w:cs="Times New Roman"/>
            <w:color w:val="1155CC"/>
            <w:sz w:val="24"/>
            <w:szCs w:val="24"/>
            <w:highlight w:val="white"/>
            <w:u w:val="single"/>
            <w:lang w:val="en-GB"/>
          </w:rPr>
          <w:t>https://books.google.com/books?hl=en&amp;lr=&amp;id=gDLDDwAAQBAJ&amp;oi=fnd&amp;pg=PR19&amp;dq=International+Finance+Management+importance&amp;ots=hfK-rxJsCt&amp;sig=NKQcT78CIXFS8X2M2GJtrj5av_I</w:t>
        </w:r>
      </w:hyperlink>
    </w:p>
    <w:p w14:paraId="2B634351" w14:textId="77777777" w:rsidR="00BE71E2" w:rsidRPr="00C44332" w:rsidRDefault="00BE71E2" w:rsidP="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C44332">
        <w:rPr>
          <w:rFonts w:ascii="Times New Roman" w:eastAsia="Times New Roman" w:hAnsi="Times New Roman" w:cs="Times New Roman"/>
          <w:color w:val="222222"/>
          <w:sz w:val="24"/>
          <w:szCs w:val="24"/>
          <w:highlight w:val="white"/>
          <w:lang w:val="en-GB"/>
        </w:rPr>
        <w:t>Speranda</w:t>
      </w:r>
      <w:proofErr w:type="spellEnd"/>
      <w:r w:rsidRPr="00C44332">
        <w:rPr>
          <w:rFonts w:ascii="Times New Roman" w:eastAsia="Times New Roman" w:hAnsi="Times New Roman" w:cs="Times New Roman"/>
          <w:color w:val="222222"/>
          <w:sz w:val="24"/>
          <w:szCs w:val="24"/>
          <w:highlight w:val="white"/>
          <w:lang w:val="en-GB"/>
        </w:rPr>
        <w:t xml:space="preserve">, I.V.O. and </w:t>
      </w:r>
      <w:proofErr w:type="spellStart"/>
      <w:r w:rsidRPr="00C44332">
        <w:rPr>
          <w:rFonts w:ascii="Times New Roman" w:eastAsia="Times New Roman" w:hAnsi="Times New Roman" w:cs="Times New Roman"/>
          <w:color w:val="222222"/>
          <w:sz w:val="24"/>
          <w:szCs w:val="24"/>
          <w:highlight w:val="white"/>
          <w:lang w:val="en-GB"/>
        </w:rPr>
        <w:t>Speranda</w:t>
      </w:r>
      <w:proofErr w:type="spellEnd"/>
      <w:r w:rsidRPr="00C44332">
        <w:rPr>
          <w:rFonts w:ascii="Times New Roman" w:eastAsia="Times New Roman" w:hAnsi="Times New Roman" w:cs="Times New Roman"/>
          <w:color w:val="222222"/>
          <w:sz w:val="24"/>
          <w:szCs w:val="24"/>
          <w:highlight w:val="white"/>
          <w:lang w:val="en-GB"/>
        </w:rPr>
        <w:t xml:space="preserve">, Z., 2019. The comprehensive method of solving the multiple internal rate of return problem. </w:t>
      </w:r>
      <w:r w:rsidRPr="00C44332">
        <w:rPr>
          <w:rFonts w:ascii="Times New Roman" w:eastAsia="Times New Roman" w:hAnsi="Times New Roman" w:cs="Times New Roman"/>
          <w:sz w:val="24"/>
          <w:szCs w:val="24"/>
          <w:lang w:val="en-GB"/>
        </w:rPr>
        <w:t>Montenegrin Journal of Economics, 15(1), pp.73-86.</w:t>
      </w:r>
      <w:hyperlink r:id="rId25">
        <w:r w:rsidRPr="00C44332">
          <w:rPr>
            <w:rFonts w:ascii="Times New Roman" w:eastAsia="Times New Roman" w:hAnsi="Times New Roman" w:cs="Times New Roman"/>
            <w:sz w:val="24"/>
            <w:szCs w:val="24"/>
            <w:lang w:val="en-GB"/>
          </w:rPr>
          <w:t xml:space="preserve"> </w:t>
        </w:r>
      </w:hyperlink>
      <w:hyperlink r:id="rId26">
        <w:r w:rsidRPr="00C44332">
          <w:rPr>
            <w:rFonts w:ascii="Times New Roman" w:eastAsia="Times New Roman" w:hAnsi="Times New Roman" w:cs="Times New Roman"/>
            <w:color w:val="1155CC"/>
            <w:sz w:val="24"/>
            <w:szCs w:val="24"/>
            <w:highlight w:val="white"/>
            <w:u w:val="single"/>
            <w:lang w:val="en-GB"/>
          </w:rPr>
          <w:t>https://mnje.com/sites/mnje.com/files/073-086_-_sprenada_-and_sprenada.pdf</w:t>
        </w:r>
      </w:hyperlink>
    </w:p>
    <w:p w14:paraId="1A1A4847" w14:textId="77777777" w:rsidR="00BE71E2" w:rsidRPr="00BE71E2" w:rsidRDefault="00BE71E2" w:rsidP="00BE71E2">
      <w:pPr>
        <w:pStyle w:val="NormalWeb"/>
        <w:spacing w:line="360" w:lineRule="auto"/>
        <w:jc w:val="both"/>
        <w:rPr>
          <w:color w:val="FF0000"/>
        </w:rPr>
      </w:pPr>
      <w:r w:rsidRPr="00BE71E2">
        <w:rPr>
          <w:color w:val="FF0000"/>
        </w:rPr>
        <w:t>wallstreetmojo.com</w:t>
      </w:r>
      <w:r w:rsidRPr="00BE71E2">
        <w:rPr>
          <w:i/>
          <w:iCs/>
          <w:color w:val="FF0000"/>
        </w:rPr>
        <w:t xml:space="preserve">, </w:t>
      </w:r>
      <w:r w:rsidRPr="00BE71E2">
        <w:rPr>
          <w:iCs/>
          <w:color w:val="FF0000"/>
        </w:rPr>
        <w:t>2022</w:t>
      </w:r>
      <w:r w:rsidRPr="00BE71E2">
        <w:rPr>
          <w:i/>
          <w:iCs/>
          <w:color w:val="FF0000"/>
        </w:rPr>
        <w:t>. Efficient market hypothesis - what is it, assumptions, forms</w:t>
      </w:r>
      <w:r w:rsidRPr="00BE71E2">
        <w:rPr>
          <w:color w:val="FF0000"/>
        </w:rPr>
        <w:t xml:space="preserve">. Available at: https://www.wallstreetmojo.com/efficient-market-hypothesis/ (Accessed: 15 November 2023). </w:t>
      </w:r>
    </w:p>
    <w:p w14:paraId="7D539B10" w14:textId="77777777" w:rsidR="00BE71E2" w:rsidRDefault="00BE71E2" w:rsidP="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44332">
        <w:rPr>
          <w:rFonts w:ascii="Times New Roman" w:eastAsia="Times New Roman" w:hAnsi="Times New Roman" w:cs="Times New Roman"/>
          <w:color w:val="222222"/>
          <w:sz w:val="24"/>
          <w:szCs w:val="24"/>
          <w:highlight w:val="white"/>
          <w:lang w:val="en-GB"/>
        </w:rPr>
        <w:t>Wright, A.J., 2021. The rise of decentralized autonomous organizations: Opportunities and challenges.</w:t>
      </w:r>
      <w:hyperlink r:id="rId27">
        <w:r w:rsidRPr="00C44332">
          <w:rPr>
            <w:rFonts w:ascii="Times New Roman" w:eastAsia="Times New Roman" w:hAnsi="Times New Roman" w:cs="Times New Roman"/>
            <w:sz w:val="24"/>
            <w:szCs w:val="24"/>
            <w:lang w:val="en-GB"/>
          </w:rPr>
          <w:t xml:space="preserve"> </w:t>
        </w:r>
      </w:hyperlink>
      <w:hyperlink r:id="rId28">
        <w:r w:rsidRPr="00C44332">
          <w:rPr>
            <w:rFonts w:ascii="Times New Roman" w:eastAsia="Times New Roman" w:hAnsi="Times New Roman" w:cs="Times New Roman"/>
            <w:color w:val="1155CC"/>
            <w:sz w:val="24"/>
            <w:szCs w:val="24"/>
            <w:highlight w:val="white"/>
            <w:u w:val="single"/>
            <w:lang w:val="en-GB"/>
          </w:rPr>
          <w:t>https://assets.pubpub.org/aakel7dc/31625249313227.pdf</w:t>
        </w:r>
      </w:hyperlink>
    </w:p>
    <w:p w14:paraId="6AAC1435" w14:textId="77777777" w:rsidR="00BE71E2" w:rsidRPr="00C44332" w:rsidRDefault="00BE71E2">
      <w:pPr>
        <w:spacing w:before="240" w:after="240" w:line="360" w:lineRule="auto"/>
        <w:jc w:val="both"/>
        <w:rPr>
          <w:rFonts w:ascii="Times New Roman" w:eastAsia="Times New Roman" w:hAnsi="Times New Roman" w:cs="Times New Roman"/>
          <w:color w:val="1155CC"/>
          <w:sz w:val="24"/>
          <w:szCs w:val="24"/>
          <w:highlight w:val="white"/>
          <w:u w:val="single"/>
          <w:lang w:val="en-GB"/>
        </w:rPr>
      </w:pPr>
    </w:p>
    <w:sectPr w:rsidR="00BE71E2" w:rsidRPr="00C44332">
      <w:headerReference w:type="default" r:id="rId29"/>
      <w:footerReference w:type="default" r:id="rId3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0EA1DB" w14:textId="77777777" w:rsidR="000C6456" w:rsidRDefault="000C6456" w:rsidP="00C44332">
      <w:pPr>
        <w:spacing w:line="240" w:lineRule="auto"/>
      </w:pPr>
      <w:r>
        <w:separator/>
      </w:r>
    </w:p>
  </w:endnote>
  <w:endnote w:type="continuationSeparator" w:id="0">
    <w:p w14:paraId="303DF070" w14:textId="77777777" w:rsidR="000C6456" w:rsidRDefault="000C6456" w:rsidP="00C443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13991"/>
      <w:docPartObj>
        <w:docPartGallery w:val="Page Numbers (Bottom of Page)"/>
        <w:docPartUnique/>
      </w:docPartObj>
    </w:sdtPr>
    <w:sdtEndPr>
      <w:rPr>
        <w:rFonts w:ascii="Times New Roman" w:hAnsi="Times New Roman" w:cs="Times New Roman"/>
        <w:noProof/>
        <w:sz w:val="24"/>
        <w:szCs w:val="24"/>
      </w:rPr>
    </w:sdtEndPr>
    <w:sdtContent>
      <w:p w14:paraId="6B5AD2B3" w14:textId="623BEB99" w:rsidR="00C44332" w:rsidRPr="00C44332" w:rsidRDefault="00C44332">
        <w:pPr>
          <w:pStyle w:val="Footer"/>
          <w:jc w:val="right"/>
          <w:rPr>
            <w:rFonts w:ascii="Times New Roman" w:hAnsi="Times New Roman" w:cs="Times New Roman"/>
            <w:sz w:val="24"/>
            <w:szCs w:val="24"/>
          </w:rPr>
        </w:pPr>
        <w:r w:rsidRPr="00C44332">
          <w:rPr>
            <w:rFonts w:ascii="Times New Roman" w:hAnsi="Times New Roman" w:cs="Times New Roman"/>
            <w:sz w:val="24"/>
            <w:szCs w:val="24"/>
          </w:rPr>
          <w:fldChar w:fldCharType="begin"/>
        </w:r>
        <w:r w:rsidRPr="00C44332">
          <w:rPr>
            <w:rFonts w:ascii="Times New Roman" w:hAnsi="Times New Roman" w:cs="Times New Roman"/>
            <w:sz w:val="24"/>
            <w:szCs w:val="24"/>
          </w:rPr>
          <w:instrText xml:space="preserve"> PAGE   \* MERGEFORMAT </w:instrText>
        </w:r>
        <w:r w:rsidRPr="00C44332">
          <w:rPr>
            <w:rFonts w:ascii="Times New Roman" w:hAnsi="Times New Roman" w:cs="Times New Roman"/>
            <w:sz w:val="24"/>
            <w:szCs w:val="24"/>
          </w:rPr>
          <w:fldChar w:fldCharType="separate"/>
        </w:r>
        <w:r w:rsidR="00BE71E2">
          <w:rPr>
            <w:rFonts w:ascii="Times New Roman" w:hAnsi="Times New Roman" w:cs="Times New Roman"/>
            <w:noProof/>
            <w:sz w:val="24"/>
            <w:szCs w:val="24"/>
          </w:rPr>
          <w:t>9</w:t>
        </w:r>
        <w:r w:rsidRPr="00C44332">
          <w:rPr>
            <w:rFonts w:ascii="Times New Roman" w:hAnsi="Times New Roman" w:cs="Times New Roman"/>
            <w:noProof/>
            <w:sz w:val="24"/>
            <w:szCs w:val="24"/>
          </w:rPr>
          <w:fldChar w:fldCharType="end"/>
        </w:r>
      </w:p>
    </w:sdtContent>
  </w:sdt>
  <w:p w14:paraId="0B0DFF2F" w14:textId="77777777" w:rsidR="00C44332" w:rsidRDefault="00C44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B6083A" w14:textId="77777777" w:rsidR="000C6456" w:rsidRDefault="000C6456" w:rsidP="00C44332">
      <w:pPr>
        <w:spacing w:line="240" w:lineRule="auto"/>
      </w:pPr>
      <w:r>
        <w:separator/>
      </w:r>
    </w:p>
  </w:footnote>
  <w:footnote w:type="continuationSeparator" w:id="0">
    <w:p w14:paraId="62576244" w14:textId="77777777" w:rsidR="000C6456" w:rsidRDefault="000C6456" w:rsidP="00C443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7A9FD2" w14:textId="6A4CD30E" w:rsidR="00DF6E28" w:rsidRPr="00DF6E28" w:rsidRDefault="00DF6E28" w:rsidP="00DF6E28">
    <w:pPr>
      <w:pStyle w:val="Header"/>
      <w:jc w:val="right"/>
      <w:rPr>
        <w:lang w:val="en-GB"/>
      </w:rPr>
    </w:pPr>
    <w:r>
      <w:rPr>
        <w:lang w:val="en-GB"/>
      </w:rPr>
      <w:t>Student ID:1921883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6BCA"/>
    <w:rsid w:val="00003159"/>
    <w:rsid w:val="000C6456"/>
    <w:rsid w:val="003A360C"/>
    <w:rsid w:val="008440F1"/>
    <w:rsid w:val="008C7D3D"/>
    <w:rsid w:val="009C3A7A"/>
    <w:rsid w:val="00AC418A"/>
    <w:rsid w:val="00BB3403"/>
    <w:rsid w:val="00BE71E2"/>
    <w:rsid w:val="00C26BCA"/>
    <w:rsid w:val="00C44332"/>
    <w:rsid w:val="00DF6E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4A84B"/>
  <w15:docId w15:val="{11098D72-3F98-49D1-B901-B675163D1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rsid w:val="009C3A7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A360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360C"/>
    <w:rPr>
      <w:rFonts w:ascii="Segoe UI" w:hAnsi="Segoe UI" w:cs="Segoe UI"/>
      <w:sz w:val="18"/>
      <w:szCs w:val="18"/>
    </w:rPr>
  </w:style>
  <w:style w:type="paragraph" w:styleId="Header">
    <w:name w:val="header"/>
    <w:basedOn w:val="Normal"/>
    <w:link w:val="HeaderChar"/>
    <w:uiPriority w:val="99"/>
    <w:unhideWhenUsed/>
    <w:rsid w:val="00C44332"/>
    <w:pPr>
      <w:tabs>
        <w:tab w:val="center" w:pos="4513"/>
        <w:tab w:val="right" w:pos="9026"/>
      </w:tabs>
      <w:spacing w:line="240" w:lineRule="auto"/>
    </w:pPr>
  </w:style>
  <w:style w:type="character" w:customStyle="1" w:styleId="HeaderChar">
    <w:name w:val="Header Char"/>
    <w:basedOn w:val="DefaultParagraphFont"/>
    <w:link w:val="Header"/>
    <w:uiPriority w:val="99"/>
    <w:rsid w:val="00C44332"/>
  </w:style>
  <w:style w:type="paragraph" w:styleId="Footer">
    <w:name w:val="footer"/>
    <w:basedOn w:val="Normal"/>
    <w:link w:val="FooterChar"/>
    <w:uiPriority w:val="99"/>
    <w:unhideWhenUsed/>
    <w:rsid w:val="00C44332"/>
    <w:pPr>
      <w:tabs>
        <w:tab w:val="center" w:pos="4513"/>
        <w:tab w:val="right" w:pos="9026"/>
      </w:tabs>
      <w:spacing w:line="240" w:lineRule="auto"/>
    </w:pPr>
  </w:style>
  <w:style w:type="character" w:customStyle="1" w:styleId="FooterChar">
    <w:name w:val="Footer Char"/>
    <w:basedOn w:val="DefaultParagraphFont"/>
    <w:link w:val="Footer"/>
    <w:uiPriority w:val="99"/>
    <w:rsid w:val="00C44332"/>
  </w:style>
  <w:style w:type="paragraph" w:styleId="TOCHeading">
    <w:name w:val="TOC Heading"/>
    <w:basedOn w:val="Heading1"/>
    <w:next w:val="Normal"/>
    <w:uiPriority w:val="39"/>
    <w:unhideWhenUsed/>
    <w:qFormat/>
    <w:rsid w:val="009C3A7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C3A7A"/>
    <w:pPr>
      <w:spacing w:after="100"/>
    </w:pPr>
  </w:style>
  <w:style w:type="character" w:styleId="Hyperlink">
    <w:name w:val="Hyperlink"/>
    <w:basedOn w:val="DefaultParagraphFont"/>
    <w:uiPriority w:val="99"/>
    <w:unhideWhenUsed/>
    <w:rsid w:val="009C3A7A"/>
    <w:rPr>
      <w:color w:val="0000FF" w:themeColor="hyperlink"/>
      <w:u w:val="single"/>
    </w:rPr>
  </w:style>
  <w:style w:type="paragraph" w:styleId="NormalWeb">
    <w:name w:val="Normal (Web)"/>
    <w:basedOn w:val="Normal"/>
    <w:uiPriority w:val="99"/>
    <w:semiHidden/>
    <w:unhideWhenUsed/>
    <w:rsid w:val="00BE71E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6112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jabr.sbs.edu/vol8/SBS_JABR_Vol8_Art02.pdf" TargetMode="External"/><Relationship Id="rId18" Type="http://schemas.openxmlformats.org/officeDocument/2006/relationships/hyperlink" Target="https://ijeba.com/journal/333/download/Adaptive+Market+Hypothesis.pdf" TargetMode="External"/><Relationship Id="rId26" Type="http://schemas.openxmlformats.org/officeDocument/2006/relationships/hyperlink" Target="https://mnje.com/sites/mnje.com/files/073-086_-_sprenada_-and_sprenada.pdf" TargetMode="External"/><Relationship Id="rId3" Type="http://schemas.openxmlformats.org/officeDocument/2006/relationships/settings" Target="settings.xml"/><Relationship Id="rId21" Type="http://schemas.openxmlformats.org/officeDocument/2006/relationships/hyperlink" Target="https://books.google.com/books?hl=en&amp;lr=&amp;id=Q7nEDwAAQBAJ&amp;oi=fnd&amp;pg=PR15&amp;dq=International+Finance+Management&amp;ots=iEKS1QiI9i&amp;sig=VyUlW-YcKtYrQG3a7IhpmGdRFRA" TargetMode="External"/><Relationship Id="rId7" Type="http://schemas.openxmlformats.org/officeDocument/2006/relationships/image" Target="media/image1.png"/><Relationship Id="rId12" Type="http://schemas.openxmlformats.org/officeDocument/2006/relationships/hyperlink" Target="https://www.researchgate.net/profile/Raed-Kanakriyah/publication/344485265_Dividend_Policy_and_Companies'_Financial_Performance/links/5f7bd713a6fdccfd7b4a743a/Dividend-Policy-and-Companies-Financial-Performance.pdf" TargetMode="External"/><Relationship Id="rId17" Type="http://schemas.openxmlformats.org/officeDocument/2006/relationships/hyperlink" Target="https://ijeba.com/journal/333/download/Adaptive+Market+Hypothesis.pdf" TargetMode="External"/><Relationship Id="rId25" Type="http://schemas.openxmlformats.org/officeDocument/2006/relationships/hyperlink" Target="https://mnje.com/sites/mnje.com/files/073-086_-_sprenada_-and_sprenada.pdf" TargetMode="External"/><Relationship Id="rId2" Type="http://schemas.openxmlformats.org/officeDocument/2006/relationships/styles" Target="styles.xml"/><Relationship Id="rId16" Type="http://schemas.openxmlformats.org/officeDocument/2006/relationships/hyperlink" Target="https://books.google.com/books?hl=en&amp;lr=&amp;id=Z3TLDwAAQBAJ&amp;oi=fnd&amp;pg=PP1&amp;dq=International+Finance+Management&amp;ots=IEPVmotHTX&amp;sig=NgckuzQ24Oq85VlznnF4QRcvGe8" TargetMode="External"/><Relationship Id="rId20" Type="http://schemas.openxmlformats.org/officeDocument/2006/relationships/hyperlink" Target="https://www.businessperspectives.org/images/pdf/applications/publishing/templates/article/assets/13210/IMFI_2020_01_Paliienko.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Raed-Kanakriyah/publication/344485265_Dividend_Policy_and_Companies'_Financial_Performance/links/5f7bd713a6fdccfd7b4a743a/Dividend-Policy-and-Companies-Financial-Performance.pdf" TargetMode="External"/><Relationship Id="rId24" Type="http://schemas.openxmlformats.org/officeDocument/2006/relationships/hyperlink" Target="https://books.google.com/books?hl=en&amp;lr=&amp;id=gDLDDwAAQBAJ&amp;oi=fnd&amp;pg=PR19&amp;dq=International+Finance+Management+importance&amp;ots=hfK-rxJsCt&amp;sig=NKQcT78CIXFS8X2M2GJtrj5av_I"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ooks.google.com/books?hl=en&amp;lr=&amp;id=Z3TLDwAAQBAJ&amp;oi=fnd&amp;pg=PP1&amp;dq=International+Finance+Management&amp;ots=IEPVmotHTX&amp;sig=NgckuzQ24Oq85VlznnF4QRcvGe8" TargetMode="External"/><Relationship Id="rId23" Type="http://schemas.openxmlformats.org/officeDocument/2006/relationships/hyperlink" Target="https://books.google.com/books?hl=en&amp;lr=&amp;id=gDLDDwAAQBAJ&amp;oi=fnd&amp;pg=PR19&amp;dq=International+Finance+Management+importance&amp;ots=hfK-rxJsCt&amp;sig=NKQcT78CIXFS8X2M2GJtrj5av_I" TargetMode="External"/><Relationship Id="rId28" Type="http://schemas.openxmlformats.org/officeDocument/2006/relationships/hyperlink" Target="https://assets.pubpub.org/aakel7dc/31625249313227.pdf" TargetMode="External"/><Relationship Id="rId10" Type="http://schemas.openxmlformats.org/officeDocument/2006/relationships/hyperlink" Target="https://www.inderscienceonline.com/doi/abs/10.1504/IJEPEE.2023.132536" TargetMode="External"/><Relationship Id="rId19" Type="http://schemas.openxmlformats.org/officeDocument/2006/relationships/hyperlink" Target="https://www.businessperspectives.org/images/pdf/applications/publishing/templates/article/assets/13210/IMFI_2020_01_Paliienko.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derscienceonline.com/doi/abs/10.1504/IJEPEE.2023.132536" TargetMode="External"/><Relationship Id="rId14" Type="http://schemas.openxmlformats.org/officeDocument/2006/relationships/hyperlink" Target="https://jabr.sbs.edu/vol8/SBS_JABR_Vol8_Art02.pdf" TargetMode="External"/><Relationship Id="rId22" Type="http://schemas.openxmlformats.org/officeDocument/2006/relationships/hyperlink" Target="https://books.google.com/books?hl=en&amp;lr=&amp;id=Q7nEDwAAQBAJ&amp;oi=fnd&amp;pg=PR15&amp;dq=International+Finance+Management&amp;ots=iEKS1QiI9i&amp;sig=VyUlW-YcKtYrQG3a7IhpmGdRFRA" TargetMode="External"/><Relationship Id="rId27" Type="http://schemas.openxmlformats.org/officeDocument/2006/relationships/hyperlink" Target="https://assets.pubpub.org/aakel7dc/31625249313227.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AC75B4-C790-6D44-8DD0-1383519FA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2673</Words>
  <Characters>15239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Raluca Narcisa</cp:lastModifiedBy>
  <cp:revision>4</cp:revision>
  <dcterms:created xsi:type="dcterms:W3CDTF">2023-11-15T12:19:00Z</dcterms:created>
  <dcterms:modified xsi:type="dcterms:W3CDTF">2023-12-19T11:16:00Z</dcterms:modified>
</cp:coreProperties>
</file>