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25563" w14:textId="77777777" w:rsidR="002627AD" w:rsidRDefault="002627AD">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bookmarkStart w:id="0" w:name="_heading=h.69x0x6gfavnl" w:colFirst="0" w:colLast="0"/>
      <w:bookmarkEnd w:id="0"/>
    </w:p>
    <w:p w14:paraId="57E276BA" w14:textId="77777777" w:rsidR="002627AD" w:rsidRDefault="002627AD">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25F1AD84" w14:textId="77777777" w:rsidR="002627AD" w:rsidRDefault="002627AD">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439A62AA"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BA (HONS) LEADERSHIP AND MANAGEMENT SKILLS FOR THE WORKPLACE</w:t>
      </w:r>
    </w:p>
    <w:p w14:paraId="14C7F910" w14:textId="77777777" w:rsidR="002627AD" w:rsidRDefault="002627AD">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56AAA477"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UNDERSTANDING AND ENGAGING STAKEHOLDERS</w:t>
      </w:r>
    </w:p>
    <w:p w14:paraId="6B745846"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LCLM5001 </w:t>
      </w:r>
    </w:p>
    <w:p w14:paraId="696B569C" w14:textId="77777777" w:rsidR="002627AD" w:rsidRDefault="002627AD">
      <w:pPr>
        <w:pBdr>
          <w:top w:val="nil"/>
          <w:left w:val="nil"/>
          <w:bottom w:val="nil"/>
          <w:right w:val="nil"/>
          <w:between w:val="nil"/>
        </w:pBdr>
        <w:spacing w:line="360" w:lineRule="auto"/>
        <w:rPr>
          <w:rFonts w:ascii="Times New Roman" w:eastAsia="Times New Roman" w:hAnsi="Times New Roman" w:cs="Times New Roman"/>
          <w:b/>
          <w:color w:val="000000"/>
          <w:sz w:val="32"/>
          <w:szCs w:val="32"/>
        </w:rPr>
      </w:pPr>
    </w:p>
    <w:p w14:paraId="55E68F23"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ASSIGNMENT TITLE: UNDERSTANDING THE IMPORTANCE OF STAKEHOLDER ENGAGEMENT IN THE SUCCESSFUL COMMENCEMENT AND COMPLETION OF VODAFONE’S WEARABLE HEALTH DEVICE PROJECT</w:t>
      </w:r>
    </w:p>
    <w:p w14:paraId="090E2435" w14:textId="77777777" w:rsidR="002627AD" w:rsidRDefault="002627AD">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7E8FCDB5"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STUDENT NAME: </w:t>
      </w:r>
      <w:proofErr w:type="spellStart"/>
      <w:r>
        <w:rPr>
          <w:rFonts w:ascii="Times New Roman" w:eastAsia="Times New Roman" w:hAnsi="Times New Roman" w:cs="Times New Roman"/>
          <w:b/>
          <w:color w:val="000000"/>
          <w:sz w:val="32"/>
          <w:szCs w:val="32"/>
        </w:rPr>
        <w:t>Nicoleta</w:t>
      </w:r>
      <w:proofErr w:type="spellEnd"/>
      <w:r>
        <w:rPr>
          <w:rFonts w:ascii="Times New Roman" w:eastAsia="Times New Roman" w:hAnsi="Times New Roman" w:cs="Times New Roman"/>
          <w:b/>
          <w:color w:val="000000"/>
          <w:sz w:val="32"/>
          <w:szCs w:val="32"/>
        </w:rPr>
        <w:t xml:space="preserve"> </w:t>
      </w:r>
      <w:proofErr w:type="spellStart"/>
      <w:r>
        <w:rPr>
          <w:rFonts w:ascii="Times New Roman" w:eastAsia="Times New Roman" w:hAnsi="Times New Roman" w:cs="Times New Roman"/>
          <w:b/>
          <w:color w:val="000000"/>
          <w:sz w:val="32"/>
          <w:szCs w:val="32"/>
        </w:rPr>
        <w:t>Busu</w:t>
      </w:r>
      <w:proofErr w:type="spellEnd"/>
    </w:p>
    <w:p w14:paraId="6DD38B64"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bookmarkStart w:id="1" w:name="_heading=h.kk0v48f79epg" w:colFirst="0" w:colLast="0"/>
      <w:bookmarkEnd w:id="1"/>
      <w:r>
        <w:rPr>
          <w:rFonts w:ascii="Times New Roman" w:eastAsia="Times New Roman" w:hAnsi="Times New Roman" w:cs="Times New Roman"/>
          <w:b/>
          <w:color w:val="000000"/>
          <w:sz w:val="32"/>
          <w:szCs w:val="32"/>
        </w:rPr>
        <w:t>STUDENT ID: 2025237</w:t>
      </w:r>
      <w:r>
        <w:br w:type="page"/>
      </w:r>
    </w:p>
    <w:p w14:paraId="67977815" w14:textId="77777777" w:rsidR="002627AD" w:rsidRDefault="000214B4">
      <w:pPr>
        <w:pStyle w:val="Titlu1"/>
        <w:spacing w:before="0" w:after="0" w:line="360" w:lineRule="auto"/>
        <w:jc w:val="center"/>
        <w:rPr>
          <w:rFonts w:ascii="Times New Roman" w:eastAsia="Times New Roman" w:hAnsi="Times New Roman" w:cs="Times New Roman"/>
          <w:b/>
          <w:sz w:val="28"/>
          <w:szCs w:val="28"/>
        </w:rPr>
      </w:pPr>
      <w:bookmarkStart w:id="2" w:name="_heading=h.4nbks9qd3up5" w:colFirst="0" w:colLast="0"/>
      <w:bookmarkEnd w:id="2"/>
      <w:r>
        <w:rPr>
          <w:rFonts w:ascii="Times New Roman" w:eastAsia="Times New Roman" w:hAnsi="Times New Roman" w:cs="Times New Roman"/>
          <w:b/>
          <w:sz w:val="28"/>
          <w:szCs w:val="28"/>
        </w:rPr>
        <w:t>Executive Summary</w:t>
      </w:r>
    </w:p>
    <w:p w14:paraId="38E6A81A"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The report assesses the type of stakeholder involvement in the conception and delivery of the wearable health device project at Vodafone.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Telecommunications and digital technology company, Vodafone, is foraying into the health technology space with the introduction of a new wearable that will be able to monitor heart rate, blood oxygen and sleeping patterns. </w:t>
      </w:r>
      <w:r>
        <w:rPr>
          <w:rFonts w:ascii="Times New Roman" w:eastAsia="Times New Roman" w:hAnsi="Times New Roman" w:cs="Times New Roman"/>
          <w:color w:val="000000"/>
          <w:sz w:val="24"/>
          <w:szCs w:val="24"/>
        </w:rPr>
        <w:t xml:space="preserve">The project is part of the overall plan to use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5G, and AI for digital health, preventative and better health, which Vodafone is pursuing. Among the external and internal stakeholders, which the report highlights, are the R&amp;D teams, marketing, executives, regulators, healthcare provi</w:t>
      </w:r>
      <w:r>
        <w:rPr>
          <w:rFonts w:ascii="Times New Roman" w:eastAsia="Times New Roman" w:hAnsi="Times New Roman" w:cs="Times New Roman"/>
          <w:color w:val="000000"/>
          <w:sz w:val="24"/>
          <w:szCs w:val="24"/>
        </w:rPr>
        <w:t xml:space="preserve">ders, investors, customers, and NGOs. The engagement strategies were informed by models like the Power/Interest Grid developed by </w:t>
      </w:r>
      <w:proofErr w:type="spellStart"/>
      <w:r>
        <w:rPr>
          <w:rFonts w:ascii="Times New Roman" w:eastAsia="Times New Roman" w:hAnsi="Times New Roman" w:cs="Times New Roman"/>
          <w:color w:val="000000"/>
          <w:sz w:val="24"/>
          <w:szCs w:val="24"/>
        </w:rPr>
        <w:t>Mendelow</w:t>
      </w:r>
      <w:proofErr w:type="spellEnd"/>
      <w:r>
        <w:rPr>
          <w:rFonts w:ascii="Times New Roman" w:eastAsia="Times New Roman" w:hAnsi="Times New Roman" w:cs="Times New Roman"/>
          <w:color w:val="000000"/>
          <w:sz w:val="24"/>
          <w:szCs w:val="24"/>
        </w:rPr>
        <w:t>, Stakeholder Theory developed by Freeman, the Salience Model developed by Mitchell, and the model of collaboration, which relies on 4Cs. These guaranteed transparency, accountability, and alignment within the six-month launch. The results show that proactive involvement leads towards innovation, quick time-to-market, regulator goodwill, investor conviction, and adoption,</w:t>
      </w:r>
      <w:r>
        <w:rPr>
          <w:rFonts w:ascii="Times New Roman" w:eastAsia="Times New Roman" w:hAnsi="Times New Roman" w:cs="Times New Roman"/>
          <w:color w:val="000000"/>
          <w:sz w:val="24"/>
          <w:szCs w:val="24"/>
        </w:rPr>
        <w:t xml:space="preserve"> besides enhancing the reputation of Vodafone ESG. It is recommended to use digital platforms, feedback loops and KPI-based impact assessment. Finally, the innovation, competitive advantage, and long-term value creation are based on stakeholder engagement.</w:t>
      </w:r>
    </w:p>
    <w:p w14:paraId="03CBCB8F"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br w:type="page"/>
      </w:r>
    </w:p>
    <w:p w14:paraId="3C4CE5D2" w14:textId="77777777" w:rsidR="002627AD" w:rsidRDefault="002627AD">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6D197DF5"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TABLE OF CONTENTS</w:t>
      </w:r>
    </w:p>
    <w:p w14:paraId="06020396" w14:textId="77777777" w:rsidR="002627AD" w:rsidRDefault="002627AD">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sdt>
      <w:sdtPr>
        <w:id w:val="-1439445079"/>
        <w:docPartObj>
          <w:docPartGallery w:val="Table of Contents"/>
          <w:docPartUnique/>
        </w:docPartObj>
      </w:sdtPr>
      <w:sdtEndPr/>
      <w:sdtContent>
        <w:p w14:paraId="16505468" w14:textId="77777777" w:rsidR="002627AD" w:rsidRDefault="000214B4">
          <w:pPr>
            <w:widowControl w:val="0"/>
            <w:tabs>
              <w:tab w:val="right" w:leader="dot" w:pos="12000"/>
            </w:tabs>
            <w:spacing w:line="360" w:lineRule="auto"/>
            <w:jc w:val="both"/>
            <w:rPr>
              <w:rFonts w:ascii="Times New Roman" w:eastAsia="Times New Roman" w:hAnsi="Times New Roman" w:cs="Times New Roman"/>
              <w:b/>
              <w:color w:val="000000"/>
              <w:sz w:val="24"/>
              <w:szCs w:val="24"/>
            </w:rPr>
          </w:pPr>
          <w:r>
            <w:fldChar w:fldCharType="begin"/>
          </w:r>
          <w:r>
            <w:instrText xml:space="preserve"> TOC \h \u \z \t "Heading 1,1,Heading 2,2,Heading 3,3,Heading 4,4,Heading 5,5,Heading 6,6,"</w:instrText>
          </w:r>
          <w:r>
            <w:fldChar w:fldCharType="separate"/>
          </w:r>
          <w:hyperlink w:anchor="_heading=h.4nbks9qd3up5">
            <w:r>
              <w:rPr>
                <w:rFonts w:ascii="Times New Roman" w:eastAsia="Times New Roman" w:hAnsi="Times New Roman" w:cs="Times New Roman"/>
                <w:b/>
                <w:color w:val="000000"/>
                <w:sz w:val="24"/>
                <w:szCs w:val="24"/>
              </w:rPr>
              <w:t>Executive Summary</w:t>
            </w:r>
            <w:r>
              <w:rPr>
                <w:rFonts w:ascii="Times New Roman" w:eastAsia="Times New Roman" w:hAnsi="Times New Roman" w:cs="Times New Roman"/>
                <w:b/>
                <w:color w:val="000000"/>
                <w:sz w:val="24"/>
                <w:szCs w:val="24"/>
              </w:rPr>
              <w:tab/>
              <w:t>2</w:t>
            </w:r>
          </w:hyperlink>
        </w:p>
        <w:p w14:paraId="22C2D520" w14:textId="77777777" w:rsidR="002627AD" w:rsidRDefault="000214B4">
          <w:pPr>
            <w:widowControl w:val="0"/>
            <w:tabs>
              <w:tab w:val="right" w:leader="dot" w:pos="12000"/>
            </w:tabs>
            <w:spacing w:line="360" w:lineRule="auto"/>
            <w:jc w:val="both"/>
            <w:rPr>
              <w:rFonts w:ascii="Times New Roman" w:eastAsia="Times New Roman" w:hAnsi="Times New Roman" w:cs="Times New Roman"/>
              <w:b/>
              <w:color w:val="000000"/>
              <w:sz w:val="24"/>
              <w:szCs w:val="24"/>
            </w:rPr>
          </w:pPr>
          <w:hyperlink w:anchor="_heading=h.d9zfe09bw2fd">
            <w:r>
              <w:rPr>
                <w:rFonts w:ascii="Times New Roman" w:eastAsia="Times New Roman" w:hAnsi="Times New Roman" w:cs="Times New Roman"/>
                <w:b/>
                <w:color w:val="000000"/>
                <w:sz w:val="24"/>
                <w:szCs w:val="24"/>
              </w:rPr>
              <w:t>1.0 Introduction to the Company</w:t>
            </w:r>
            <w:r>
              <w:rPr>
                <w:rFonts w:ascii="Times New Roman" w:eastAsia="Times New Roman" w:hAnsi="Times New Roman" w:cs="Times New Roman"/>
                <w:b/>
                <w:color w:val="000000"/>
                <w:sz w:val="24"/>
                <w:szCs w:val="24"/>
              </w:rPr>
              <w:tab/>
              <w:t>6</w:t>
            </w:r>
          </w:hyperlink>
        </w:p>
        <w:p w14:paraId="27770112" w14:textId="77777777" w:rsidR="002627AD" w:rsidRDefault="000214B4">
          <w:pPr>
            <w:widowControl w:val="0"/>
            <w:tabs>
              <w:tab w:val="right" w:leader="dot" w:pos="12000"/>
            </w:tabs>
            <w:spacing w:line="360" w:lineRule="auto"/>
            <w:jc w:val="both"/>
            <w:rPr>
              <w:rFonts w:ascii="Times New Roman" w:eastAsia="Times New Roman" w:hAnsi="Times New Roman" w:cs="Times New Roman"/>
              <w:b/>
              <w:color w:val="000000"/>
              <w:sz w:val="24"/>
              <w:szCs w:val="24"/>
            </w:rPr>
          </w:pPr>
          <w:hyperlink w:anchor="_heading=h.fjpck0o0gpjh">
            <w:r>
              <w:rPr>
                <w:rFonts w:ascii="Times New Roman" w:eastAsia="Times New Roman" w:hAnsi="Times New Roman" w:cs="Times New Roman"/>
                <w:b/>
                <w:color w:val="000000"/>
                <w:sz w:val="24"/>
                <w:szCs w:val="24"/>
              </w:rPr>
              <w:t>2.0 Project Outline</w:t>
            </w:r>
            <w:r>
              <w:rPr>
                <w:rFonts w:ascii="Times New Roman" w:eastAsia="Times New Roman" w:hAnsi="Times New Roman" w:cs="Times New Roman"/>
                <w:b/>
                <w:color w:val="000000"/>
                <w:sz w:val="24"/>
                <w:szCs w:val="24"/>
              </w:rPr>
              <w:tab/>
              <w:t>6</w:t>
            </w:r>
          </w:hyperlink>
        </w:p>
        <w:p w14:paraId="1B70DE37"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llz3gc3e516a">
            <w:r>
              <w:rPr>
                <w:rFonts w:ascii="Times New Roman" w:eastAsia="Times New Roman" w:hAnsi="Times New Roman" w:cs="Times New Roman"/>
                <w:color w:val="000000"/>
                <w:sz w:val="24"/>
                <w:szCs w:val="24"/>
              </w:rPr>
              <w:t>2.1 Description of the Device</w:t>
            </w:r>
            <w:r>
              <w:rPr>
                <w:rFonts w:ascii="Times New Roman" w:eastAsia="Times New Roman" w:hAnsi="Times New Roman" w:cs="Times New Roman"/>
                <w:color w:val="000000"/>
                <w:sz w:val="24"/>
                <w:szCs w:val="24"/>
              </w:rPr>
              <w:tab/>
              <w:t>6</w:t>
            </w:r>
          </w:hyperlink>
        </w:p>
        <w:p w14:paraId="5409B32E"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uu6awelkkmzv">
            <w:r>
              <w:rPr>
                <w:rFonts w:ascii="Times New Roman" w:eastAsia="Times New Roman" w:hAnsi="Times New Roman" w:cs="Times New Roman"/>
                <w:color w:val="000000"/>
                <w:sz w:val="24"/>
                <w:szCs w:val="24"/>
              </w:rPr>
              <w:t>2.2 Six-Month Launch Timeline</w:t>
            </w:r>
            <w:r>
              <w:rPr>
                <w:rFonts w:ascii="Times New Roman" w:eastAsia="Times New Roman" w:hAnsi="Times New Roman" w:cs="Times New Roman"/>
                <w:color w:val="000000"/>
                <w:sz w:val="24"/>
                <w:szCs w:val="24"/>
              </w:rPr>
              <w:tab/>
              <w:t>6</w:t>
            </w:r>
          </w:hyperlink>
        </w:p>
        <w:p w14:paraId="132BC554"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gajfd7z7ew9">
            <w:r>
              <w:rPr>
                <w:rFonts w:ascii="Times New Roman" w:eastAsia="Times New Roman" w:hAnsi="Times New Roman" w:cs="Times New Roman"/>
                <w:color w:val="000000"/>
                <w:sz w:val="24"/>
                <w:szCs w:val="24"/>
              </w:rPr>
              <w:t>2.3 Strategic Alignment</w:t>
            </w:r>
            <w:r>
              <w:rPr>
                <w:rFonts w:ascii="Times New Roman" w:eastAsia="Times New Roman" w:hAnsi="Times New Roman" w:cs="Times New Roman"/>
                <w:color w:val="000000"/>
                <w:sz w:val="24"/>
                <w:szCs w:val="24"/>
              </w:rPr>
              <w:tab/>
              <w:t>7</w:t>
            </w:r>
          </w:hyperlink>
        </w:p>
        <w:p w14:paraId="113DE449" w14:textId="77777777" w:rsidR="002627AD" w:rsidRDefault="000214B4">
          <w:pPr>
            <w:widowControl w:val="0"/>
            <w:tabs>
              <w:tab w:val="right" w:leader="dot" w:pos="12000"/>
            </w:tabs>
            <w:spacing w:line="360" w:lineRule="auto"/>
            <w:jc w:val="both"/>
            <w:rPr>
              <w:rFonts w:ascii="Times New Roman" w:eastAsia="Times New Roman" w:hAnsi="Times New Roman" w:cs="Times New Roman"/>
              <w:b/>
              <w:color w:val="000000"/>
              <w:sz w:val="24"/>
              <w:szCs w:val="24"/>
            </w:rPr>
          </w:pPr>
          <w:hyperlink w:anchor="_heading=h.yiyq3dz57pqh">
            <w:r>
              <w:rPr>
                <w:rFonts w:ascii="Times New Roman" w:eastAsia="Times New Roman" w:hAnsi="Times New Roman" w:cs="Times New Roman"/>
                <w:b/>
                <w:color w:val="000000"/>
                <w:sz w:val="24"/>
                <w:szCs w:val="24"/>
              </w:rPr>
              <w:t>3.0 Company Appraisal: Situational Analysis</w:t>
            </w:r>
            <w:r>
              <w:rPr>
                <w:rFonts w:ascii="Times New Roman" w:eastAsia="Times New Roman" w:hAnsi="Times New Roman" w:cs="Times New Roman"/>
                <w:b/>
                <w:color w:val="000000"/>
                <w:sz w:val="24"/>
                <w:szCs w:val="24"/>
              </w:rPr>
              <w:tab/>
              <w:t>8</w:t>
            </w:r>
          </w:hyperlink>
        </w:p>
        <w:p w14:paraId="0E6B83EA"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6pc3dnsmjcym">
            <w:r>
              <w:rPr>
                <w:rFonts w:ascii="Times New Roman" w:eastAsia="Times New Roman" w:hAnsi="Times New Roman" w:cs="Times New Roman"/>
                <w:color w:val="000000"/>
                <w:sz w:val="24"/>
                <w:szCs w:val="24"/>
              </w:rPr>
              <w:t>3.1 SMART Objectives</w:t>
            </w:r>
            <w:r>
              <w:rPr>
                <w:rFonts w:ascii="Times New Roman" w:eastAsia="Times New Roman" w:hAnsi="Times New Roman" w:cs="Times New Roman"/>
                <w:color w:val="000000"/>
                <w:sz w:val="24"/>
                <w:szCs w:val="24"/>
              </w:rPr>
              <w:tab/>
              <w:t>8</w:t>
            </w:r>
          </w:hyperlink>
        </w:p>
        <w:p w14:paraId="4DB04EBF"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mrrxtvvif1n">
            <w:r>
              <w:rPr>
                <w:rFonts w:ascii="Times New Roman" w:eastAsia="Times New Roman" w:hAnsi="Times New Roman" w:cs="Times New Roman"/>
                <w:color w:val="000000"/>
                <w:sz w:val="24"/>
                <w:szCs w:val="24"/>
              </w:rPr>
              <w:t>3.2 SWOT Analysis</w:t>
            </w:r>
            <w:r>
              <w:rPr>
                <w:rFonts w:ascii="Times New Roman" w:eastAsia="Times New Roman" w:hAnsi="Times New Roman" w:cs="Times New Roman"/>
                <w:color w:val="000000"/>
                <w:sz w:val="24"/>
                <w:szCs w:val="24"/>
              </w:rPr>
              <w:tab/>
              <w:t>9</w:t>
            </w:r>
          </w:hyperlink>
        </w:p>
        <w:p w14:paraId="7FC9CBB3"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ynd4sxjum69t">
            <w:r>
              <w:rPr>
                <w:rFonts w:ascii="Times New Roman" w:eastAsia="Times New Roman" w:hAnsi="Times New Roman" w:cs="Times New Roman"/>
                <w:color w:val="000000"/>
                <w:sz w:val="24"/>
                <w:szCs w:val="24"/>
              </w:rPr>
              <w:t>3.3 Porter’s Five Forces Analysis</w:t>
            </w:r>
            <w:r>
              <w:rPr>
                <w:rFonts w:ascii="Times New Roman" w:eastAsia="Times New Roman" w:hAnsi="Times New Roman" w:cs="Times New Roman"/>
                <w:color w:val="000000"/>
                <w:sz w:val="24"/>
                <w:szCs w:val="24"/>
              </w:rPr>
              <w:tab/>
              <w:t>9</w:t>
            </w:r>
          </w:hyperlink>
        </w:p>
        <w:p w14:paraId="7B989BD1" w14:textId="77777777" w:rsidR="002627AD" w:rsidRDefault="000214B4">
          <w:pPr>
            <w:widowControl w:val="0"/>
            <w:tabs>
              <w:tab w:val="right" w:leader="dot" w:pos="12000"/>
            </w:tabs>
            <w:spacing w:line="360" w:lineRule="auto"/>
            <w:jc w:val="both"/>
            <w:rPr>
              <w:rFonts w:ascii="Times New Roman" w:eastAsia="Times New Roman" w:hAnsi="Times New Roman" w:cs="Times New Roman"/>
              <w:b/>
              <w:color w:val="000000"/>
              <w:sz w:val="24"/>
              <w:szCs w:val="24"/>
            </w:rPr>
          </w:pPr>
          <w:hyperlink w:anchor="_heading=h.yxj4eyoxafxr">
            <w:r>
              <w:rPr>
                <w:rFonts w:ascii="Times New Roman" w:eastAsia="Times New Roman" w:hAnsi="Times New Roman" w:cs="Times New Roman"/>
                <w:b/>
                <w:color w:val="000000"/>
                <w:sz w:val="24"/>
                <w:szCs w:val="24"/>
              </w:rPr>
              <w:t>4.0 Stakeholder Identification</w:t>
            </w:r>
            <w:r>
              <w:rPr>
                <w:rFonts w:ascii="Times New Roman" w:eastAsia="Times New Roman" w:hAnsi="Times New Roman" w:cs="Times New Roman"/>
                <w:b/>
                <w:color w:val="000000"/>
                <w:sz w:val="24"/>
                <w:szCs w:val="24"/>
              </w:rPr>
              <w:tab/>
              <w:t>12</w:t>
            </w:r>
          </w:hyperlink>
        </w:p>
        <w:p w14:paraId="289EA2A1"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agzzjlnfjrxr">
            <w:r>
              <w:rPr>
                <w:rFonts w:ascii="Times New Roman" w:eastAsia="Times New Roman" w:hAnsi="Times New Roman" w:cs="Times New Roman"/>
                <w:color w:val="000000"/>
                <w:sz w:val="24"/>
                <w:szCs w:val="24"/>
              </w:rPr>
              <w:t>4.1 Internal Stakeholders</w:t>
            </w:r>
            <w:r>
              <w:rPr>
                <w:rFonts w:ascii="Times New Roman" w:eastAsia="Times New Roman" w:hAnsi="Times New Roman" w:cs="Times New Roman"/>
                <w:color w:val="000000"/>
                <w:sz w:val="24"/>
                <w:szCs w:val="24"/>
              </w:rPr>
              <w:tab/>
              <w:t>13</w:t>
            </w:r>
          </w:hyperlink>
        </w:p>
        <w:p w14:paraId="68D1BE25"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emgxurbfg5n8">
            <w:r>
              <w:rPr>
                <w:rFonts w:ascii="Times New Roman" w:eastAsia="Times New Roman" w:hAnsi="Times New Roman" w:cs="Times New Roman"/>
                <w:color w:val="000000"/>
                <w:sz w:val="24"/>
                <w:szCs w:val="24"/>
              </w:rPr>
              <w:t>4.2 External Stakeholders</w:t>
            </w:r>
            <w:r>
              <w:rPr>
                <w:rFonts w:ascii="Times New Roman" w:eastAsia="Times New Roman" w:hAnsi="Times New Roman" w:cs="Times New Roman"/>
                <w:color w:val="000000"/>
                <w:sz w:val="24"/>
                <w:szCs w:val="24"/>
              </w:rPr>
              <w:tab/>
              <w:t>14</w:t>
            </w:r>
          </w:hyperlink>
        </w:p>
        <w:p w14:paraId="51789278" w14:textId="77777777" w:rsidR="002627AD" w:rsidRDefault="000214B4">
          <w:pPr>
            <w:widowControl w:val="0"/>
            <w:tabs>
              <w:tab w:val="right" w:leader="dot" w:pos="12000"/>
            </w:tabs>
            <w:spacing w:line="360" w:lineRule="auto"/>
            <w:ind w:left="720"/>
            <w:jc w:val="both"/>
            <w:rPr>
              <w:rFonts w:ascii="Times New Roman" w:eastAsia="Times New Roman" w:hAnsi="Times New Roman" w:cs="Times New Roman"/>
              <w:color w:val="000000"/>
              <w:sz w:val="24"/>
              <w:szCs w:val="24"/>
            </w:rPr>
          </w:pPr>
          <w:hyperlink w:anchor="_heading=h.i1mdlhx8uzl5">
            <w:r>
              <w:rPr>
                <w:rFonts w:ascii="Times New Roman" w:eastAsia="Times New Roman" w:hAnsi="Times New Roman" w:cs="Times New Roman"/>
                <w:color w:val="000000"/>
                <w:sz w:val="24"/>
                <w:szCs w:val="24"/>
              </w:rPr>
              <w:t>4.2.1 External Stakeholders' Roles &amp; Responsibilities</w:t>
            </w:r>
            <w:r>
              <w:rPr>
                <w:rFonts w:ascii="Times New Roman" w:eastAsia="Times New Roman" w:hAnsi="Times New Roman" w:cs="Times New Roman"/>
                <w:color w:val="000000"/>
                <w:sz w:val="24"/>
                <w:szCs w:val="24"/>
              </w:rPr>
              <w:tab/>
              <w:t>14</w:t>
            </w:r>
          </w:hyperlink>
        </w:p>
        <w:p w14:paraId="1997D731"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qk73r87bo4zm">
            <w:r>
              <w:rPr>
                <w:rFonts w:ascii="Times New Roman" w:eastAsia="Times New Roman" w:hAnsi="Times New Roman" w:cs="Times New Roman"/>
                <w:color w:val="000000"/>
                <w:sz w:val="24"/>
                <w:szCs w:val="24"/>
              </w:rPr>
              <w:t>4.4 Benefits and Challenges—Theoretical Lens</w:t>
            </w:r>
            <w:r>
              <w:rPr>
                <w:rFonts w:ascii="Times New Roman" w:eastAsia="Times New Roman" w:hAnsi="Times New Roman" w:cs="Times New Roman"/>
                <w:color w:val="000000"/>
                <w:sz w:val="24"/>
                <w:szCs w:val="24"/>
              </w:rPr>
              <w:tab/>
              <w:t>15</w:t>
            </w:r>
          </w:hyperlink>
        </w:p>
        <w:p w14:paraId="71274538"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mpn2f6w29iyo">
            <w:r>
              <w:rPr>
                <w:rFonts w:ascii="Times New Roman" w:eastAsia="Times New Roman" w:hAnsi="Times New Roman" w:cs="Times New Roman"/>
                <w:b/>
                <w:color w:val="000000"/>
                <w:sz w:val="24"/>
                <w:szCs w:val="24"/>
              </w:rPr>
              <w:t>4.5 Frameworks, Models &amp; Theories for Stakeholder Engagement</w:t>
            </w:r>
            <w:r>
              <w:rPr>
                <w:rFonts w:ascii="Times New Roman" w:eastAsia="Times New Roman" w:hAnsi="Times New Roman" w:cs="Times New Roman"/>
                <w:b/>
                <w:color w:val="000000"/>
                <w:sz w:val="24"/>
                <w:szCs w:val="24"/>
              </w:rPr>
              <w:tab/>
              <w:t>16</w:t>
            </w:r>
          </w:hyperlink>
        </w:p>
        <w:p w14:paraId="0A976E0F" w14:textId="77777777" w:rsidR="002627AD" w:rsidRDefault="000214B4">
          <w:pPr>
            <w:widowControl w:val="0"/>
            <w:tabs>
              <w:tab w:val="right" w:leader="dot" w:pos="12000"/>
            </w:tabs>
            <w:spacing w:line="360" w:lineRule="auto"/>
            <w:ind w:left="720"/>
            <w:jc w:val="both"/>
            <w:rPr>
              <w:rFonts w:ascii="Times New Roman" w:eastAsia="Times New Roman" w:hAnsi="Times New Roman" w:cs="Times New Roman"/>
              <w:color w:val="000000"/>
              <w:sz w:val="24"/>
              <w:szCs w:val="24"/>
            </w:rPr>
          </w:pPr>
          <w:hyperlink w:anchor="_heading=h.ejpi4fqdvzep">
            <w:r>
              <w:rPr>
                <w:rFonts w:ascii="Times New Roman" w:eastAsia="Times New Roman" w:hAnsi="Times New Roman" w:cs="Times New Roman"/>
                <w:color w:val="000000"/>
                <w:sz w:val="24"/>
                <w:szCs w:val="24"/>
              </w:rPr>
              <w:t>4.5.1 Stakeholder Matrix</w:t>
            </w:r>
            <w:r>
              <w:rPr>
                <w:rFonts w:ascii="Times New Roman" w:eastAsia="Times New Roman" w:hAnsi="Times New Roman" w:cs="Times New Roman"/>
                <w:color w:val="000000"/>
                <w:sz w:val="24"/>
                <w:szCs w:val="24"/>
              </w:rPr>
              <w:tab/>
              <w:t>16</w:t>
            </w:r>
          </w:hyperlink>
        </w:p>
        <w:p w14:paraId="6E65DA89"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wqljr1yolqdd">
            <w:r>
              <w:rPr>
                <w:rFonts w:ascii="Times New Roman" w:eastAsia="Times New Roman" w:hAnsi="Times New Roman" w:cs="Times New Roman"/>
                <w:b/>
                <w:color w:val="000000"/>
                <w:sz w:val="24"/>
                <w:szCs w:val="24"/>
              </w:rPr>
              <w:t>4.6 Engagement Plan</w:t>
            </w:r>
            <w:r>
              <w:rPr>
                <w:rFonts w:ascii="Times New Roman" w:eastAsia="Times New Roman" w:hAnsi="Times New Roman" w:cs="Times New Roman"/>
                <w:b/>
                <w:color w:val="000000"/>
                <w:sz w:val="24"/>
                <w:szCs w:val="24"/>
              </w:rPr>
              <w:tab/>
              <w:t>18</w:t>
            </w:r>
          </w:hyperlink>
        </w:p>
        <w:p w14:paraId="547DB699"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sllpqixrbho4">
            <w:r>
              <w:rPr>
                <w:rFonts w:ascii="Times New Roman" w:eastAsia="Times New Roman" w:hAnsi="Times New Roman" w:cs="Times New Roman"/>
                <w:b/>
                <w:color w:val="000000"/>
                <w:sz w:val="24"/>
                <w:szCs w:val="24"/>
              </w:rPr>
              <w:t>4.7 Communication Plan</w:t>
            </w:r>
            <w:r>
              <w:rPr>
                <w:rFonts w:ascii="Times New Roman" w:eastAsia="Times New Roman" w:hAnsi="Times New Roman" w:cs="Times New Roman"/>
                <w:b/>
                <w:color w:val="000000"/>
                <w:sz w:val="24"/>
                <w:szCs w:val="24"/>
              </w:rPr>
              <w:tab/>
              <w:t>18</w:t>
            </w:r>
          </w:hyperlink>
        </w:p>
        <w:p w14:paraId="75D2FCF2"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6rrgrutkciw8">
            <w:r>
              <w:rPr>
                <w:rFonts w:ascii="Times New Roman" w:eastAsia="Times New Roman" w:hAnsi="Times New Roman" w:cs="Times New Roman"/>
                <w:b/>
                <w:color w:val="000000"/>
                <w:sz w:val="24"/>
                <w:szCs w:val="24"/>
              </w:rPr>
              <w:t>4.8 RACI Matrix</w:t>
            </w:r>
            <w:r>
              <w:rPr>
                <w:rFonts w:ascii="Times New Roman" w:eastAsia="Times New Roman" w:hAnsi="Times New Roman" w:cs="Times New Roman"/>
                <w:b/>
                <w:color w:val="000000"/>
                <w:sz w:val="24"/>
                <w:szCs w:val="24"/>
              </w:rPr>
              <w:tab/>
              <w:t>19</w:t>
            </w:r>
          </w:hyperlink>
        </w:p>
        <w:p w14:paraId="3A3EC94C" w14:textId="77777777" w:rsidR="002627AD" w:rsidRDefault="000214B4">
          <w:pPr>
            <w:widowControl w:val="0"/>
            <w:tabs>
              <w:tab w:val="right" w:leader="dot" w:pos="12000"/>
            </w:tabs>
            <w:spacing w:line="360" w:lineRule="auto"/>
            <w:jc w:val="both"/>
            <w:rPr>
              <w:rFonts w:ascii="Times New Roman" w:eastAsia="Times New Roman" w:hAnsi="Times New Roman" w:cs="Times New Roman"/>
              <w:b/>
              <w:color w:val="000000"/>
              <w:sz w:val="24"/>
              <w:szCs w:val="24"/>
            </w:rPr>
          </w:pPr>
          <w:hyperlink w:anchor="_heading=h.stw78kuvm6q5">
            <w:r>
              <w:rPr>
                <w:rFonts w:ascii="Times New Roman" w:eastAsia="Times New Roman" w:hAnsi="Times New Roman" w:cs="Times New Roman"/>
                <w:b/>
                <w:color w:val="000000"/>
                <w:sz w:val="24"/>
                <w:szCs w:val="24"/>
              </w:rPr>
              <w:t>5.0 Stakeholder Engagement Process &amp; Conflict Management</w:t>
            </w:r>
            <w:r>
              <w:rPr>
                <w:rFonts w:ascii="Times New Roman" w:eastAsia="Times New Roman" w:hAnsi="Times New Roman" w:cs="Times New Roman"/>
                <w:b/>
                <w:color w:val="000000"/>
                <w:sz w:val="24"/>
                <w:szCs w:val="24"/>
              </w:rPr>
              <w:tab/>
              <w:t>20</w:t>
            </w:r>
          </w:hyperlink>
        </w:p>
        <w:p w14:paraId="15BD4C58"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rb8b553vnfra">
            <w:r>
              <w:rPr>
                <w:rFonts w:ascii="Times New Roman" w:eastAsia="Times New Roman" w:hAnsi="Times New Roman" w:cs="Times New Roman"/>
                <w:color w:val="000000"/>
                <w:sz w:val="24"/>
                <w:szCs w:val="24"/>
              </w:rPr>
              <w:t>5.1 Establishing Communication Protocols</w:t>
            </w:r>
            <w:r>
              <w:rPr>
                <w:rFonts w:ascii="Times New Roman" w:eastAsia="Times New Roman" w:hAnsi="Times New Roman" w:cs="Times New Roman"/>
                <w:color w:val="000000"/>
                <w:sz w:val="24"/>
                <w:szCs w:val="24"/>
              </w:rPr>
              <w:tab/>
              <w:t>20</w:t>
            </w:r>
          </w:hyperlink>
        </w:p>
        <w:p w14:paraId="1A267661"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34anbt3ko726">
            <w:r>
              <w:rPr>
                <w:rFonts w:ascii="Times New Roman" w:eastAsia="Times New Roman" w:hAnsi="Times New Roman" w:cs="Times New Roman"/>
                <w:color w:val="000000"/>
                <w:sz w:val="24"/>
                <w:szCs w:val="24"/>
              </w:rPr>
              <w:t>5.2 Aligning Expectations</w:t>
            </w:r>
            <w:r>
              <w:rPr>
                <w:rFonts w:ascii="Times New Roman" w:eastAsia="Times New Roman" w:hAnsi="Times New Roman" w:cs="Times New Roman"/>
                <w:color w:val="000000"/>
                <w:sz w:val="24"/>
                <w:szCs w:val="24"/>
              </w:rPr>
              <w:tab/>
              <w:t>20</w:t>
            </w:r>
          </w:hyperlink>
        </w:p>
        <w:p w14:paraId="509839BC"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jm9pv6swico">
            <w:r>
              <w:rPr>
                <w:rFonts w:ascii="Times New Roman" w:eastAsia="Times New Roman" w:hAnsi="Times New Roman" w:cs="Times New Roman"/>
                <w:color w:val="000000"/>
                <w:sz w:val="24"/>
                <w:szCs w:val="24"/>
              </w:rPr>
              <w:t>5.3 Ensuring Regulatory Compliance</w:t>
            </w:r>
            <w:r>
              <w:rPr>
                <w:rFonts w:ascii="Times New Roman" w:eastAsia="Times New Roman" w:hAnsi="Times New Roman" w:cs="Times New Roman"/>
                <w:color w:val="000000"/>
                <w:sz w:val="24"/>
                <w:szCs w:val="24"/>
              </w:rPr>
              <w:tab/>
              <w:t>20</w:t>
            </w:r>
          </w:hyperlink>
        </w:p>
        <w:p w14:paraId="7AEBBA9C"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ie1suyz6orbe">
            <w:r>
              <w:rPr>
                <w:rFonts w:ascii="Times New Roman" w:eastAsia="Times New Roman" w:hAnsi="Times New Roman" w:cs="Times New Roman"/>
                <w:color w:val="000000"/>
                <w:sz w:val="24"/>
                <w:szCs w:val="24"/>
              </w:rPr>
              <w:t>5.4 Applying 4’C Model</w:t>
            </w:r>
            <w:r>
              <w:rPr>
                <w:rFonts w:ascii="Times New Roman" w:eastAsia="Times New Roman" w:hAnsi="Times New Roman" w:cs="Times New Roman"/>
                <w:color w:val="000000"/>
                <w:sz w:val="24"/>
                <w:szCs w:val="24"/>
              </w:rPr>
              <w:tab/>
              <w:t>21</w:t>
            </w:r>
          </w:hyperlink>
        </w:p>
        <w:p w14:paraId="4062E04B" w14:textId="77777777" w:rsidR="002627AD" w:rsidRDefault="000214B4">
          <w:pPr>
            <w:widowControl w:val="0"/>
            <w:tabs>
              <w:tab w:val="right" w:leader="dot" w:pos="12000"/>
            </w:tabs>
            <w:spacing w:line="360" w:lineRule="auto"/>
            <w:jc w:val="both"/>
            <w:rPr>
              <w:rFonts w:ascii="Times New Roman" w:eastAsia="Times New Roman" w:hAnsi="Times New Roman" w:cs="Times New Roman"/>
              <w:b/>
              <w:color w:val="000000"/>
              <w:sz w:val="24"/>
              <w:szCs w:val="24"/>
            </w:rPr>
          </w:pPr>
          <w:hyperlink w:anchor="_heading=h.bgcazt309az">
            <w:r>
              <w:rPr>
                <w:rFonts w:ascii="Times New Roman" w:eastAsia="Times New Roman" w:hAnsi="Times New Roman" w:cs="Times New Roman"/>
                <w:b/>
                <w:color w:val="000000"/>
                <w:sz w:val="24"/>
                <w:szCs w:val="24"/>
              </w:rPr>
              <w:t>6.0 Evaluation of Stakeholder Engagement Impact</w:t>
            </w:r>
            <w:r>
              <w:rPr>
                <w:rFonts w:ascii="Times New Roman" w:eastAsia="Times New Roman" w:hAnsi="Times New Roman" w:cs="Times New Roman"/>
                <w:b/>
                <w:color w:val="000000"/>
                <w:sz w:val="24"/>
                <w:szCs w:val="24"/>
              </w:rPr>
              <w:tab/>
              <w:t>24</w:t>
            </w:r>
          </w:hyperlink>
        </w:p>
        <w:p w14:paraId="2C436D32"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3025djjqmzcg">
            <w:r>
              <w:rPr>
                <w:rFonts w:ascii="Times New Roman" w:eastAsia="Times New Roman" w:hAnsi="Times New Roman" w:cs="Times New Roman"/>
                <w:color w:val="000000"/>
                <w:sz w:val="24"/>
                <w:szCs w:val="24"/>
              </w:rPr>
              <w:t>6.1 Business Performance Benefits</w:t>
            </w:r>
            <w:r>
              <w:rPr>
                <w:rFonts w:ascii="Times New Roman" w:eastAsia="Times New Roman" w:hAnsi="Times New Roman" w:cs="Times New Roman"/>
                <w:color w:val="000000"/>
                <w:sz w:val="24"/>
                <w:szCs w:val="24"/>
              </w:rPr>
              <w:tab/>
              <w:t>24</w:t>
            </w:r>
          </w:hyperlink>
        </w:p>
        <w:p w14:paraId="31C0E9BC"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yj8hjy7d3u9v">
            <w:r>
              <w:rPr>
                <w:rFonts w:ascii="Times New Roman" w:eastAsia="Times New Roman" w:hAnsi="Times New Roman" w:cs="Times New Roman"/>
                <w:color w:val="000000"/>
                <w:sz w:val="24"/>
                <w:szCs w:val="24"/>
              </w:rPr>
              <w:t>6.2 Challenges if Engagement Fails</w:t>
            </w:r>
            <w:r>
              <w:rPr>
                <w:rFonts w:ascii="Times New Roman" w:eastAsia="Times New Roman" w:hAnsi="Times New Roman" w:cs="Times New Roman"/>
                <w:color w:val="000000"/>
                <w:sz w:val="24"/>
                <w:szCs w:val="24"/>
              </w:rPr>
              <w:tab/>
              <w:t>24</w:t>
            </w:r>
          </w:hyperlink>
        </w:p>
        <w:p w14:paraId="50D3B194" w14:textId="77777777" w:rsidR="002627AD" w:rsidRDefault="000214B4">
          <w:pPr>
            <w:widowControl w:val="0"/>
            <w:tabs>
              <w:tab w:val="right" w:leader="dot" w:pos="12000"/>
            </w:tabs>
            <w:spacing w:line="360" w:lineRule="auto"/>
            <w:ind w:left="360"/>
            <w:jc w:val="both"/>
            <w:rPr>
              <w:rFonts w:ascii="Times New Roman" w:eastAsia="Times New Roman" w:hAnsi="Times New Roman" w:cs="Times New Roman"/>
              <w:color w:val="000000"/>
              <w:sz w:val="24"/>
              <w:szCs w:val="24"/>
            </w:rPr>
          </w:pPr>
          <w:hyperlink w:anchor="_heading=h.cu82todg89ki">
            <w:r>
              <w:rPr>
                <w:rFonts w:ascii="Times New Roman" w:eastAsia="Times New Roman" w:hAnsi="Times New Roman" w:cs="Times New Roman"/>
                <w:color w:val="000000"/>
                <w:sz w:val="24"/>
                <w:szCs w:val="24"/>
              </w:rPr>
              <w:t>6.3 Recommendations for Future Stakeholder Engagement</w:t>
            </w:r>
            <w:r>
              <w:rPr>
                <w:rFonts w:ascii="Times New Roman" w:eastAsia="Times New Roman" w:hAnsi="Times New Roman" w:cs="Times New Roman"/>
                <w:color w:val="000000"/>
                <w:sz w:val="24"/>
                <w:szCs w:val="24"/>
              </w:rPr>
              <w:tab/>
              <w:t>25</w:t>
            </w:r>
          </w:hyperlink>
        </w:p>
        <w:p w14:paraId="64506443" w14:textId="77777777" w:rsidR="002627AD" w:rsidRDefault="000214B4">
          <w:pPr>
            <w:widowControl w:val="0"/>
            <w:tabs>
              <w:tab w:val="right" w:leader="dot" w:pos="12000"/>
            </w:tabs>
            <w:spacing w:line="360" w:lineRule="auto"/>
            <w:jc w:val="both"/>
            <w:rPr>
              <w:rFonts w:ascii="Times New Roman" w:eastAsia="Times New Roman" w:hAnsi="Times New Roman" w:cs="Times New Roman"/>
              <w:b/>
              <w:color w:val="000000"/>
              <w:sz w:val="24"/>
              <w:szCs w:val="24"/>
            </w:rPr>
          </w:pPr>
          <w:hyperlink w:anchor="_heading=h.44ethtbi3vjw">
            <w:r>
              <w:rPr>
                <w:rFonts w:ascii="Times New Roman" w:eastAsia="Times New Roman" w:hAnsi="Times New Roman" w:cs="Times New Roman"/>
                <w:b/>
                <w:color w:val="000000"/>
                <w:sz w:val="24"/>
                <w:szCs w:val="24"/>
              </w:rPr>
              <w:t>7.0 Conclusion</w:t>
            </w:r>
            <w:r>
              <w:rPr>
                <w:rFonts w:ascii="Times New Roman" w:eastAsia="Times New Roman" w:hAnsi="Times New Roman" w:cs="Times New Roman"/>
                <w:b/>
                <w:color w:val="000000"/>
                <w:sz w:val="24"/>
                <w:szCs w:val="24"/>
              </w:rPr>
              <w:tab/>
              <w:t>26</w:t>
            </w:r>
          </w:hyperlink>
        </w:p>
        <w:p w14:paraId="7B2354F3" w14:textId="77777777" w:rsidR="002627AD" w:rsidRDefault="000214B4">
          <w:pPr>
            <w:widowControl w:val="0"/>
            <w:tabs>
              <w:tab w:val="right" w:leader="dot" w:pos="12000"/>
            </w:tabs>
            <w:spacing w:line="360" w:lineRule="auto"/>
            <w:jc w:val="both"/>
            <w:rPr>
              <w:rFonts w:ascii="Times New Roman" w:eastAsia="Times New Roman" w:hAnsi="Times New Roman" w:cs="Times New Roman"/>
              <w:b/>
              <w:color w:val="000000"/>
              <w:sz w:val="24"/>
              <w:szCs w:val="24"/>
            </w:rPr>
          </w:pPr>
          <w:hyperlink w:anchor="_heading=h.qbuglbco2h6d">
            <w:r>
              <w:rPr>
                <w:rFonts w:ascii="Times New Roman" w:eastAsia="Times New Roman" w:hAnsi="Times New Roman" w:cs="Times New Roman"/>
                <w:b/>
                <w:color w:val="000000"/>
                <w:sz w:val="24"/>
                <w:szCs w:val="24"/>
              </w:rPr>
              <w:t>8.0 Reference List</w:t>
            </w:r>
            <w:r>
              <w:rPr>
                <w:rFonts w:ascii="Times New Roman" w:eastAsia="Times New Roman" w:hAnsi="Times New Roman" w:cs="Times New Roman"/>
                <w:b/>
                <w:color w:val="000000"/>
                <w:sz w:val="24"/>
                <w:szCs w:val="24"/>
              </w:rPr>
              <w:tab/>
              <w:t>27</w:t>
            </w:r>
          </w:hyperlink>
          <w:r>
            <w:fldChar w:fldCharType="end"/>
          </w:r>
        </w:p>
      </w:sdtContent>
    </w:sdt>
    <w:p w14:paraId="157EDCB9" w14:textId="77777777" w:rsidR="002627AD" w:rsidRDefault="002627AD">
      <w:pPr>
        <w:pBdr>
          <w:top w:val="nil"/>
          <w:left w:val="nil"/>
          <w:bottom w:val="nil"/>
          <w:right w:val="nil"/>
          <w:between w:val="nil"/>
        </w:pBdr>
        <w:spacing w:line="360" w:lineRule="auto"/>
        <w:rPr>
          <w:rFonts w:ascii="Times New Roman" w:eastAsia="Times New Roman" w:hAnsi="Times New Roman" w:cs="Times New Roman"/>
          <w:b/>
          <w:color w:val="000000"/>
          <w:sz w:val="24"/>
          <w:szCs w:val="24"/>
        </w:rPr>
      </w:pPr>
    </w:p>
    <w:p w14:paraId="3EE67502" w14:textId="77777777" w:rsidR="002627AD" w:rsidRDefault="000214B4">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r>
        <w:br w:type="page"/>
      </w:r>
    </w:p>
    <w:p w14:paraId="2A23925D"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8"/>
          <w:szCs w:val="28"/>
        </w:rPr>
        <w:t>LIST OF FIGURES</w:t>
      </w:r>
    </w:p>
    <w:sdt>
      <w:sdtPr>
        <w:id w:val="-2047742725"/>
        <w:docPartObj>
          <w:docPartGallery w:val="Table of Contents"/>
          <w:docPartUnique/>
        </w:docPartObj>
      </w:sdtPr>
      <w:sdtEndPr/>
      <w:sdtContent>
        <w:p w14:paraId="31B2BBF3" w14:textId="77777777" w:rsidR="002627AD" w:rsidRDefault="000214B4">
          <w:pPr>
            <w:widowControl w:val="0"/>
            <w:tabs>
              <w:tab w:val="right" w:pos="12000"/>
            </w:tabs>
            <w:spacing w:before="6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g1dacjr6nk8">
            <w:r>
              <w:rPr>
                <w:rFonts w:ascii="Times New Roman" w:eastAsia="Times New Roman" w:hAnsi="Times New Roman" w:cs="Times New Roman"/>
                <w:color w:val="000000"/>
                <w:sz w:val="24"/>
                <w:szCs w:val="24"/>
              </w:rPr>
              <w:t>Fig 1: Stakeholder Matrix</w:t>
            </w:r>
            <w:r>
              <w:rPr>
                <w:rFonts w:ascii="Times New Roman" w:eastAsia="Times New Roman" w:hAnsi="Times New Roman" w:cs="Times New Roman"/>
                <w:color w:val="000000"/>
                <w:sz w:val="24"/>
                <w:szCs w:val="24"/>
              </w:rPr>
              <w:tab/>
              <w:t>14</w:t>
            </w:r>
          </w:hyperlink>
        </w:p>
        <w:p w14:paraId="30E11BAA" w14:textId="77777777" w:rsidR="002627AD" w:rsidRDefault="000214B4">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ne97n2hotu0j">
            <w:r>
              <w:rPr>
                <w:rFonts w:ascii="Times New Roman" w:eastAsia="Times New Roman" w:hAnsi="Times New Roman" w:cs="Times New Roman"/>
                <w:color w:val="000000"/>
                <w:sz w:val="24"/>
                <w:szCs w:val="24"/>
              </w:rPr>
              <w:t>Fig 2: 4C Framework</w:t>
            </w:r>
            <w:r>
              <w:rPr>
                <w:rFonts w:ascii="Times New Roman" w:eastAsia="Times New Roman" w:hAnsi="Times New Roman" w:cs="Times New Roman"/>
                <w:color w:val="000000"/>
                <w:sz w:val="24"/>
                <w:szCs w:val="24"/>
              </w:rPr>
              <w:tab/>
              <w:t>18</w:t>
            </w:r>
          </w:hyperlink>
        </w:p>
        <w:p w14:paraId="46EF200D" w14:textId="77777777" w:rsidR="002627AD" w:rsidRDefault="000214B4">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yq2dtxfq2m7j">
            <w:r>
              <w:rPr>
                <w:rFonts w:ascii="Times New Roman" w:eastAsia="Times New Roman" w:hAnsi="Times New Roman" w:cs="Times New Roman"/>
                <w:color w:val="000000"/>
                <w:sz w:val="24"/>
                <w:szCs w:val="24"/>
              </w:rPr>
              <w:t xml:space="preserve">Fig </w:t>
            </w:r>
          </w:hyperlink>
          <w:hyperlink w:anchor="_heading=h.yq2dtxfq2m7j">
            <w:r>
              <w:rPr>
                <w:rFonts w:ascii="Times New Roman" w:eastAsia="Times New Roman" w:hAnsi="Times New Roman" w:cs="Times New Roman"/>
                <w:sz w:val="24"/>
                <w:szCs w:val="24"/>
              </w:rPr>
              <w:t>3</w:t>
            </w:r>
          </w:hyperlink>
          <w:hyperlink w:anchor="_heading=h.yq2dtxfq2m7j">
            <w:r>
              <w:rPr>
                <w:rFonts w:ascii="Times New Roman" w:eastAsia="Times New Roman" w:hAnsi="Times New Roman" w:cs="Times New Roman"/>
                <w:color w:val="000000"/>
                <w:sz w:val="24"/>
                <w:szCs w:val="24"/>
              </w:rPr>
              <w:t>: Communication</w:t>
            </w:r>
            <w:r>
              <w:rPr>
                <w:rFonts w:ascii="Times New Roman" w:eastAsia="Times New Roman" w:hAnsi="Times New Roman" w:cs="Times New Roman"/>
                <w:color w:val="000000"/>
                <w:sz w:val="24"/>
                <w:szCs w:val="24"/>
              </w:rPr>
              <w:tab/>
              <w:t>18</w:t>
            </w:r>
          </w:hyperlink>
        </w:p>
        <w:p w14:paraId="5EAD5DA6" w14:textId="77777777" w:rsidR="002627AD" w:rsidRDefault="000214B4">
          <w:pPr>
            <w:widowControl w:val="0"/>
            <w:tabs>
              <w:tab w:val="right" w:pos="12000"/>
            </w:tabs>
            <w:spacing w:before="60" w:line="360" w:lineRule="auto"/>
            <w:rPr>
              <w:rFonts w:ascii="Times New Roman" w:eastAsia="Times New Roman" w:hAnsi="Times New Roman" w:cs="Times New Roman"/>
              <w:b/>
              <w:color w:val="000000"/>
              <w:sz w:val="24"/>
              <w:szCs w:val="24"/>
            </w:rPr>
          </w:pPr>
          <w:hyperlink w:anchor="_heading=h.y7liz7128hpt">
            <w:r>
              <w:rPr>
                <w:rFonts w:ascii="Times New Roman" w:eastAsia="Times New Roman" w:hAnsi="Times New Roman" w:cs="Times New Roman"/>
                <w:color w:val="000000"/>
                <w:sz w:val="24"/>
                <w:szCs w:val="24"/>
              </w:rPr>
              <w:t xml:space="preserve">Fig </w:t>
            </w:r>
          </w:hyperlink>
          <w:hyperlink w:anchor="_heading=h.y7liz7128hpt">
            <w:r>
              <w:rPr>
                <w:rFonts w:ascii="Times New Roman" w:eastAsia="Times New Roman" w:hAnsi="Times New Roman" w:cs="Times New Roman"/>
                <w:sz w:val="24"/>
                <w:szCs w:val="24"/>
              </w:rPr>
              <w:t>4</w:t>
            </w:r>
          </w:hyperlink>
          <w:hyperlink w:anchor="_heading=h.y7liz7128hpt">
            <w:r>
              <w:rPr>
                <w:rFonts w:ascii="Times New Roman" w:eastAsia="Times New Roman" w:hAnsi="Times New Roman" w:cs="Times New Roman"/>
                <w:color w:val="000000"/>
                <w:sz w:val="24"/>
                <w:szCs w:val="24"/>
              </w:rPr>
              <w:t>: Coordination</w:t>
            </w:r>
            <w:r>
              <w:rPr>
                <w:rFonts w:ascii="Times New Roman" w:eastAsia="Times New Roman" w:hAnsi="Times New Roman" w:cs="Times New Roman"/>
                <w:color w:val="000000"/>
                <w:sz w:val="24"/>
                <w:szCs w:val="24"/>
              </w:rPr>
              <w:tab/>
              <w:t>19</w:t>
            </w:r>
          </w:hyperlink>
          <w:r>
            <w:fldChar w:fldCharType="end"/>
          </w:r>
        </w:p>
      </w:sdtContent>
    </w:sdt>
    <w:p w14:paraId="3BEE9BB9" w14:textId="77777777" w:rsidR="002627AD" w:rsidRDefault="002627A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BD8C9B2"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br w:type="page"/>
      </w:r>
    </w:p>
    <w:p w14:paraId="56BE8210"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LIST OF TABLES</w:t>
      </w:r>
    </w:p>
    <w:sdt>
      <w:sdtPr>
        <w:id w:val="1990033598"/>
        <w:docPartObj>
          <w:docPartGallery w:val="Table of Contents"/>
          <w:docPartUnique/>
        </w:docPartObj>
      </w:sdtPr>
      <w:sdtEndPr/>
      <w:sdtContent>
        <w:p w14:paraId="659075D4" w14:textId="77777777" w:rsidR="002627AD" w:rsidRDefault="000214B4">
          <w:pPr>
            <w:widowControl w:val="0"/>
            <w:tabs>
              <w:tab w:val="right" w:pos="12000"/>
            </w:tabs>
            <w:spacing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42x625xnib6c">
            <w:r>
              <w:rPr>
                <w:rFonts w:ascii="Times New Roman" w:eastAsia="Times New Roman" w:hAnsi="Times New Roman" w:cs="Times New Roman"/>
                <w:color w:val="000000"/>
                <w:sz w:val="24"/>
                <w:szCs w:val="24"/>
              </w:rPr>
              <w:t>Table 1: Six-Month Launch Timeline</w:t>
            </w:r>
            <w:r>
              <w:rPr>
                <w:rFonts w:ascii="Times New Roman" w:eastAsia="Times New Roman" w:hAnsi="Times New Roman" w:cs="Times New Roman"/>
                <w:color w:val="000000"/>
                <w:sz w:val="24"/>
                <w:szCs w:val="24"/>
              </w:rPr>
              <w:tab/>
              <w:t>7</w:t>
            </w:r>
          </w:hyperlink>
        </w:p>
        <w:p w14:paraId="720533EF" w14:textId="77777777" w:rsidR="002627AD" w:rsidRDefault="000214B4">
          <w:pPr>
            <w:widowControl w:val="0"/>
            <w:tabs>
              <w:tab w:val="right" w:pos="12000"/>
            </w:tabs>
            <w:spacing w:line="360" w:lineRule="auto"/>
            <w:rPr>
              <w:rFonts w:ascii="Times New Roman" w:eastAsia="Times New Roman" w:hAnsi="Times New Roman" w:cs="Times New Roman"/>
              <w:color w:val="000000"/>
              <w:sz w:val="24"/>
              <w:szCs w:val="24"/>
            </w:rPr>
          </w:pPr>
          <w:hyperlink w:anchor="_heading=h.2c3ptqi82uxe">
            <w:r>
              <w:rPr>
                <w:rFonts w:ascii="Times New Roman" w:eastAsia="Times New Roman" w:hAnsi="Times New Roman" w:cs="Times New Roman"/>
                <w:color w:val="000000"/>
                <w:sz w:val="24"/>
                <w:szCs w:val="24"/>
              </w:rPr>
              <w:t>Table 2: SWOT Analysis</w:t>
            </w:r>
            <w:r>
              <w:rPr>
                <w:rFonts w:ascii="Times New Roman" w:eastAsia="Times New Roman" w:hAnsi="Times New Roman" w:cs="Times New Roman"/>
                <w:color w:val="000000"/>
                <w:sz w:val="24"/>
                <w:szCs w:val="24"/>
              </w:rPr>
              <w:tab/>
              <w:t>8</w:t>
            </w:r>
          </w:hyperlink>
        </w:p>
        <w:p w14:paraId="4CA64392" w14:textId="77777777" w:rsidR="002627AD" w:rsidRDefault="000214B4">
          <w:pPr>
            <w:widowControl w:val="0"/>
            <w:tabs>
              <w:tab w:val="right" w:pos="12000"/>
            </w:tabs>
            <w:spacing w:line="360" w:lineRule="auto"/>
            <w:rPr>
              <w:rFonts w:ascii="Times New Roman" w:eastAsia="Times New Roman" w:hAnsi="Times New Roman" w:cs="Times New Roman"/>
              <w:color w:val="000000"/>
              <w:sz w:val="24"/>
              <w:szCs w:val="24"/>
            </w:rPr>
          </w:pPr>
          <w:hyperlink w:anchor="_heading=h.up6k4fokxng8">
            <w:r>
              <w:rPr>
                <w:rFonts w:ascii="Times New Roman" w:eastAsia="Times New Roman" w:hAnsi="Times New Roman" w:cs="Times New Roman"/>
                <w:color w:val="000000"/>
                <w:sz w:val="24"/>
                <w:szCs w:val="24"/>
              </w:rPr>
              <w:t>Table 3: P</w:t>
            </w:r>
          </w:hyperlink>
          <w:hyperlink w:anchor="_heading=h.up6k4fokxng8">
            <w:r>
              <w:rPr>
                <w:rFonts w:ascii="Times New Roman" w:eastAsia="Times New Roman" w:hAnsi="Times New Roman" w:cs="Times New Roman"/>
                <w:sz w:val="24"/>
                <w:szCs w:val="24"/>
              </w:rPr>
              <w:t>orter Five Forces</w:t>
            </w:r>
          </w:hyperlink>
          <w:hyperlink w:anchor="_heading=h.up6k4fokxng8">
            <w:r>
              <w:rPr>
                <w:rFonts w:ascii="Times New Roman" w:eastAsia="Times New Roman" w:hAnsi="Times New Roman" w:cs="Times New Roman"/>
                <w:color w:val="000000"/>
                <w:sz w:val="24"/>
                <w:szCs w:val="24"/>
              </w:rPr>
              <w:tab/>
              <w:t>10</w:t>
            </w:r>
          </w:hyperlink>
        </w:p>
        <w:p w14:paraId="217B1986" w14:textId="77777777" w:rsidR="002627AD" w:rsidRDefault="000214B4">
          <w:pPr>
            <w:widowControl w:val="0"/>
            <w:tabs>
              <w:tab w:val="right" w:pos="12000"/>
            </w:tabs>
            <w:spacing w:line="360" w:lineRule="auto"/>
            <w:rPr>
              <w:rFonts w:ascii="Times New Roman" w:eastAsia="Times New Roman" w:hAnsi="Times New Roman" w:cs="Times New Roman"/>
              <w:color w:val="000000"/>
              <w:sz w:val="24"/>
              <w:szCs w:val="24"/>
            </w:rPr>
          </w:pPr>
          <w:hyperlink w:anchor="_heading=h.l5m6d6ylld24">
            <w:r>
              <w:rPr>
                <w:rFonts w:ascii="Times New Roman" w:eastAsia="Times New Roman" w:hAnsi="Times New Roman" w:cs="Times New Roman"/>
                <w:color w:val="000000"/>
                <w:sz w:val="24"/>
                <w:szCs w:val="24"/>
              </w:rPr>
              <w:t>Table 4: SMART Objectives</w:t>
            </w:r>
            <w:r>
              <w:rPr>
                <w:rFonts w:ascii="Times New Roman" w:eastAsia="Times New Roman" w:hAnsi="Times New Roman" w:cs="Times New Roman"/>
                <w:color w:val="000000"/>
                <w:sz w:val="24"/>
                <w:szCs w:val="24"/>
              </w:rPr>
              <w:tab/>
              <w:t>10</w:t>
            </w:r>
          </w:hyperlink>
        </w:p>
        <w:p w14:paraId="0A8EE939" w14:textId="77777777" w:rsidR="002627AD" w:rsidRDefault="000214B4">
          <w:pPr>
            <w:widowControl w:val="0"/>
            <w:tabs>
              <w:tab w:val="right" w:pos="12000"/>
            </w:tabs>
            <w:spacing w:line="360" w:lineRule="auto"/>
            <w:rPr>
              <w:rFonts w:ascii="Times New Roman" w:eastAsia="Times New Roman" w:hAnsi="Times New Roman" w:cs="Times New Roman"/>
              <w:color w:val="000000"/>
              <w:sz w:val="24"/>
              <w:szCs w:val="24"/>
            </w:rPr>
          </w:pPr>
          <w:hyperlink w:anchor="_heading=h.vbgmfeqm4duz">
            <w:r>
              <w:rPr>
                <w:rFonts w:ascii="Times New Roman" w:eastAsia="Times New Roman" w:hAnsi="Times New Roman" w:cs="Times New Roman"/>
                <w:color w:val="000000"/>
                <w:sz w:val="24"/>
                <w:szCs w:val="24"/>
              </w:rPr>
              <w:t>Table 5:  Internal Stakeholders</w:t>
            </w:r>
            <w:r>
              <w:rPr>
                <w:rFonts w:ascii="Times New Roman" w:eastAsia="Times New Roman" w:hAnsi="Times New Roman" w:cs="Times New Roman"/>
                <w:color w:val="000000"/>
                <w:sz w:val="24"/>
                <w:szCs w:val="24"/>
              </w:rPr>
              <w:tab/>
              <w:t>11</w:t>
            </w:r>
          </w:hyperlink>
        </w:p>
        <w:p w14:paraId="2795E462" w14:textId="77777777" w:rsidR="002627AD" w:rsidRDefault="000214B4">
          <w:pPr>
            <w:widowControl w:val="0"/>
            <w:tabs>
              <w:tab w:val="right" w:pos="12000"/>
            </w:tabs>
            <w:spacing w:line="360" w:lineRule="auto"/>
            <w:rPr>
              <w:rFonts w:ascii="Times New Roman" w:eastAsia="Times New Roman" w:hAnsi="Times New Roman" w:cs="Times New Roman"/>
              <w:color w:val="000000"/>
              <w:sz w:val="24"/>
              <w:szCs w:val="24"/>
            </w:rPr>
          </w:pPr>
          <w:hyperlink w:anchor="_heading=h.mrz2pzfxi7uv">
            <w:r>
              <w:rPr>
                <w:rFonts w:ascii="Times New Roman" w:eastAsia="Times New Roman" w:hAnsi="Times New Roman" w:cs="Times New Roman"/>
                <w:color w:val="000000"/>
                <w:sz w:val="24"/>
                <w:szCs w:val="24"/>
              </w:rPr>
              <w:t>Table 6:  External Stakeholders</w:t>
            </w:r>
            <w:r>
              <w:rPr>
                <w:rFonts w:ascii="Times New Roman" w:eastAsia="Times New Roman" w:hAnsi="Times New Roman" w:cs="Times New Roman"/>
                <w:color w:val="000000"/>
                <w:sz w:val="24"/>
                <w:szCs w:val="24"/>
              </w:rPr>
              <w:tab/>
              <w:t>12</w:t>
            </w:r>
          </w:hyperlink>
        </w:p>
        <w:p w14:paraId="3C6751AD" w14:textId="77777777" w:rsidR="002627AD" w:rsidRDefault="000214B4">
          <w:pPr>
            <w:widowControl w:val="0"/>
            <w:tabs>
              <w:tab w:val="right" w:pos="12000"/>
            </w:tabs>
            <w:spacing w:line="360" w:lineRule="auto"/>
            <w:rPr>
              <w:rFonts w:ascii="Times New Roman" w:eastAsia="Times New Roman" w:hAnsi="Times New Roman" w:cs="Times New Roman"/>
              <w:color w:val="000000"/>
              <w:sz w:val="24"/>
              <w:szCs w:val="24"/>
            </w:rPr>
          </w:pPr>
          <w:hyperlink w:anchor="_heading=h.euyrl7hbii3a">
            <w:r>
              <w:rPr>
                <w:rFonts w:ascii="Times New Roman" w:eastAsia="Times New Roman" w:hAnsi="Times New Roman" w:cs="Times New Roman"/>
                <w:color w:val="000000"/>
                <w:sz w:val="24"/>
                <w:szCs w:val="24"/>
              </w:rPr>
              <w:t>Table 7:  Engagement Plan</w:t>
            </w:r>
            <w:r>
              <w:rPr>
                <w:rFonts w:ascii="Times New Roman" w:eastAsia="Times New Roman" w:hAnsi="Times New Roman" w:cs="Times New Roman"/>
                <w:color w:val="000000"/>
                <w:sz w:val="24"/>
                <w:szCs w:val="24"/>
              </w:rPr>
              <w:tab/>
              <w:t>15</w:t>
            </w:r>
          </w:hyperlink>
        </w:p>
        <w:p w14:paraId="62B53E06" w14:textId="77777777" w:rsidR="002627AD" w:rsidRDefault="000214B4">
          <w:pPr>
            <w:widowControl w:val="0"/>
            <w:tabs>
              <w:tab w:val="right" w:pos="12000"/>
            </w:tabs>
            <w:spacing w:line="360" w:lineRule="auto"/>
            <w:rPr>
              <w:rFonts w:ascii="Times New Roman" w:eastAsia="Times New Roman" w:hAnsi="Times New Roman" w:cs="Times New Roman"/>
              <w:b/>
              <w:color w:val="000000"/>
              <w:sz w:val="24"/>
              <w:szCs w:val="24"/>
            </w:rPr>
          </w:pPr>
          <w:hyperlink w:anchor="_heading=h.4bi0485wgqzz">
            <w:r>
              <w:rPr>
                <w:rFonts w:ascii="Times New Roman" w:eastAsia="Times New Roman" w:hAnsi="Times New Roman" w:cs="Times New Roman"/>
                <w:color w:val="000000"/>
                <w:sz w:val="24"/>
                <w:szCs w:val="24"/>
              </w:rPr>
              <w:t>Table 8:  RACI Matrix</w:t>
            </w:r>
            <w:r>
              <w:rPr>
                <w:rFonts w:ascii="Times New Roman" w:eastAsia="Times New Roman" w:hAnsi="Times New Roman" w:cs="Times New Roman"/>
                <w:color w:val="000000"/>
                <w:sz w:val="24"/>
                <w:szCs w:val="24"/>
              </w:rPr>
              <w:tab/>
              <w:t>16</w:t>
            </w:r>
          </w:hyperlink>
          <w:r>
            <w:fldChar w:fldCharType="end"/>
          </w:r>
        </w:p>
      </w:sdtContent>
    </w:sdt>
    <w:p w14:paraId="5E1966C3" w14:textId="77777777" w:rsidR="002627AD" w:rsidRDefault="002627AD">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0F8826FA"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br w:type="page"/>
      </w:r>
    </w:p>
    <w:p w14:paraId="754BFA04" w14:textId="77777777" w:rsidR="002627AD" w:rsidRDefault="002627AD">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p>
    <w:p w14:paraId="7EC36A4E"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3" w:name="_heading=h.d9zfe09bw2fd" w:colFirst="0" w:colLast="0"/>
      <w:bookmarkEnd w:id="3"/>
      <w:r>
        <w:rPr>
          <w:rFonts w:ascii="Times New Roman" w:eastAsia="Times New Roman" w:hAnsi="Times New Roman" w:cs="Times New Roman"/>
          <w:b/>
          <w:sz w:val="28"/>
          <w:szCs w:val="28"/>
        </w:rPr>
        <w:t>1.0 Introduction to the Company</w:t>
      </w:r>
    </w:p>
    <w:p w14:paraId="29D2201C"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Vodafone Group Plc is one of the most dominant telecommunication and digital technology providers in Europe and Africa, where it serves over 340 million mobile subscribers, 22 million users of its broadband, and 15 million television subscribers in 15 countries and partners in more than 40 others. The company runs the largest managed Internet of Things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xml:space="preserve">) platform to connect over 205 million devices in the world, as well as pursues financial inclusion, with services reaching 77 million users. Vodafone, with a workforce of approximately 92,000 employees and contractors, has a key role to play in the economic development and digital transformation. It has three priorities—customers, simplicity, and growth—which are reinforced by investment in 5G, cloud technology, AI, and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Vodafone has recorded €37.4 billion in revenue (of which €30.8 billion is servi</w:t>
      </w:r>
      <w:r>
        <w:rPr>
          <w:rFonts w:ascii="Times New Roman" w:eastAsia="Times New Roman" w:hAnsi="Times New Roman" w:cs="Times New Roman"/>
          <w:color w:val="000000"/>
          <w:sz w:val="24"/>
          <w:szCs w:val="24"/>
        </w:rPr>
        <w:t xml:space="preserve">ce revenue) in FY25 (Vodafone, 2025). In addition to core connectivity, it is expanding into high-growth sectors, including digital services and cybersecurity and technologies in healthcare. Vodafone is developing itself as a healthcare facilitator with the help of the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enabling wearable devices to monitor health indicators (heart rate, oxygen levels, and sleep) and improve digital well-being.</w:t>
      </w:r>
    </w:p>
    <w:p w14:paraId="7D2689B1"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4" w:name="_heading=h.fjpck0o0gpjh" w:colFirst="0" w:colLast="0"/>
      <w:bookmarkEnd w:id="4"/>
      <w:r>
        <w:rPr>
          <w:rFonts w:ascii="Times New Roman" w:eastAsia="Times New Roman" w:hAnsi="Times New Roman" w:cs="Times New Roman"/>
          <w:b/>
          <w:sz w:val="28"/>
          <w:szCs w:val="28"/>
        </w:rPr>
        <w:t>2.0 Project Outline</w:t>
      </w:r>
    </w:p>
    <w:p w14:paraId="4A7D3BFE"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5" w:name="_heading=h.llz3gc3e516a" w:colFirst="0" w:colLast="0"/>
      <w:bookmarkEnd w:id="5"/>
      <w:r>
        <w:rPr>
          <w:rFonts w:ascii="Times New Roman" w:eastAsia="Times New Roman" w:hAnsi="Times New Roman" w:cs="Times New Roman"/>
          <w:b/>
          <w:sz w:val="26"/>
          <w:szCs w:val="26"/>
        </w:rPr>
        <w:t>2.1 Description of the Device</w:t>
      </w:r>
    </w:p>
    <w:p w14:paraId="4173604E"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Vodafone is creating the next-generation wearable health device, which tracks the heart rate, blood oxygen saturation (SpO2), and sleep patterns (Devi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2023). The device works together with smartphones and healthcare applications, providing real-time monitoring, </w:t>
      </w:r>
      <w:proofErr w:type="spellStart"/>
      <w:r>
        <w:rPr>
          <w:rFonts w:ascii="Times New Roman" w:eastAsia="Times New Roman" w:hAnsi="Times New Roman" w:cs="Times New Roman"/>
          <w:color w:val="000000"/>
          <w:sz w:val="24"/>
          <w:szCs w:val="24"/>
        </w:rPr>
        <w:t>personalised</w:t>
      </w:r>
      <w:proofErr w:type="spellEnd"/>
      <w:r>
        <w:rPr>
          <w:rFonts w:ascii="Times New Roman" w:eastAsia="Times New Roman" w:hAnsi="Times New Roman" w:cs="Times New Roman"/>
          <w:color w:val="000000"/>
          <w:sz w:val="24"/>
          <w:szCs w:val="24"/>
        </w:rPr>
        <w:t xml:space="preserve"> health insights as well as secure data sharing. Its design is aimed at individual consumers, who would like to monitor their personal well-being, and healthcare providers, who could </w:t>
      </w:r>
      <w:proofErr w:type="spellStart"/>
      <w:r>
        <w:rPr>
          <w:rFonts w:ascii="Times New Roman" w:eastAsia="Times New Roman" w:hAnsi="Times New Roman" w:cs="Times New Roman"/>
          <w:color w:val="000000"/>
          <w:sz w:val="24"/>
          <w:szCs w:val="24"/>
        </w:rPr>
        <w:t>utili</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e</w:t>
      </w:r>
      <w:proofErr w:type="spellEnd"/>
      <w:r>
        <w:rPr>
          <w:rFonts w:ascii="Times New Roman" w:eastAsia="Times New Roman" w:hAnsi="Times New Roman" w:cs="Times New Roman"/>
          <w:color w:val="000000"/>
          <w:sz w:val="24"/>
          <w:szCs w:val="24"/>
        </w:rPr>
        <w:t xml:space="preserve"> aggregated data to monitor remote patients and preventive healthcare (Thakkar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2022).</w:t>
      </w:r>
    </w:p>
    <w:p w14:paraId="024272CC"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6" w:name="_heading=h.uu6awelkkmzv" w:colFirst="0" w:colLast="0"/>
      <w:bookmarkEnd w:id="6"/>
      <w:r>
        <w:rPr>
          <w:rFonts w:ascii="Times New Roman" w:eastAsia="Times New Roman" w:hAnsi="Times New Roman" w:cs="Times New Roman"/>
          <w:b/>
          <w:sz w:val="26"/>
          <w:szCs w:val="26"/>
        </w:rPr>
        <w:t>2.2 Six-Month Launch Timeline</w:t>
      </w:r>
    </w:p>
    <w:p w14:paraId="4A3AA326"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project follows an accelerated six-month development and launch plan. This tight schedule requires effective coordination across Vodafone’s R&amp;D, supply chain, marketing, sales, and regulatory affairs teams (</w:t>
      </w:r>
      <w:proofErr w:type="spellStart"/>
      <w:r>
        <w:rPr>
          <w:rFonts w:ascii="Times New Roman" w:eastAsia="Times New Roman" w:hAnsi="Times New Roman" w:cs="Times New Roman"/>
          <w:color w:val="000000"/>
          <w:sz w:val="24"/>
          <w:szCs w:val="24"/>
        </w:rPr>
        <w:t>Zehrung</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w:t>
      </w:r>
    </w:p>
    <w:tbl>
      <w:tblPr>
        <w:tblStyle w:val="af"/>
        <w:tblW w:w="9269" w:type="dxa"/>
        <w:tblInd w:w="1" w:type="dxa"/>
        <w:tblBorders>
          <w:top w:val="nil"/>
          <w:left w:val="nil"/>
          <w:bottom w:val="nil"/>
          <w:right w:val="nil"/>
          <w:insideH w:val="nil"/>
          <w:insideV w:val="nil"/>
        </w:tblBorders>
        <w:tblLayout w:type="fixed"/>
        <w:tblLook w:val="0600" w:firstRow="0" w:lastRow="0" w:firstColumn="0" w:lastColumn="0" w:noHBand="1" w:noVBand="1"/>
      </w:tblPr>
      <w:tblGrid>
        <w:gridCol w:w="1484"/>
        <w:gridCol w:w="2466"/>
        <w:gridCol w:w="5319"/>
      </w:tblGrid>
      <w:tr w:rsidR="002627AD" w14:paraId="16C85758" w14:textId="77777777">
        <w:trPr>
          <w:cantSplit/>
          <w:trHeight w:val="360"/>
          <w:tblHeader/>
        </w:trPr>
        <w:tc>
          <w:tcPr>
            <w:tcW w:w="1484"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4691B4A2"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Month</w:t>
            </w:r>
          </w:p>
        </w:tc>
        <w:tc>
          <w:tcPr>
            <w:tcW w:w="2466"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5ECB94CC"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Key Activities</w:t>
            </w:r>
          </w:p>
        </w:tc>
        <w:tc>
          <w:tcPr>
            <w:tcW w:w="5319"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4318502B"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Details</w:t>
            </w:r>
          </w:p>
        </w:tc>
      </w:tr>
      <w:tr w:rsidR="002627AD" w14:paraId="23E52ED1" w14:textId="77777777">
        <w:trPr>
          <w:cantSplit/>
          <w:trHeight w:val="960"/>
          <w:tblHeader/>
        </w:trPr>
        <w:tc>
          <w:tcPr>
            <w:tcW w:w="1484"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ECB76A8"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1–2</w:t>
            </w:r>
          </w:p>
        </w:tc>
        <w:tc>
          <w:tcPr>
            <w:tcW w:w="2466"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E93BA88"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Product Design &amp; Testing</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467F9C2"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proofErr w:type="spellStart"/>
            <w:r>
              <w:rPr>
                <w:rFonts w:ascii="Times New Roman" w:eastAsia="Times New Roman" w:hAnsi="Times New Roman" w:cs="Times New Roman"/>
                <w:color w:val="000000"/>
                <w:sz w:val="24"/>
                <w:szCs w:val="24"/>
              </w:rPr>
              <w:t>Finalise</w:t>
            </w:r>
            <w:proofErr w:type="spellEnd"/>
            <w:r>
              <w:rPr>
                <w:rFonts w:ascii="Times New Roman" w:eastAsia="Times New Roman" w:hAnsi="Times New Roman" w:cs="Times New Roman"/>
                <w:color w:val="000000"/>
                <w:sz w:val="24"/>
                <w:szCs w:val="24"/>
              </w:rPr>
              <w:t xml:space="preserve"> wearable device design and complete internal technical testing to ensure functionality and reliability.</w:t>
            </w:r>
          </w:p>
        </w:tc>
      </w:tr>
      <w:tr w:rsidR="002627AD" w14:paraId="2FE95220" w14:textId="77777777">
        <w:trPr>
          <w:cantSplit/>
          <w:trHeight w:val="660"/>
          <w:tblHeader/>
        </w:trPr>
        <w:tc>
          <w:tcPr>
            <w:tcW w:w="1484"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2A41C944"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2–3</w:t>
            </w:r>
          </w:p>
        </w:tc>
        <w:tc>
          <w:tcPr>
            <w:tcW w:w="2466"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38D2F82A"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Regulatory Compliance</w:t>
            </w:r>
          </w:p>
        </w:tc>
        <w:tc>
          <w:tcPr>
            <w:tcW w:w="5319"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0874185"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Secure approval under UK and EU medical device and consumer safety regulations.</w:t>
            </w:r>
          </w:p>
        </w:tc>
      </w:tr>
      <w:tr w:rsidR="002627AD" w14:paraId="0AFD4CA2" w14:textId="77777777">
        <w:trPr>
          <w:cantSplit/>
          <w:trHeight w:val="960"/>
          <w:tblHeader/>
        </w:trPr>
        <w:tc>
          <w:tcPr>
            <w:tcW w:w="1484"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500620E"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3–4</w:t>
            </w:r>
          </w:p>
        </w:tc>
        <w:tc>
          <w:tcPr>
            <w:tcW w:w="2466"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ABE710E"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Marketing Development</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703E1E2"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Create and initiate marketing campaigns, including online advertisement, cooperation, and pre-launching of campaigns.</w:t>
            </w:r>
          </w:p>
        </w:tc>
      </w:tr>
      <w:tr w:rsidR="002627AD" w14:paraId="53E921EE" w14:textId="77777777">
        <w:trPr>
          <w:cantSplit/>
          <w:trHeight w:val="960"/>
          <w:tblHeader/>
        </w:trPr>
        <w:tc>
          <w:tcPr>
            <w:tcW w:w="1484"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327198CD"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4–5</w:t>
            </w:r>
          </w:p>
        </w:tc>
        <w:tc>
          <w:tcPr>
            <w:tcW w:w="2466"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4AFFC1EB"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Pilot Testing &amp; Feedback</w:t>
            </w:r>
          </w:p>
        </w:tc>
        <w:tc>
          <w:tcPr>
            <w:tcW w:w="5319"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0BF3F38"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Pilot testing; after some select users, receive feedback to make the device features and usability as optimal as possible.</w:t>
            </w:r>
          </w:p>
        </w:tc>
      </w:tr>
      <w:tr w:rsidR="002627AD" w14:paraId="55AAB8C2" w14:textId="77777777">
        <w:trPr>
          <w:cantSplit/>
          <w:trHeight w:val="960"/>
          <w:tblHeader/>
        </w:trPr>
        <w:tc>
          <w:tcPr>
            <w:tcW w:w="1484"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31C79874"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w:t>
            </w:r>
          </w:p>
        </w:tc>
        <w:tc>
          <w:tcPr>
            <w:tcW w:w="2466"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513070AF"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Final Launch</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4A5FBB8C"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Distribution, retailing and official launching of the product to the consumer market.</w:t>
            </w:r>
          </w:p>
        </w:tc>
      </w:tr>
    </w:tbl>
    <w:p w14:paraId="117ECE95"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7" w:name="_heading=h.42x625xnib6c" w:colFirst="0" w:colLast="0"/>
      <w:bookmarkEnd w:id="7"/>
      <w:r>
        <w:rPr>
          <w:rFonts w:ascii="Times New Roman" w:eastAsia="Times New Roman" w:hAnsi="Times New Roman" w:cs="Times New Roman"/>
        </w:rPr>
        <w:t xml:space="preserve"> </w:t>
      </w:r>
      <w:r>
        <w:rPr>
          <w:rFonts w:ascii="Times New Roman" w:eastAsia="Times New Roman" w:hAnsi="Times New Roman" w:cs="Times New Roman"/>
          <w:b/>
          <w:color w:val="000000"/>
          <w:sz w:val="24"/>
          <w:szCs w:val="24"/>
        </w:rPr>
        <w:t>Table 1: Six-Month Launch Timeline</w:t>
      </w:r>
    </w:p>
    <w:p w14:paraId="48C7F761"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Self-Generated)</w:t>
      </w:r>
    </w:p>
    <w:p w14:paraId="3A6A287E"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8" w:name="_heading=h.gajfd7z7ew9" w:colFirst="0" w:colLast="0"/>
      <w:bookmarkEnd w:id="8"/>
      <w:r>
        <w:rPr>
          <w:rFonts w:ascii="Times New Roman" w:eastAsia="Times New Roman" w:hAnsi="Times New Roman" w:cs="Times New Roman"/>
          <w:b/>
          <w:sz w:val="26"/>
          <w:szCs w:val="26"/>
        </w:rPr>
        <w:t>2.3 Strategic Alignment</w:t>
      </w:r>
    </w:p>
    <w:p w14:paraId="15A044F7"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 xml:space="preserve">The project also contributes to the larger strategy of Vodafone to diversify into the digital services and </w:t>
      </w:r>
      <w:proofErr w:type="spellStart"/>
      <w:r>
        <w:rPr>
          <w:rFonts w:ascii="Times New Roman" w:eastAsia="Times New Roman" w:hAnsi="Times New Roman" w:cs="Times New Roman"/>
          <w:color w:val="111111"/>
          <w:sz w:val="24"/>
          <w:szCs w:val="24"/>
        </w:rPr>
        <w:t>IoT</w:t>
      </w:r>
      <w:proofErr w:type="spellEnd"/>
      <w:r>
        <w:rPr>
          <w:rFonts w:ascii="Times New Roman" w:eastAsia="Times New Roman" w:hAnsi="Times New Roman" w:cs="Times New Roman"/>
          <w:color w:val="111111"/>
          <w:sz w:val="24"/>
          <w:szCs w:val="24"/>
        </w:rPr>
        <w:t>-based healthcare, upon which the project is directly dependent.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Having more than 205 million </w:t>
      </w:r>
      <w:proofErr w:type="spellStart"/>
      <w:r>
        <w:rPr>
          <w:rFonts w:ascii="Times New Roman" w:eastAsia="Times New Roman" w:hAnsi="Times New Roman" w:cs="Times New Roman"/>
          <w:color w:val="111111"/>
          <w:sz w:val="24"/>
          <w:szCs w:val="24"/>
        </w:rPr>
        <w:t>ionotron</w:t>
      </w:r>
      <w:proofErr w:type="spellEnd"/>
      <w:r>
        <w:rPr>
          <w:rFonts w:ascii="Times New Roman" w:eastAsia="Times New Roman" w:hAnsi="Times New Roman" w:cs="Times New Roman"/>
          <w:color w:val="111111"/>
          <w:sz w:val="24"/>
          <w:szCs w:val="24"/>
        </w:rPr>
        <w:t xml:space="preserve"> connections across the globe, as well as revenue of </w:t>
      </w:r>
      <w:r>
        <w:rPr>
          <w:rFonts w:ascii="Times New Roman" w:eastAsia="Times New Roman" w:hAnsi="Times New Roman" w:cs="Times New Roman"/>
          <w:sz w:val="24"/>
          <w:szCs w:val="24"/>
        </w:rPr>
        <w:t xml:space="preserve">€37.4 </w:t>
      </w:r>
      <w:r>
        <w:rPr>
          <w:rFonts w:ascii="Times New Roman" w:eastAsia="Times New Roman" w:hAnsi="Times New Roman" w:cs="Times New Roman"/>
          <w:color w:val="111111"/>
          <w:sz w:val="24"/>
          <w:szCs w:val="24"/>
        </w:rPr>
        <w:t>billion in FY 25, Vodafone is best placed to capitalize on its size, collaboration, and technology platforms ( Vodafone, 2025).</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Not only does the wearable device tap into the emerging health-tech market around the world but it also increases the reputation of Vodafone as a digital health enabler.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The project is relevant to the long-term goals of </w:t>
      </w:r>
      <w:r>
        <w:rPr>
          <w:rFonts w:ascii="Times New Roman" w:eastAsia="Times New Roman" w:hAnsi="Times New Roman" w:cs="Times New Roman"/>
          <w:color w:val="111111"/>
          <w:sz w:val="24"/>
          <w:szCs w:val="24"/>
        </w:rPr>
        <w:t>Vodafone to grow, connect with customers, and impact the society as it aligns innovation with consumer health needs and preventive care (</w:t>
      </w:r>
      <w:proofErr w:type="spellStart"/>
      <w:r>
        <w:rPr>
          <w:rFonts w:ascii="Times New Roman" w:eastAsia="Times New Roman" w:hAnsi="Times New Roman" w:cs="Times New Roman"/>
          <w:color w:val="111111"/>
          <w:sz w:val="24"/>
          <w:szCs w:val="24"/>
        </w:rPr>
        <w:t>Umair</w:t>
      </w:r>
      <w:proofErr w:type="spellEnd"/>
      <w:r>
        <w:rPr>
          <w:rFonts w:ascii="Times New Roman" w:eastAsia="Times New Roman" w:hAnsi="Times New Roman" w:cs="Times New Roman"/>
          <w:color w:val="111111"/>
          <w:sz w:val="24"/>
          <w:szCs w:val="24"/>
        </w:rPr>
        <w:t xml:space="preserve"> et al., 2021).</w:t>
      </w:r>
    </w:p>
    <w:p w14:paraId="40826D61" w14:textId="77777777" w:rsidR="002627AD" w:rsidRDefault="002627A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6AAFE2C" w14:textId="77777777" w:rsidR="002627AD" w:rsidRDefault="002627A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8E5D951"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9" w:name="_heading=h.cbe1agg4l3xg" w:colFirst="0" w:colLast="0"/>
      <w:bookmarkEnd w:id="9"/>
      <w:r>
        <w:br w:type="page"/>
      </w:r>
    </w:p>
    <w:p w14:paraId="34CED184"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10" w:name="_heading=h.yiyq3dz57pqh" w:colFirst="0" w:colLast="0"/>
      <w:bookmarkEnd w:id="10"/>
      <w:r>
        <w:rPr>
          <w:rFonts w:ascii="Times New Roman" w:eastAsia="Times New Roman" w:hAnsi="Times New Roman" w:cs="Times New Roman"/>
          <w:b/>
          <w:sz w:val="28"/>
          <w:szCs w:val="28"/>
        </w:rPr>
        <w:t>3.0 Company Appraisal: Situational Analysis</w:t>
      </w:r>
    </w:p>
    <w:p w14:paraId="7D488DAA" w14:textId="77777777" w:rsidR="002627AD" w:rsidRDefault="000214B4">
      <w:pPr>
        <w:pStyle w:val="Titlu2"/>
        <w:spacing w:before="0" w:after="0" w:line="360" w:lineRule="auto"/>
        <w:rPr>
          <w:rFonts w:ascii="Times New Roman" w:eastAsia="Times New Roman" w:hAnsi="Times New Roman" w:cs="Times New Roman"/>
          <w:b/>
          <w:sz w:val="26"/>
          <w:szCs w:val="26"/>
        </w:rPr>
      </w:pPr>
      <w:bookmarkStart w:id="11" w:name="_heading=h.6pc3dnsmjcym" w:colFirst="0" w:colLast="0"/>
      <w:bookmarkEnd w:id="11"/>
      <w:r>
        <w:rPr>
          <w:rFonts w:ascii="Times New Roman" w:eastAsia="Times New Roman" w:hAnsi="Times New Roman" w:cs="Times New Roman"/>
          <w:b/>
          <w:sz w:val="26"/>
          <w:szCs w:val="26"/>
        </w:rPr>
        <w:t>3.1 SMART Objectives</w:t>
      </w:r>
    </w:p>
    <w:sdt>
      <w:sdtPr>
        <w:tag w:val="goog_rdk_0"/>
        <w:id w:val="-1524963770"/>
        <w:lock w:val="contentLocked"/>
      </w:sdtPr>
      <w:sdtEndPr/>
      <w:sdtContent>
        <w:tbl>
          <w:tblPr>
            <w:tblStyle w:val="af0"/>
            <w:tblW w:w="9360"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1560"/>
            <w:gridCol w:w="1560"/>
            <w:gridCol w:w="1560"/>
            <w:gridCol w:w="1560"/>
            <w:gridCol w:w="1560"/>
            <w:gridCol w:w="1560"/>
          </w:tblGrid>
          <w:tr w:rsidR="002627AD" w14:paraId="3E38F3E2" w14:textId="77777777">
            <w:trPr>
              <w:cantSplit/>
              <w:trHeight w:val="360"/>
              <w:tblHeader/>
            </w:trPr>
            <w:tc>
              <w:tcPr>
                <w:tcW w:w="156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636FB55B"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FFFFFF"/>
                    <w:sz w:val="24"/>
                    <w:szCs w:val="24"/>
                  </w:rPr>
                  <w:t>Objective</w:t>
                </w:r>
              </w:p>
            </w:tc>
            <w:tc>
              <w:tcPr>
                <w:tcW w:w="156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4F8D54FA"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FFFFFF"/>
                    <w:sz w:val="24"/>
                    <w:szCs w:val="24"/>
                  </w:rPr>
                  <w:t>Specific</w:t>
                </w:r>
              </w:p>
            </w:tc>
            <w:tc>
              <w:tcPr>
                <w:tcW w:w="156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7C01CA64"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FFFFFF"/>
                    <w:sz w:val="24"/>
                    <w:szCs w:val="24"/>
                  </w:rPr>
                  <w:t>Measurable</w:t>
                </w:r>
              </w:p>
            </w:tc>
            <w:tc>
              <w:tcPr>
                <w:tcW w:w="156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6BBE5AC8"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FFFFFF"/>
                    <w:sz w:val="24"/>
                    <w:szCs w:val="24"/>
                  </w:rPr>
                  <w:t>Achievable</w:t>
                </w:r>
              </w:p>
            </w:tc>
            <w:tc>
              <w:tcPr>
                <w:tcW w:w="156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00AD9FA0"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FFFFFF"/>
                    <w:sz w:val="24"/>
                    <w:szCs w:val="24"/>
                  </w:rPr>
                  <w:t>Relevant</w:t>
                </w:r>
              </w:p>
            </w:tc>
            <w:tc>
              <w:tcPr>
                <w:tcW w:w="156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1FD15F12"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FFFFFF"/>
                    <w:sz w:val="24"/>
                    <w:szCs w:val="24"/>
                  </w:rPr>
                  <w:t>Time-Bound</w:t>
                </w:r>
              </w:p>
            </w:tc>
          </w:tr>
          <w:tr w:rsidR="002627AD" w14:paraId="1F88D1C0" w14:textId="77777777">
            <w:trPr>
              <w:cantSplit/>
              <w:trHeight w:val="645"/>
              <w:tblHeader/>
            </w:trPr>
            <w:tc>
              <w:tcPr>
                <w:tcW w:w="1560" w:type="dxa"/>
                <w:tcBorders>
                  <w:top w:val="single" w:sz="4" w:space="0" w:color="000000"/>
                  <w:left w:val="single" w:sz="4" w:space="0" w:color="000000"/>
                  <w:bottom w:val="single" w:sz="4" w:space="0" w:color="980000"/>
                  <w:right w:val="single" w:sz="4" w:space="0" w:color="000000"/>
                </w:tcBorders>
                <w:shd w:val="clear" w:color="auto" w:fill="F6F8F9"/>
                <w:tcMar>
                  <w:top w:w="40" w:type="dxa"/>
                  <w:left w:w="120" w:type="dxa"/>
                  <w:bottom w:w="40" w:type="dxa"/>
                  <w:right w:w="120" w:type="dxa"/>
                </w:tcMar>
                <w:vAlign w:val="center"/>
              </w:tcPr>
              <w:p w14:paraId="29F0E8E0" w14:textId="77777777" w:rsidR="002627AD" w:rsidRDefault="000214B4">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Create a product (a wearable device for health)</w:t>
                </w:r>
              </w:p>
            </w:tc>
            <w:tc>
              <w:tcPr>
                <w:tcW w:w="1560" w:type="dxa"/>
                <w:tcBorders>
                  <w:top w:val="single" w:sz="4" w:space="0" w:color="000000"/>
                  <w:left w:val="single" w:sz="4" w:space="0" w:color="000000"/>
                  <w:bottom w:val="single" w:sz="4" w:space="0" w:color="980000"/>
                  <w:right w:val="single" w:sz="4" w:space="0" w:color="000000"/>
                </w:tcBorders>
                <w:shd w:val="clear" w:color="auto" w:fill="F6F8F9"/>
                <w:tcMar>
                  <w:top w:w="40" w:type="dxa"/>
                  <w:left w:w="120" w:type="dxa"/>
                  <w:bottom w:w="40" w:type="dxa"/>
                  <w:right w:w="120" w:type="dxa"/>
                </w:tcMar>
                <w:vAlign w:val="center"/>
              </w:tcPr>
              <w:p w14:paraId="1A22AB59" w14:textId="77777777" w:rsidR="002627AD" w:rsidRDefault="000214B4">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Use heart rate monitors, oxygen saturation monitors, and sleep monitors.</w:t>
                </w:r>
              </w:p>
            </w:tc>
            <w:tc>
              <w:tcPr>
                <w:tcW w:w="1560" w:type="dxa"/>
                <w:tcBorders>
                  <w:top w:val="single" w:sz="4" w:space="0" w:color="000000"/>
                  <w:left w:val="single" w:sz="4" w:space="0" w:color="000000"/>
                  <w:bottom w:val="single" w:sz="4" w:space="0" w:color="980000"/>
                  <w:right w:val="single" w:sz="4" w:space="0" w:color="000000"/>
                </w:tcBorders>
                <w:shd w:val="clear" w:color="auto" w:fill="F6F8F9"/>
                <w:tcMar>
                  <w:top w:w="40" w:type="dxa"/>
                  <w:left w:w="120" w:type="dxa"/>
                  <w:bottom w:w="40" w:type="dxa"/>
                  <w:right w:w="120" w:type="dxa"/>
                </w:tcMar>
                <w:vAlign w:val="center"/>
              </w:tcPr>
              <w:p w14:paraId="3F14443B" w14:textId="77777777" w:rsidR="002627AD" w:rsidRDefault="000214B4">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Full product launch in six months, compliant to MHRA and EU</w:t>
                </w:r>
                <w:r>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980000"/>
                  <w:right w:val="single" w:sz="4" w:space="0" w:color="000000"/>
                </w:tcBorders>
                <w:shd w:val="clear" w:color="auto" w:fill="F6F8F9"/>
                <w:tcMar>
                  <w:top w:w="40" w:type="dxa"/>
                  <w:left w:w="120" w:type="dxa"/>
                  <w:bottom w:w="40" w:type="dxa"/>
                  <w:right w:w="120" w:type="dxa"/>
                </w:tcMar>
                <w:vAlign w:val="center"/>
              </w:tcPr>
              <w:p w14:paraId="078A6F8B" w14:textId="77777777" w:rsidR="002627AD" w:rsidRDefault="000214B4">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Vodafone provides R&amp;D and IoT expertise (205m global IoT connections).</w:t>
                </w:r>
              </w:p>
            </w:tc>
            <w:tc>
              <w:tcPr>
                <w:tcW w:w="1560" w:type="dxa"/>
                <w:tcBorders>
                  <w:top w:val="single" w:sz="4" w:space="0" w:color="000000"/>
                  <w:left w:val="single" w:sz="4" w:space="0" w:color="000000"/>
                  <w:bottom w:val="single" w:sz="4" w:space="0" w:color="980000"/>
                  <w:right w:val="single" w:sz="4" w:space="0" w:color="000000"/>
                </w:tcBorders>
                <w:shd w:val="clear" w:color="auto" w:fill="F6F8F9"/>
                <w:tcMar>
                  <w:top w:w="40" w:type="dxa"/>
                  <w:left w:w="120" w:type="dxa"/>
                  <w:bottom w:w="40" w:type="dxa"/>
                  <w:right w:w="120" w:type="dxa"/>
                </w:tcMar>
                <w:vAlign w:val="center"/>
              </w:tcPr>
              <w:p w14:paraId="64E5CE62" w14:textId="77777777" w:rsidR="002627AD" w:rsidRDefault="000214B4">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Expands Vodafone into health-tech, aligned with IoT growth strategy.</w:t>
                </w:r>
              </w:p>
            </w:tc>
            <w:tc>
              <w:tcPr>
                <w:tcW w:w="1560" w:type="dxa"/>
                <w:tcBorders>
                  <w:top w:val="single" w:sz="4" w:space="0" w:color="000000"/>
                  <w:left w:val="single" w:sz="4" w:space="0" w:color="000000"/>
                  <w:bottom w:val="single" w:sz="4" w:space="0" w:color="980000"/>
                  <w:right w:val="single" w:sz="4" w:space="0" w:color="000000"/>
                </w:tcBorders>
                <w:shd w:val="clear" w:color="auto" w:fill="F6F8F9"/>
                <w:tcMar>
                  <w:top w:w="40" w:type="dxa"/>
                  <w:left w:w="120" w:type="dxa"/>
                  <w:bottom w:w="40" w:type="dxa"/>
                  <w:right w:w="120" w:type="dxa"/>
                </w:tcMar>
                <w:vAlign w:val="center"/>
              </w:tcPr>
              <w:p w14:paraId="5F2B69DB"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4"/>
                    <w:szCs w:val="24"/>
                  </w:rPr>
                  <w:t>Deadline set for launch in 6 months.</w:t>
                </w:r>
              </w:p>
            </w:tc>
          </w:tr>
        </w:tbl>
      </w:sdtContent>
    </w:sdt>
    <w:p w14:paraId="5EE36866"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12" w:name="_heading=h.l5m6d6ylld24" w:colFirst="0" w:colLast="0"/>
      <w:bookmarkEnd w:id="12"/>
      <w:r>
        <w:rPr>
          <w:rFonts w:ascii="Times New Roman" w:eastAsia="Times New Roman" w:hAnsi="Times New Roman" w:cs="Times New Roman"/>
          <w:b/>
          <w:color w:val="000000"/>
          <w:sz w:val="24"/>
          <w:szCs w:val="24"/>
        </w:rPr>
        <w:t>Table 2: SMART Objectives</w:t>
      </w:r>
    </w:p>
    <w:p w14:paraId="5528ECFE" w14:textId="77777777" w:rsidR="002627AD" w:rsidRDefault="000214B4">
      <w:pPr>
        <w:spacing w:line="360" w:lineRule="auto"/>
        <w:jc w:val="center"/>
      </w:pPr>
      <w:r>
        <w:rPr>
          <w:rFonts w:ascii="Times New Roman" w:eastAsia="Times New Roman" w:hAnsi="Times New Roman" w:cs="Times New Roman"/>
          <w:sz w:val="24"/>
          <w:szCs w:val="24"/>
        </w:rPr>
        <w:t>(Source: Self-Generated)</w:t>
      </w:r>
    </w:p>
    <w:p w14:paraId="1E18A13F"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13" w:name="_heading=h.mrrxtvvif1n" w:colFirst="0" w:colLast="0"/>
      <w:bookmarkEnd w:id="13"/>
      <w:r>
        <w:rPr>
          <w:rFonts w:ascii="Times New Roman" w:eastAsia="Times New Roman" w:hAnsi="Times New Roman" w:cs="Times New Roman"/>
          <w:b/>
          <w:sz w:val="26"/>
          <w:szCs w:val="26"/>
        </w:rPr>
        <w:t>3.2 SWOT Analysis</w:t>
      </w:r>
    </w:p>
    <w:tbl>
      <w:tblPr>
        <w:tblStyle w:val="af1"/>
        <w:tblW w:w="9000"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4770"/>
        <w:gridCol w:w="4230"/>
      </w:tblGrid>
      <w:tr w:rsidR="002627AD" w14:paraId="1DF5C4FD" w14:textId="77777777">
        <w:trPr>
          <w:cantSplit/>
          <w:trHeight w:val="360"/>
          <w:tblHeader/>
        </w:trPr>
        <w:tc>
          <w:tcPr>
            <w:tcW w:w="477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31EEA09D"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Strengths</w:t>
            </w:r>
          </w:p>
        </w:tc>
        <w:tc>
          <w:tcPr>
            <w:tcW w:w="423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2A947FC0"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Weaknesses</w:t>
            </w:r>
          </w:p>
        </w:tc>
      </w:tr>
      <w:tr w:rsidR="002627AD" w14:paraId="2978C5B2" w14:textId="77777777">
        <w:trPr>
          <w:cantSplit/>
          <w:trHeight w:val="1845"/>
          <w:tblHeader/>
        </w:trPr>
        <w:tc>
          <w:tcPr>
            <w:tcW w:w="4770" w:type="dxa"/>
            <w:vMerge w:val="restart"/>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892E863" w14:textId="77777777" w:rsidR="002627AD" w:rsidRDefault="000214B4">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Vodafone has more than 340 million mobile subscribers spread in 15 countries which makes it highly </w:t>
            </w:r>
            <w:proofErr w:type="spellStart"/>
            <w:r>
              <w:rPr>
                <w:rFonts w:ascii="Times New Roman" w:eastAsia="Times New Roman" w:hAnsi="Times New Roman" w:cs="Times New Roman"/>
                <w:sz w:val="24"/>
                <w:szCs w:val="24"/>
              </w:rPr>
              <w:t>recognisable</w:t>
            </w:r>
            <w:proofErr w:type="spellEnd"/>
            <w:r>
              <w:rPr>
                <w:rFonts w:ascii="Times New Roman" w:eastAsia="Times New Roman" w:hAnsi="Times New Roman" w:cs="Times New Roman"/>
                <w:sz w:val="24"/>
                <w:szCs w:val="24"/>
              </w:rPr>
              <w:t xml:space="preserve"> and consumer-friendly (Vodafone, 2025).</w:t>
            </w:r>
          </w:p>
          <w:p w14:paraId="36EA0CEF" w14:textId="77777777" w:rsidR="002627AD" w:rsidRDefault="000214B4">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Vodafone is the owner of the largest managed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xml:space="preserve"> platform in the world of 205 million connections (Casas et al., 2021).</w:t>
            </w:r>
          </w:p>
        </w:tc>
        <w:tc>
          <w:tcPr>
            <w:tcW w:w="42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4BFF071D" w14:textId="77777777" w:rsidR="002627AD" w:rsidRDefault="000214B4">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FY25, the company showed an operating loss of € 411 million, which indicates the difficulties in the cost control and reorganization (Vodafone, 2025).</w:t>
            </w:r>
          </w:p>
          <w:p w14:paraId="11C0B8A8" w14:textId="77777777" w:rsidR="002627AD" w:rsidRDefault="000214B4">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Wearables in healthcare have to comply with the stringent UK/EU medical device and data protection regulations, which may slow down the launch (</w:t>
            </w:r>
            <w:proofErr w:type="spellStart"/>
            <w:r>
              <w:rPr>
                <w:rFonts w:ascii="Times New Roman" w:eastAsia="Times New Roman" w:hAnsi="Times New Roman" w:cs="Times New Roman"/>
                <w:sz w:val="24"/>
                <w:szCs w:val="24"/>
              </w:rPr>
              <w:t>Kadu</w:t>
            </w:r>
            <w:proofErr w:type="spellEnd"/>
            <w:r>
              <w:rPr>
                <w:rFonts w:ascii="Times New Roman" w:eastAsia="Times New Roman" w:hAnsi="Times New Roman" w:cs="Times New Roman"/>
                <w:sz w:val="24"/>
                <w:szCs w:val="24"/>
              </w:rPr>
              <w:t xml:space="preserve"> and Singh, 2021).</w:t>
            </w:r>
          </w:p>
        </w:tc>
      </w:tr>
      <w:tr w:rsidR="002627AD" w14:paraId="654B89D3" w14:textId="77777777">
        <w:trPr>
          <w:cantSplit/>
          <w:trHeight w:val="1245"/>
          <w:tblHeader/>
        </w:trPr>
        <w:tc>
          <w:tcPr>
            <w:tcW w:w="4770"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9450E24" w14:textId="77777777" w:rsidR="002627AD" w:rsidRDefault="002627A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4230"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93C31B4" w14:textId="77777777" w:rsidR="002627AD" w:rsidRDefault="002627AD">
            <w:pPr>
              <w:widowControl w:val="0"/>
              <w:pBdr>
                <w:top w:val="nil"/>
                <w:left w:val="nil"/>
                <w:bottom w:val="nil"/>
                <w:right w:val="nil"/>
                <w:between w:val="nil"/>
              </w:pBdr>
              <w:rPr>
                <w:rFonts w:ascii="Times New Roman" w:eastAsia="Times New Roman" w:hAnsi="Times New Roman" w:cs="Times New Roman"/>
                <w:color w:val="000000"/>
                <w:sz w:val="24"/>
                <w:szCs w:val="24"/>
              </w:rPr>
            </w:pPr>
          </w:p>
        </w:tc>
      </w:tr>
      <w:tr w:rsidR="002627AD" w14:paraId="6054C820" w14:textId="77777777">
        <w:trPr>
          <w:cantSplit/>
          <w:trHeight w:val="600"/>
          <w:tblHeader/>
        </w:trPr>
        <w:tc>
          <w:tcPr>
            <w:tcW w:w="4770"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DF34FC7" w14:textId="77777777" w:rsidR="002627AD" w:rsidRDefault="002627A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4230"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A483CE4" w14:textId="77777777" w:rsidR="002627AD" w:rsidRDefault="002627AD">
            <w:pPr>
              <w:widowControl w:val="0"/>
              <w:pBdr>
                <w:top w:val="nil"/>
                <w:left w:val="nil"/>
                <w:bottom w:val="nil"/>
                <w:right w:val="nil"/>
                <w:between w:val="nil"/>
              </w:pBdr>
              <w:rPr>
                <w:rFonts w:ascii="Times New Roman" w:eastAsia="Times New Roman" w:hAnsi="Times New Roman" w:cs="Times New Roman"/>
                <w:color w:val="000000"/>
                <w:sz w:val="24"/>
                <w:szCs w:val="24"/>
              </w:rPr>
            </w:pPr>
          </w:p>
        </w:tc>
      </w:tr>
      <w:tr w:rsidR="002627AD" w14:paraId="03D02FD4" w14:textId="77777777">
        <w:trPr>
          <w:cantSplit/>
          <w:trHeight w:val="360"/>
          <w:tblHeader/>
        </w:trPr>
        <w:tc>
          <w:tcPr>
            <w:tcW w:w="477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2F8E508A"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4"/>
                <w:szCs w:val="24"/>
              </w:rPr>
              <w:t>Opportunities</w:t>
            </w:r>
          </w:p>
        </w:tc>
        <w:tc>
          <w:tcPr>
            <w:tcW w:w="423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01B47A9B"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4"/>
                <w:szCs w:val="24"/>
              </w:rPr>
              <w:t>Threats</w:t>
            </w:r>
          </w:p>
        </w:tc>
      </w:tr>
      <w:tr w:rsidR="002627AD" w14:paraId="72292865" w14:textId="77777777">
        <w:trPr>
          <w:cantSplit/>
          <w:trHeight w:val="1545"/>
          <w:tblHeader/>
        </w:trPr>
        <w:tc>
          <w:tcPr>
            <w:tcW w:w="4770" w:type="dxa"/>
            <w:vMerge w:val="restart"/>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4C78F3D" w14:textId="77777777" w:rsidR="002627AD" w:rsidRDefault="000214B4">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increasing consumer demand in digital health monitoring is an opportunity that Vodafone has to enter a high growth industry worth billions worldwide (</w:t>
            </w:r>
            <w:proofErr w:type="spellStart"/>
            <w:r>
              <w:rPr>
                <w:rFonts w:ascii="Times New Roman" w:eastAsia="Times New Roman" w:hAnsi="Times New Roman" w:cs="Times New Roman"/>
                <w:sz w:val="24"/>
                <w:szCs w:val="24"/>
              </w:rPr>
              <w:t>Manyazewal</w:t>
            </w:r>
            <w:proofErr w:type="spellEnd"/>
            <w:r>
              <w:rPr>
                <w:rFonts w:ascii="Times New Roman" w:eastAsia="Times New Roman" w:hAnsi="Times New Roman" w:cs="Times New Roman"/>
                <w:sz w:val="24"/>
                <w:szCs w:val="24"/>
              </w:rPr>
              <w:t xml:space="preserve"> et al., 2021).</w:t>
            </w:r>
          </w:p>
          <w:p w14:paraId="56CF02FA" w14:textId="77777777" w:rsidR="002627AD" w:rsidRDefault="000214B4">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incorporation of wearables into the Vodafone 5G network improves real-time transfer of data thus making its service unique compared to those in the market.</w:t>
            </w:r>
          </w:p>
        </w:tc>
        <w:tc>
          <w:tcPr>
            <w:tcW w:w="42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5EB211A0" w14:textId="77777777" w:rsidR="002627AD" w:rsidRDefault="000214B4">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wearable market is characterized by entry barriers, where established companies such as Apple, Fitbit, and Samsung control the market.</w:t>
            </w:r>
          </w:p>
          <w:p w14:paraId="705B1B09" w14:textId="77777777" w:rsidR="002627AD" w:rsidRDefault="000214B4">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 information is a very sensitive field, and any breach may ruin the reputation of Vodafone and provoke fines by the regulatory authorities (</w:t>
            </w:r>
            <w:proofErr w:type="spellStart"/>
            <w:r>
              <w:rPr>
                <w:rFonts w:ascii="Times New Roman" w:eastAsia="Times New Roman" w:hAnsi="Times New Roman" w:cs="Times New Roman"/>
                <w:sz w:val="24"/>
                <w:szCs w:val="24"/>
              </w:rPr>
              <w:t>Charalambous</w:t>
            </w:r>
            <w:proofErr w:type="spellEnd"/>
            <w:r>
              <w:rPr>
                <w:rFonts w:ascii="Times New Roman" w:eastAsia="Times New Roman" w:hAnsi="Times New Roman" w:cs="Times New Roman"/>
                <w:sz w:val="24"/>
                <w:szCs w:val="24"/>
              </w:rPr>
              <w:t>, 2021).</w:t>
            </w:r>
          </w:p>
        </w:tc>
      </w:tr>
      <w:tr w:rsidR="002627AD" w14:paraId="3D0B1DA2" w14:textId="77777777">
        <w:trPr>
          <w:cantSplit/>
          <w:trHeight w:val="1245"/>
          <w:tblHeader/>
        </w:trPr>
        <w:tc>
          <w:tcPr>
            <w:tcW w:w="4770"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FFF9BC2" w14:textId="77777777" w:rsidR="002627AD" w:rsidRDefault="002627A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4230"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C073F0F" w14:textId="77777777" w:rsidR="002627AD" w:rsidRDefault="002627AD">
            <w:pPr>
              <w:widowControl w:val="0"/>
              <w:pBdr>
                <w:top w:val="nil"/>
                <w:left w:val="nil"/>
                <w:bottom w:val="nil"/>
                <w:right w:val="nil"/>
                <w:between w:val="nil"/>
              </w:pBdr>
              <w:rPr>
                <w:rFonts w:ascii="Times New Roman" w:eastAsia="Times New Roman" w:hAnsi="Times New Roman" w:cs="Times New Roman"/>
                <w:color w:val="000000"/>
                <w:sz w:val="24"/>
                <w:szCs w:val="24"/>
              </w:rPr>
            </w:pPr>
          </w:p>
        </w:tc>
      </w:tr>
      <w:tr w:rsidR="002627AD" w14:paraId="41236347" w14:textId="77777777">
        <w:trPr>
          <w:cantSplit/>
          <w:trHeight w:val="1391"/>
          <w:tblHeader/>
        </w:trPr>
        <w:tc>
          <w:tcPr>
            <w:tcW w:w="4770"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E7C9B01" w14:textId="77777777" w:rsidR="002627AD" w:rsidRDefault="002627A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4230"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3D535652" w14:textId="77777777" w:rsidR="002627AD" w:rsidRDefault="002627AD">
            <w:pPr>
              <w:widowControl w:val="0"/>
              <w:pBdr>
                <w:top w:val="nil"/>
                <w:left w:val="nil"/>
                <w:bottom w:val="nil"/>
                <w:right w:val="nil"/>
                <w:between w:val="nil"/>
              </w:pBdr>
              <w:rPr>
                <w:rFonts w:ascii="Times New Roman" w:eastAsia="Times New Roman" w:hAnsi="Times New Roman" w:cs="Times New Roman"/>
                <w:color w:val="000000"/>
                <w:sz w:val="24"/>
                <w:szCs w:val="24"/>
              </w:rPr>
            </w:pPr>
          </w:p>
        </w:tc>
      </w:tr>
    </w:tbl>
    <w:p w14:paraId="05A46C52"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14" w:name="_heading=h.2c3ptqi82uxe" w:colFirst="0" w:colLast="0"/>
      <w:bookmarkEnd w:id="14"/>
      <w:r>
        <w:rPr>
          <w:rFonts w:ascii="Times New Roman" w:eastAsia="Times New Roman" w:hAnsi="Times New Roman" w:cs="Times New Roman"/>
          <w:b/>
          <w:color w:val="000000"/>
          <w:sz w:val="24"/>
          <w:szCs w:val="24"/>
        </w:rPr>
        <w:t>Table 3: SWOT Analysis</w:t>
      </w:r>
    </w:p>
    <w:p w14:paraId="0FDC2AE2" w14:textId="77777777" w:rsidR="002627AD" w:rsidRDefault="000214B4">
      <w:pPr>
        <w:pStyle w:val="Titlu2"/>
        <w:spacing w:before="0" w:after="0" w:line="360" w:lineRule="auto"/>
        <w:jc w:val="both"/>
        <w:rPr>
          <w:rFonts w:ascii="Times New Roman" w:eastAsia="Times New Roman" w:hAnsi="Times New Roman" w:cs="Times New Roman"/>
          <w:b/>
          <w:sz w:val="24"/>
          <w:szCs w:val="24"/>
        </w:rPr>
      </w:pPr>
      <w:bookmarkStart w:id="15" w:name="_heading=h.ynd4sxjum69t" w:colFirst="0" w:colLast="0"/>
      <w:bookmarkEnd w:id="15"/>
      <w:r>
        <w:rPr>
          <w:rFonts w:ascii="Times New Roman" w:eastAsia="Times New Roman" w:hAnsi="Times New Roman" w:cs="Times New Roman"/>
          <w:sz w:val="24"/>
          <w:szCs w:val="24"/>
        </w:rPr>
        <w:t xml:space="preserve">                                                       (Source: Self-Generated) </w:t>
      </w:r>
      <w:r>
        <w:rPr>
          <w:rFonts w:ascii="Times New Roman" w:eastAsia="Times New Roman" w:hAnsi="Times New Roman" w:cs="Times New Roman"/>
          <w:sz w:val="24"/>
          <w:szCs w:val="24"/>
        </w:rPr>
        <w:br/>
      </w:r>
      <w:r>
        <w:rPr>
          <w:rFonts w:ascii="Times New Roman" w:eastAsia="Times New Roman" w:hAnsi="Times New Roman" w:cs="Times New Roman"/>
          <w:b/>
          <w:sz w:val="26"/>
          <w:szCs w:val="26"/>
        </w:rPr>
        <w:t>3.3 Porter’s Five Forces Analysis</w:t>
      </w:r>
    </w:p>
    <w:tbl>
      <w:tblPr>
        <w:tblStyle w:val="af2"/>
        <w:tblW w:w="9270" w:type="dxa"/>
        <w:tblInd w:w="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7290"/>
      </w:tblGrid>
      <w:tr w:rsidR="002627AD" w14:paraId="1C075300" w14:textId="77777777">
        <w:trPr>
          <w:trHeight w:val="540"/>
        </w:trPr>
        <w:tc>
          <w:tcPr>
            <w:tcW w:w="1980" w:type="dxa"/>
            <w:tcBorders>
              <w:top w:val="single" w:sz="8" w:space="0" w:color="000000"/>
              <w:left w:val="single" w:sz="8" w:space="0" w:color="000000"/>
              <w:bottom w:val="single" w:sz="8" w:space="0" w:color="000000"/>
              <w:right w:val="single" w:sz="8" w:space="0" w:color="000000"/>
            </w:tcBorders>
            <w:shd w:val="clear" w:color="auto" w:fill="356854"/>
            <w:tcMar>
              <w:top w:w="140" w:type="dxa"/>
              <w:left w:w="140" w:type="dxa"/>
              <w:bottom w:w="140" w:type="dxa"/>
              <w:right w:w="140" w:type="dxa"/>
            </w:tcMar>
          </w:tcPr>
          <w:p w14:paraId="0C65D036" w14:textId="77777777" w:rsidR="002627AD" w:rsidRDefault="000214B4">
            <w:pPr>
              <w:widowControl w:val="0"/>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Force</w:t>
            </w:r>
          </w:p>
        </w:tc>
        <w:tc>
          <w:tcPr>
            <w:tcW w:w="7290" w:type="dxa"/>
            <w:tcBorders>
              <w:top w:val="single" w:sz="8" w:space="0" w:color="000000"/>
              <w:left w:val="single" w:sz="8" w:space="0" w:color="000000"/>
              <w:bottom w:val="single" w:sz="8" w:space="0" w:color="000000"/>
              <w:right w:val="single" w:sz="8" w:space="0" w:color="000000"/>
            </w:tcBorders>
            <w:shd w:val="clear" w:color="auto" w:fill="356854"/>
            <w:tcMar>
              <w:top w:w="140" w:type="dxa"/>
              <w:left w:w="140" w:type="dxa"/>
              <w:bottom w:w="140" w:type="dxa"/>
              <w:right w:w="140" w:type="dxa"/>
            </w:tcMar>
          </w:tcPr>
          <w:p w14:paraId="38F14C42" w14:textId="77777777" w:rsidR="002627AD" w:rsidRDefault="000214B4">
            <w:pPr>
              <w:widowControl w:val="0"/>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Analysis</w:t>
            </w:r>
          </w:p>
        </w:tc>
      </w:tr>
      <w:tr w:rsidR="002627AD" w14:paraId="479FC23B" w14:textId="77777777">
        <w:trPr>
          <w:trHeight w:val="1520"/>
        </w:trPr>
        <w:tc>
          <w:tcPr>
            <w:tcW w:w="1980"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6007E45D" w14:textId="77777777" w:rsidR="002627AD" w:rsidRDefault="000214B4">
            <w:pPr>
              <w:widowControl w:val="0"/>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Competitive Rivalry</w:t>
            </w:r>
          </w:p>
        </w:tc>
        <w:tc>
          <w:tcPr>
            <w:tcW w:w="7290"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29D0BAEC" w14:textId="77777777" w:rsidR="002627AD" w:rsidRDefault="000214B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 of wearables in healthcare is very competitive, with giants in the industry being Apple, Fitbit, and Samsung. Existing players will have high brand loyalty and sophisticated R&amp;D, which will be a challenge to Vodafone entry. Nonetheless, the robust telecom infrastructure and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xml:space="preserve"> capabilities are the sources of differentiation opportunities for Vodafone through features based on the network and health data integration (</w:t>
            </w:r>
            <w:proofErr w:type="spellStart"/>
            <w:r>
              <w:rPr>
                <w:rFonts w:ascii="Times New Roman" w:eastAsia="Times New Roman" w:hAnsi="Times New Roman" w:cs="Times New Roman"/>
                <w:sz w:val="24"/>
                <w:szCs w:val="24"/>
              </w:rPr>
              <w:t>Suhail</w:t>
            </w:r>
            <w:proofErr w:type="spellEnd"/>
            <w:r>
              <w:rPr>
                <w:rFonts w:ascii="Times New Roman" w:eastAsia="Times New Roman" w:hAnsi="Times New Roman" w:cs="Times New Roman"/>
                <w:sz w:val="24"/>
                <w:szCs w:val="24"/>
              </w:rPr>
              <w:t xml:space="preserve"> and Pillai, 2022).</w:t>
            </w:r>
          </w:p>
        </w:tc>
      </w:tr>
      <w:tr w:rsidR="002627AD" w14:paraId="56B94F99" w14:textId="77777777">
        <w:trPr>
          <w:trHeight w:val="1260"/>
        </w:trPr>
        <w:tc>
          <w:tcPr>
            <w:tcW w:w="1980" w:type="dxa"/>
            <w:tcBorders>
              <w:top w:val="single" w:sz="8" w:space="0" w:color="000000"/>
              <w:left w:val="single" w:sz="8" w:space="0" w:color="000000"/>
              <w:bottom w:val="single" w:sz="8" w:space="0" w:color="000000"/>
              <w:right w:val="single" w:sz="8" w:space="0" w:color="000000"/>
            </w:tcBorders>
            <w:shd w:val="clear" w:color="auto" w:fill="F6F8F9"/>
            <w:tcMar>
              <w:top w:w="140" w:type="dxa"/>
              <w:left w:w="140" w:type="dxa"/>
              <w:bottom w:w="140" w:type="dxa"/>
              <w:right w:w="140" w:type="dxa"/>
            </w:tcMar>
          </w:tcPr>
          <w:p w14:paraId="56EB2ABF" w14:textId="77777777" w:rsidR="002627AD" w:rsidRDefault="000214B4">
            <w:pPr>
              <w:widowControl w:val="0"/>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 of New Entrants</w:t>
            </w:r>
          </w:p>
        </w:tc>
        <w:tc>
          <w:tcPr>
            <w:tcW w:w="7290" w:type="dxa"/>
            <w:tcBorders>
              <w:top w:val="single" w:sz="8" w:space="0" w:color="000000"/>
              <w:left w:val="single" w:sz="8" w:space="0" w:color="000000"/>
              <w:bottom w:val="single" w:sz="8" w:space="0" w:color="000000"/>
              <w:right w:val="single" w:sz="8" w:space="0" w:color="000000"/>
            </w:tcBorders>
            <w:shd w:val="clear" w:color="auto" w:fill="F6F8F9"/>
            <w:tcMar>
              <w:top w:w="140" w:type="dxa"/>
              <w:left w:w="140" w:type="dxa"/>
              <w:bottom w:w="140" w:type="dxa"/>
              <w:right w:w="140" w:type="dxa"/>
            </w:tcMar>
          </w:tcPr>
          <w:p w14:paraId="16D3CF02" w14:textId="77777777" w:rsidR="002627AD" w:rsidRDefault="000214B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Entering is difficult because of regulatory standards, technological knowledge, and brand loyalty in health data management. New entrants require huge capital and compliance licenses, making them less of a threat in the short term. The developed global presence of Vodafone is a strategic advantage to overcome these obstacles (Acharya and Rani, 2021).</w:t>
            </w:r>
          </w:p>
        </w:tc>
      </w:tr>
      <w:tr w:rsidR="002627AD" w14:paraId="3DA29877" w14:textId="77777777">
        <w:trPr>
          <w:trHeight w:val="1260"/>
        </w:trPr>
        <w:tc>
          <w:tcPr>
            <w:tcW w:w="1980"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1E2F928D" w14:textId="77777777" w:rsidR="002627AD" w:rsidRDefault="000214B4">
            <w:pPr>
              <w:widowControl w:val="0"/>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Suppliers</w:t>
            </w:r>
          </w:p>
        </w:tc>
        <w:tc>
          <w:tcPr>
            <w:tcW w:w="7290"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2215E944" w14:textId="77777777" w:rsidR="002627AD" w:rsidRDefault="000214B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bargaining power of suppliers of sensors, chips and software platform is medium; since the quality of component and innovation has a direct influence on the performance of the device.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However, the size of the company and the collaboration with the world technological companies like Microsoft and Google reduces the effect of suppliers and prices on the financial performance (Vodafone, 2025).</w:t>
            </w:r>
          </w:p>
        </w:tc>
      </w:tr>
      <w:tr w:rsidR="002627AD" w14:paraId="5F3FC2DD" w14:textId="77777777">
        <w:trPr>
          <w:trHeight w:val="1260"/>
        </w:trPr>
        <w:tc>
          <w:tcPr>
            <w:tcW w:w="1980" w:type="dxa"/>
            <w:tcBorders>
              <w:top w:val="single" w:sz="8" w:space="0" w:color="000000"/>
              <w:left w:val="single" w:sz="8" w:space="0" w:color="000000"/>
              <w:bottom w:val="single" w:sz="8" w:space="0" w:color="000000"/>
              <w:right w:val="single" w:sz="8" w:space="0" w:color="000000"/>
            </w:tcBorders>
            <w:shd w:val="clear" w:color="auto" w:fill="F6F8F9"/>
            <w:tcMar>
              <w:top w:w="140" w:type="dxa"/>
              <w:left w:w="140" w:type="dxa"/>
              <w:bottom w:w="140" w:type="dxa"/>
              <w:right w:w="140" w:type="dxa"/>
            </w:tcMar>
          </w:tcPr>
          <w:p w14:paraId="21BFE101" w14:textId="77777777" w:rsidR="002627AD" w:rsidRDefault="000214B4">
            <w:pPr>
              <w:widowControl w:val="0"/>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Buyers</w:t>
            </w:r>
          </w:p>
        </w:tc>
        <w:tc>
          <w:tcPr>
            <w:tcW w:w="7290" w:type="dxa"/>
            <w:tcBorders>
              <w:top w:val="single" w:sz="8" w:space="0" w:color="000000"/>
              <w:left w:val="single" w:sz="8" w:space="0" w:color="000000"/>
              <w:bottom w:val="single" w:sz="8" w:space="0" w:color="000000"/>
              <w:right w:val="single" w:sz="8" w:space="0" w:color="000000"/>
            </w:tcBorders>
            <w:shd w:val="clear" w:color="auto" w:fill="F6F8F9"/>
            <w:tcMar>
              <w:top w:w="140" w:type="dxa"/>
              <w:left w:w="140" w:type="dxa"/>
              <w:bottom w:w="140" w:type="dxa"/>
              <w:right w:w="140" w:type="dxa"/>
            </w:tcMar>
          </w:tcPr>
          <w:p w14:paraId="592799AF" w14:textId="77777777" w:rsidR="002627AD" w:rsidRDefault="000214B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bargaining power of the consumers is high due to the types of wearables being available and price sensitivity.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Hence, to be different from the competitors, Vodafone shall adopt a segmented value proposition that entices the users with added value such as incorporation into a mobile tariff package, health-related information, and guarantees of data confidentiality (</w:t>
            </w:r>
            <w:proofErr w:type="spellStart"/>
            <w:r>
              <w:rPr>
                <w:rFonts w:ascii="Times New Roman" w:eastAsia="Times New Roman" w:hAnsi="Times New Roman" w:cs="Times New Roman"/>
                <w:color w:val="111111"/>
                <w:sz w:val="24"/>
                <w:szCs w:val="24"/>
              </w:rPr>
              <w:t>Mukati</w:t>
            </w:r>
            <w:proofErr w:type="spellEnd"/>
            <w:r>
              <w:rPr>
                <w:rFonts w:ascii="Times New Roman" w:eastAsia="Times New Roman" w:hAnsi="Times New Roman" w:cs="Times New Roman"/>
                <w:color w:val="111111"/>
                <w:sz w:val="24"/>
                <w:szCs w:val="24"/>
              </w:rPr>
              <w:t xml:space="preserve"> </w:t>
            </w:r>
            <w:r>
              <w:rPr>
                <w:rFonts w:ascii="Times New Roman" w:eastAsia="Times New Roman" w:hAnsi="Times New Roman" w:cs="Times New Roman"/>
                <w:i/>
                <w:color w:val="111111"/>
                <w:sz w:val="24"/>
                <w:szCs w:val="24"/>
              </w:rPr>
              <w:t>et al.</w:t>
            </w:r>
            <w:r>
              <w:rPr>
                <w:rFonts w:ascii="Times New Roman" w:eastAsia="Times New Roman" w:hAnsi="Times New Roman" w:cs="Times New Roman"/>
                <w:color w:val="111111"/>
                <w:sz w:val="24"/>
                <w:szCs w:val="24"/>
              </w:rPr>
              <w:t>, 2023).</w:t>
            </w:r>
          </w:p>
        </w:tc>
      </w:tr>
      <w:tr w:rsidR="002627AD" w14:paraId="4196ED3F" w14:textId="77777777">
        <w:trPr>
          <w:trHeight w:val="1260"/>
        </w:trPr>
        <w:tc>
          <w:tcPr>
            <w:tcW w:w="1980"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2C236E87" w14:textId="77777777" w:rsidR="002627AD" w:rsidRDefault="000214B4">
            <w:pPr>
              <w:widowControl w:val="0"/>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 of Substitutes</w:t>
            </w:r>
          </w:p>
        </w:tc>
        <w:tc>
          <w:tcPr>
            <w:tcW w:w="7290" w:type="dxa"/>
            <w:tcBorders>
              <w:top w:val="single" w:sz="8" w:space="0" w:color="000000"/>
              <w:left w:val="single" w:sz="8" w:space="0" w:color="000000"/>
              <w:bottom w:val="single" w:sz="8" w:space="0" w:color="000000"/>
              <w:right w:val="single" w:sz="8" w:space="0" w:color="000000"/>
            </w:tcBorders>
            <w:tcMar>
              <w:top w:w="140" w:type="dxa"/>
              <w:left w:w="140" w:type="dxa"/>
              <w:bottom w:w="140" w:type="dxa"/>
              <w:right w:w="140" w:type="dxa"/>
            </w:tcMar>
          </w:tcPr>
          <w:p w14:paraId="66540D81" w14:textId="77777777" w:rsidR="002627AD" w:rsidRDefault="000214B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Medical apps available for smartphones and traditional medical exams can be used. However, the growing expectation for continuous monitoring and convenience among the consumer population is making the wearable market more appealing, and decreasing the threat of substitution in the long run (</w:t>
            </w:r>
            <w:proofErr w:type="spellStart"/>
            <w:r>
              <w:rPr>
                <w:rFonts w:ascii="Times New Roman" w:eastAsia="Times New Roman" w:hAnsi="Times New Roman" w:cs="Times New Roman"/>
                <w:sz w:val="24"/>
                <w:szCs w:val="24"/>
              </w:rPr>
              <w:t>Zobaed</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tc>
      </w:tr>
    </w:tbl>
    <w:p w14:paraId="56186C7E"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16" w:name="_heading=h.9o21t3iga2yt" w:colFirst="0" w:colLast="0"/>
      <w:bookmarkEnd w:id="16"/>
      <w:r>
        <w:rPr>
          <w:rFonts w:ascii="Times New Roman" w:eastAsia="Times New Roman" w:hAnsi="Times New Roman" w:cs="Times New Roman"/>
          <w:b/>
          <w:color w:val="000000"/>
          <w:sz w:val="24"/>
          <w:szCs w:val="24"/>
        </w:rPr>
        <w:t xml:space="preserve">Table 4: Analysis of Porter’s Five Forces </w:t>
      </w:r>
    </w:p>
    <w:p w14:paraId="0206F91D" w14:textId="77777777" w:rsidR="002627AD" w:rsidRDefault="000214B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Self-Generated)</w:t>
      </w:r>
    </w:p>
    <w:p w14:paraId="608F911E" w14:textId="77777777" w:rsidR="002627AD" w:rsidRDefault="002627AD">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7EBF25F5" w14:textId="77777777" w:rsidR="002627AD" w:rsidRDefault="002627AD">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062014BB"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17" w:name="_heading=h.rnsxgkdzcjnb" w:colFirst="0" w:colLast="0"/>
      <w:bookmarkEnd w:id="17"/>
      <w:r>
        <w:br w:type="page"/>
      </w:r>
    </w:p>
    <w:p w14:paraId="17C7ECA1"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18" w:name="_heading=h.yxj4eyoxafxr" w:colFirst="0" w:colLast="0"/>
      <w:bookmarkEnd w:id="18"/>
      <w:r>
        <w:rPr>
          <w:rFonts w:ascii="Times New Roman" w:eastAsia="Times New Roman" w:hAnsi="Times New Roman" w:cs="Times New Roman"/>
          <w:b/>
          <w:sz w:val="28"/>
          <w:szCs w:val="28"/>
        </w:rPr>
        <w:t>4.0 Stakeholder Identification</w:t>
      </w:r>
    </w:p>
    <w:p w14:paraId="6BCD93C8"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success of Vodafone’s wearable health device depends on engaging both internal and external stakeholders. Each plays a distinct role in ensuring timely delivery, regulatory compliance, and consumer adoption. Below are the key stakeholders, their functions, and their importance to the project (</w:t>
      </w:r>
      <w:proofErr w:type="spellStart"/>
      <w:r>
        <w:rPr>
          <w:rFonts w:ascii="Times New Roman" w:eastAsia="Times New Roman" w:hAnsi="Times New Roman" w:cs="Times New Roman"/>
          <w:color w:val="000000"/>
          <w:sz w:val="24"/>
          <w:szCs w:val="24"/>
        </w:rPr>
        <w:t>Suhail</w:t>
      </w:r>
      <w:proofErr w:type="spellEnd"/>
      <w:r>
        <w:rPr>
          <w:rFonts w:ascii="Times New Roman" w:eastAsia="Times New Roman" w:hAnsi="Times New Roman" w:cs="Times New Roman"/>
          <w:color w:val="000000"/>
          <w:sz w:val="24"/>
          <w:szCs w:val="24"/>
        </w:rPr>
        <w:t xml:space="preserve"> and Pillai, 2022).</w:t>
      </w:r>
    </w:p>
    <w:p w14:paraId="48AB61CE" w14:textId="77777777" w:rsidR="002627AD" w:rsidRDefault="000214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Internal Stakeholders' Roles and Responsibilities</w:t>
      </w:r>
    </w:p>
    <w:p w14:paraId="71D4094E" w14:textId="77777777" w:rsidR="002627AD" w:rsidRDefault="000214B4">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The design, prototyping, and testing of the wearable device by Vodafone are headed by the Research and Development (R&amp;D) team, which is concerned with the innovative feature and accurate tracking of the health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Umair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Their power is their technological development, and it is difficult to have a balance between speed to market, safety, and regulatory compliance.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The marketing team creates awareness of the brand, increasing visibility and trust, especially when it comes to sensitive health information, but the established brands such as Apple and Fitbit also present a threat </w:t>
      </w:r>
      <w:r>
        <w:rPr>
          <w:rFonts w:ascii="Times New Roman" w:eastAsia="Times New Roman" w:hAnsi="Times New Roman" w:cs="Times New Roman"/>
          <w:sz w:val="24"/>
          <w:szCs w:val="24"/>
        </w:rPr>
        <w:t xml:space="preserve">(Casas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Sales department deals with distribution, retail relationship and revenue modeling, using the global o</w:t>
      </w:r>
      <w:r>
        <w:rPr>
          <w:rFonts w:ascii="Times New Roman" w:eastAsia="Times New Roman" w:hAnsi="Times New Roman" w:cs="Times New Roman"/>
          <w:color w:val="111111"/>
          <w:sz w:val="24"/>
          <w:szCs w:val="24"/>
        </w:rPr>
        <w:t>utlets of Vodafone to reach out to consumers, but pricing strategies should be in line with the consumer buying power.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The Executive Board offers the strategic direction, allocation of budget, and alignment with the corporate vision of Vodafone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Kadu</w:t>
      </w:r>
      <w:proofErr w:type="spellEnd"/>
      <w:r>
        <w:rPr>
          <w:rFonts w:ascii="Times New Roman" w:eastAsia="Times New Roman" w:hAnsi="Times New Roman" w:cs="Times New Roman"/>
          <w:sz w:val="24"/>
          <w:szCs w:val="24"/>
        </w:rPr>
        <w:t xml:space="preserve"> and Singh, 2021)</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Their participation provides legitimacy and resources, which allow an easy execution of the project.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All these stakeholders, together, guarantee technological innovation, market presence, and strategic direction and deal with compliance, compe</w:t>
      </w:r>
      <w:r>
        <w:rPr>
          <w:rFonts w:ascii="Times New Roman" w:eastAsia="Times New Roman" w:hAnsi="Times New Roman" w:cs="Times New Roman"/>
          <w:color w:val="111111"/>
          <w:sz w:val="24"/>
          <w:szCs w:val="24"/>
        </w:rPr>
        <w:t xml:space="preserve">tition, pricing, and consumer adoption risks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Manyazewal</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r>
        <w:rPr>
          <w:rFonts w:ascii="Times New Roman" w:eastAsia="Times New Roman" w:hAnsi="Times New Roman" w:cs="Times New Roman"/>
          <w:color w:val="111111"/>
          <w:sz w:val="24"/>
          <w:szCs w:val="24"/>
        </w:rPr>
        <w:t>.</w:t>
      </w:r>
    </w:p>
    <w:p w14:paraId="6E75DDA2"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19" w:name="_heading=h.agzzjlnfjrxr" w:colFirst="0" w:colLast="0"/>
      <w:bookmarkEnd w:id="19"/>
      <w:r>
        <w:rPr>
          <w:rFonts w:ascii="Times New Roman" w:eastAsia="Times New Roman" w:hAnsi="Times New Roman" w:cs="Times New Roman"/>
          <w:b/>
          <w:sz w:val="26"/>
          <w:szCs w:val="26"/>
        </w:rPr>
        <w:t>4.1 Internal Stakeholders</w:t>
      </w:r>
    </w:p>
    <w:sdt>
      <w:sdtPr>
        <w:tag w:val="goog_rdk_1"/>
        <w:id w:val="-1873097560"/>
        <w:lock w:val="contentLocked"/>
      </w:sdtPr>
      <w:sdtEndPr/>
      <w:sdtContent>
        <w:tbl>
          <w:tblPr>
            <w:tblStyle w:val="af3"/>
            <w:tblW w:w="934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2175"/>
            <w:gridCol w:w="5610"/>
            <w:gridCol w:w="1560"/>
          </w:tblGrid>
          <w:tr w:rsidR="002627AD" w14:paraId="5686558B" w14:textId="77777777">
            <w:trPr>
              <w:cantSplit/>
              <w:trHeight w:val="360"/>
              <w:tblHeader/>
            </w:trPr>
            <w:tc>
              <w:tcPr>
                <w:tcW w:w="2175"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3AC48A0F"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FFFFFF"/>
                    <w:sz w:val="24"/>
                    <w:szCs w:val="24"/>
                  </w:rPr>
                  <w:t>Stakeholder</w:t>
                </w:r>
              </w:p>
            </w:tc>
            <w:tc>
              <w:tcPr>
                <w:tcW w:w="561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20F1452E"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FFFFFF"/>
                    <w:sz w:val="24"/>
                    <w:szCs w:val="24"/>
                  </w:rPr>
                  <w:t>Role in Project</w:t>
                </w:r>
              </w:p>
            </w:tc>
            <w:tc>
              <w:tcPr>
                <w:tcW w:w="156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62F7C67B"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FFFFFF"/>
                    <w:sz w:val="24"/>
                    <w:szCs w:val="24"/>
                  </w:rPr>
                  <w:t>Importance</w:t>
                </w:r>
              </w:p>
            </w:tc>
          </w:tr>
          <w:tr w:rsidR="002627AD" w14:paraId="1FB5E6CF" w14:textId="77777777">
            <w:trPr>
              <w:cantSplit/>
              <w:trHeight w:val="915"/>
              <w:tblHeader/>
            </w:trPr>
            <w:tc>
              <w:tcPr>
                <w:tcW w:w="217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A8C8ECF"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 Development Team</w:t>
                </w:r>
              </w:p>
            </w:tc>
            <w:tc>
              <w:tcPr>
                <w:tcW w:w="561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D4F88D1" w14:textId="77777777" w:rsidR="002627AD" w:rsidRDefault="000214B4">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Fabricates and produces a wearable that is usable, precise and fully functional.</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F40B03C"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High </w:t>
                </w:r>
              </w:p>
            </w:tc>
          </w:tr>
          <w:tr w:rsidR="002627AD" w14:paraId="7D992979" w14:textId="77777777">
            <w:trPr>
              <w:cantSplit/>
              <w:trHeight w:val="915"/>
              <w:tblHeader/>
            </w:trPr>
            <w:tc>
              <w:tcPr>
                <w:tcW w:w="217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2064542A"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R&amp;D Department</w:t>
                </w:r>
              </w:p>
            </w:tc>
            <w:tc>
              <w:tcPr>
                <w:tcW w:w="561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43FD953E" w14:textId="77777777" w:rsidR="002627AD" w:rsidRDefault="000214B4">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Focused research for the innovation of health-monitoring to be market competitive.</w:t>
                </w:r>
              </w:p>
            </w:tc>
            <w:tc>
              <w:tcPr>
                <w:tcW w:w="156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2533806"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w:t>
                </w:r>
              </w:p>
            </w:tc>
          </w:tr>
          <w:tr w:rsidR="002627AD" w14:paraId="34C83C85" w14:textId="77777777">
            <w:trPr>
              <w:cantSplit/>
              <w:trHeight w:val="645"/>
              <w:tblHeader/>
            </w:trPr>
            <w:tc>
              <w:tcPr>
                <w:tcW w:w="217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7D90B5A"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Marketing Team</w:t>
                </w:r>
              </w:p>
            </w:tc>
            <w:tc>
              <w:tcPr>
                <w:tcW w:w="561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5C957A66" w14:textId="77777777" w:rsidR="002627AD" w:rsidRDefault="000214B4">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Help create brand identity, campaigns and strategies for customer retention</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D857AE3"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High </w:t>
                </w:r>
              </w:p>
            </w:tc>
          </w:tr>
          <w:tr w:rsidR="002627AD" w14:paraId="7C5C4CFC" w14:textId="77777777">
            <w:trPr>
              <w:cantSplit/>
              <w:trHeight w:val="645"/>
              <w:tblHeader/>
            </w:trPr>
            <w:tc>
              <w:tcPr>
                <w:tcW w:w="217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0C67CEF"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Sales Department</w:t>
                </w:r>
              </w:p>
            </w:tc>
            <w:tc>
              <w:tcPr>
                <w:tcW w:w="561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9B37C4B"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4"/>
                    <w:szCs w:val="24"/>
                  </w:rPr>
                  <w:t>Responsible for distribution strategy, retail partnerships, and revenue generation.</w:t>
                </w:r>
              </w:p>
            </w:tc>
            <w:tc>
              <w:tcPr>
                <w:tcW w:w="156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5B42E2D"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Medium</w:t>
                </w:r>
              </w:p>
            </w:tc>
          </w:tr>
          <w:tr w:rsidR="002627AD" w14:paraId="3F1ADDDB" w14:textId="77777777">
            <w:trPr>
              <w:cantSplit/>
              <w:trHeight w:val="915"/>
              <w:tblHeader/>
            </w:trPr>
            <w:tc>
              <w:tcPr>
                <w:tcW w:w="217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C025B2D"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IT &amp; Cybersecurity</w:t>
                </w:r>
              </w:p>
            </w:tc>
            <w:tc>
              <w:tcPr>
                <w:tcW w:w="561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170C251"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4"/>
                    <w:szCs w:val="24"/>
                  </w:rPr>
                  <w:t>Protects sensitive health data, ensures GDPR compliance, and manages digital platforms.</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5DDB3F5E"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High </w:t>
                </w:r>
              </w:p>
            </w:tc>
          </w:tr>
          <w:tr w:rsidR="002627AD" w14:paraId="3FF445C7" w14:textId="77777777">
            <w:trPr>
              <w:cantSplit/>
              <w:trHeight w:val="915"/>
              <w:tblHeader/>
            </w:trPr>
            <w:tc>
              <w:tcPr>
                <w:tcW w:w="217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4BDDE4C"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Board</w:t>
                </w:r>
              </w:p>
            </w:tc>
            <w:tc>
              <w:tcPr>
                <w:tcW w:w="561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305C4E2" w14:textId="77777777" w:rsidR="002627AD" w:rsidRDefault="000214B4">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4"/>
                    <w:szCs w:val="24"/>
                  </w:rPr>
                  <w:t>Provides strategic oversight, approves budgets, and manages investor expectations.</w:t>
                </w:r>
              </w:p>
            </w:tc>
            <w:tc>
              <w:tcPr>
                <w:tcW w:w="156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F5EB938" w14:textId="77777777" w:rsidR="002627AD" w:rsidRDefault="000214B4">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w:t>
                </w:r>
              </w:p>
            </w:tc>
          </w:tr>
        </w:tbl>
      </w:sdtContent>
    </w:sdt>
    <w:p w14:paraId="1925C920"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20" w:name="_heading=h.vbgmfeqm4duz" w:colFirst="0" w:colLast="0"/>
      <w:bookmarkEnd w:id="20"/>
      <w:r>
        <w:rPr>
          <w:rFonts w:ascii="Times New Roman" w:eastAsia="Times New Roman" w:hAnsi="Times New Roman" w:cs="Times New Roman"/>
          <w:b/>
          <w:color w:val="000000"/>
          <w:sz w:val="24"/>
          <w:szCs w:val="24"/>
        </w:rPr>
        <w:t>Table 5:  Internal Stakeholders</w:t>
      </w:r>
    </w:p>
    <w:p w14:paraId="59A17E54" w14:textId="77777777" w:rsidR="002627AD" w:rsidRDefault="000214B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Self-Generated)</w:t>
      </w:r>
    </w:p>
    <w:p w14:paraId="23785514" w14:textId="77777777" w:rsidR="002627AD" w:rsidRDefault="002627AD">
      <w:pPr>
        <w:spacing w:line="360" w:lineRule="auto"/>
        <w:jc w:val="both"/>
        <w:rPr>
          <w:rFonts w:ascii="Times New Roman" w:eastAsia="Times New Roman" w:hAnsi="Times New Roman" w:cs="Times New Roman"/>
          <w:color w:val="111111"/>
          <w:sz w:val="24"/>
          <w:szCs w:val="24"/>
        </w:rPr>
      </w:pPr>
    </w:p>
    <w:p w14:paraId="5A649DB5"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21" w:name="_heading=h.emgxurbfg5n8" w:colFirst="0" w:colLast="0"/>
      <w:bookmarkEnd w:id="21"/>
      <w:r>
        <w:rPr>
          <w:rFonts w:ascii="Times New Roman" w:eastAsia="Times New Roman" w:hAnsi="Times New Roman" w:cs="Times New Roman"/>
          <w:b/>
          <w:sz w:val="26"/>
          <w:szCs w:val="26"/>
        </w:rPr>
        <w:t>4.2 External Stakeholders</w:t>
      </w:r>
    </w:p>
    <w:tbl>
      <w:tblPr>
        <w:tblStyle w:val="af4"/>
        <w:tblW w:w="934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2475"/>
        <w:gridCol w:w="5115"/>
        <w:gridCol w:w="1755"/>
      </w:tblGrid>
      <w:tr w:rsidR="002627AD" w14:paraId="7C3242E3" w14:textId="77777777">
        <w:trPr>
          <w:cantSplit/>
          <w:trHeight w:val="360"/>
          <w:tblHeader/>
        </w:trPr>
        <w:tc>
          <w:tcPr>
            <w:tcW w:w="2475"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6103007E"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Stakeholder</w:t>
            </w:r>
          </w:p>
        </w:tc>
        <w:tc>
          <w:tcPr>
            <w:tcW w:w="5115"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4B36D683"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Role in Project</w:t>
            </w:r>
          </w:p>
        </w:tc>
        <w:tc>
          <w:tcPr>
            <w:tcW w:w="1755"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11D03948"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Importance</w:t>
            </w:r>
          </w:p>
        </w:tc>
      </w:tr>
      <w:tr w:rsidR="002627AD" w14:paraId="198BCBEC" w14:textId="77777777">
        <w:trPr>
          <w:cantSplit/>
          <w:trHeight w:val="645"/>
          <w:tblHeader/>
        </w:trPr>
        <w:tc>
          <w:tcPr>
            <w:tcW w:w="247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F3D0676"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Customers</w:t>
            </w:r>
          </w:p>
        </w:tc>
        <w:tc>
          <w:tcPr>
            <w:tcW w:w="511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532DAA6B"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End-users who adopt and provide feedback on the wearable.</w:t>
            </w:r>
          </w:p>
        </w:tc>
        <w:tc>
          <w:tcPr>
            <w:tcW w:w="175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9EFA4A3"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High</w:t>
            </w:r>
          </w:p>
        </w:tc>
      </w:tr>
      <w:tr w:rsidR="002627AD" w14:paraId="3E7AD697" w14:textId="77777777">
        <w:trPr>
          <w:cantSplit/>
          <w:trHeight w:val="645"/>
          <w:tblHeader/>
        </w:trPr>
        <w:tc>
          <w:tcPr>
            <w:tcW w:w="247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231AD3E2"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Healthcare Providers</w:t>
            </w:r>
          </w:p>
        </w:tc>
        <w:tc>
          <w:tcPr>
            <w:tcW w:w="511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73F52F3"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Potential partners for patient monitoring and medical validation.</w:t>
            </w:r>
          </w:p>
        </w:tc>
        <w:tc>
          <w:tcPr>
            <w:tcW w:w="175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335E29EA"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 xml:space="preserve">High </w:t>
            </w:r>
          </w:p>
        </w:tc>
      </w:tr>
      <w:tr w:rsidR="002627AD" w14:paraId="20640512" w14:textId="77777777">
        <w:trPr>
          <w:cantSplit/>
          <w:trHeight w:val="645"/>
          <w:tblHeader/>
        </w:trPr>
        <w:tc>
          <w:tcPr>
            <w:tcW w:w="247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9873DDE"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Suppliers</w:t>
            </w:r>
          </w:p>
        </w:tc>
        <w:tc>
          <w:tcPr>
            <w:tcW w:w="511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45D2D6A"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Provide hardware, sensors, and software components.</w:t>
            </w:r>
          </w:p>
        </w:tc>
        <w:tc>
          <w:tcPr>
            <w:tcW w:w="175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5A40517"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Medium</w:t>
            </w:r>
          </w:p>
        </w:tc>
      </w:tr>
      <w:tr w:rsidR="002627AD" w14:paraId="72C05DB3" w14:textId="77777777">
        <w:trPr>
          <w:cantSplit/>
          <w:trHeight w:val="645"/>
          <w:tblHeader/>
        </w:trPr>
        <w:tc>
          <w:tcPr>
            <w:tcW w:w="247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3823427B"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Regulators (MHRA &amp; EU bodies)</w:t>
            </w:r>
          </w:p>
        </w:tc>
        <w:tc>
          <w:tcPr>
            <w:tcW w:w="511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3BBA3257"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Approve compliance with medical device and consumer safety standards.</w:t>
            </w:r>
          </w:p>
        </w:tc>
        <w:tc>
          <w:tcPr>
            <w:tcW w:w="175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129FC49"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High</w:t>
            </w:r>
          </w:p>
        </w:tc>
      </w:tr>
      <w:tr w:rsidR="002627AD" w14:paraId="46BF0010" w14:textId="77777777">
        <w:trPr>
          <w:cantSplit/>
          <w:trHeight w:val="645"/>
          <w:tblHeader/>
        </w:trPr>
        <w:tc>
          <w:tcPr>
            <w:tcW w:w="247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58D78C7E"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Investors</w:t>
            </w:r>
          </w:p>
        </w:tc>
        <w:tc>
          <w:tcPr>
            <w:tcW w:w="511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035B056"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Provide funding and monitor project performance and profitability.</w:t>
            </w:r>
          </w:p>
        </w:tc>
        <w:tc>
          <w:tcPr>
            <w:tcW w:w="175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6BAC909"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Medium</w:t>
            </w:r>
          </w:p>
        </w:tc>
      </w:tr>
      <w:tr w:rsidR="002627AD" w14:paraId="258F198D" w14:textId="77777777">
        <w:trPr>
          <w:cantSplit/>
          <w:trHeight w:val="645"/>
          <w:tblHeader/>
        </w:trPr>
        <w:tc>
          <w:tcPr>
            <w:tcW w:w="247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28723C95"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NGOs &amp; Community </w:t>
            </w:r>
            <w:proofErr w:type="spellStart"/>
            <w:r>
              <w:rPr>
                <w:rFonts w:ascii="Times New Roman" w:eastAsia="Times New Roman" w:hAnsi="Times New Roman" w:cs="Times New Roman"/>
                <w:b/>
                <w:color w:val="000000"/>
                <w:sz w:val="24"/>
                <w:szCs w:val="24"/>
              </w:rPr>
              <w:t>Organisations</w:t>
            </w:r>
            <w:proofErr w:type="spellEnd"/>
          </w:p>
        </w:tc>
        <w:tc>
          <w:tcPr>
            <w:tcW w:w="511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418AE0A4"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Advocate for digital inclusion, ensuring accessibility of health solutions.</w:t>
            </w:r>
          </w:p>
        </w:tc>
        <w:tc>
          <w:tcPr>
            <w:tcW w:w="175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7D8DC7B"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Low–Medium</w:t>
            </w:r>
          </w:p>
        </w:tc>
      </w:tr>
    </w:tbl>
    <w:p w14:paraId="7DD3F8E8"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22" w:name="_heading=h.mrz2pzfxi7uv" w:colFirst="0" w:colLast="0"/>
      <w:bookmarkEnd w:id="22"/>
      <w:r>
        <w:rPr>
          <w:rFonts w:ascii="Times New Roman" w:eastAsia="Times New Roman" w:hAnsi="Times New Roman" w:cs="Times New Roman"/>
          <w:b/>
          <w:color w:val="000000"/>
          <w:sz w:val="24"/>
          <w:szCs w:val="24"/>
        </w:rPr>
        <w:t>Table 6:  External Stakeholders</w:t>
      </w:r>
    </w:p>
    <w:p w14:paraId="4800CF72"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(Source: Self-Generated)</w:t>
      </w:r>
    </w:p>
    <w:p w14:paraId="6223294B" w14:textId="77777777" w:rsidR="002627AD" w:rsidRDefault="000214B4">
      <w:pPr>
        <w:pStyle w:val="Titlu3"/>
        <w:spacing w:before="0" w:after="0" w:line="360" w:lineRule="auto"/>
        <w:jc w:val="both"/>
        <w:rPr>
          <w:rFonts w:ascii="Times New Roman" w:eastAsia="Times New Roman" w:hAnsi="Times New Roman" w:cs="Times New Roman"/>
          <w:b/>
          <w:color w:val="000000"/>
          <w:sz w:val="24"/>
          <w:szCs w:val="24"/>
        </w:rPr>
      </w:pPr>
      <w:bookmarkStart w:id="23" w:name="_heading=h.i1mdlhx8uzl5" w:colFirst="0" w:colLast="0"/>
      <w:bookmarkEnd w:id="23"/>
      <w:r>
        <w:rPr>
          <w:rFonts w:ascii="Times New Roman" w:eastAsia="Times New Roman" w:hAnsi="Times New Roman" w:cs="Times New Roman"/>
          <w:b/>
          <w:color w:val="000000"/>
          <w:sz w:val="24"/>
          <w:szCs w:val="24"/>
        </w:rPr>
        <w:t>4.2.1 External Stakeholders' Roles &amp; Responsibilities</w:t>
      </w:r>
    </w:p>
    <w:p w14:paraId="79F41D20"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customers are the basis of the project, and they take the device, engage in pilot testing, and decide whether the market will be a success.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Their response allows them to create value, but the issue of privacy of their data and sharing sensitive health information is a challenge.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 xml:space="preserve">Compliance with safety and data protection is guaranteed by regulatory bodies such as MHRA and EU authorities, which increase the credibility and trust in the consumer, but long approval procedures can delay the launch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Charalambous</w:t>
      </w:r>
      <w:proofErr w:type="spellEnd"/>
      <w:r>
        <w:rPr>
          <w:rFonts w:ascii="Times New Roman" w:eastAsia="Times New Roman" w:hAnsi="Times New Roman" w:cs="Times New Roman"/>
          <w:color w:val="000000"/>
          <w:sz w:val="24"/>
          <w:szCs w:val="24"/>
        </w:rPr>
        <w:t>, 2021)</w:t>
      </w:r>
      <w:r>
        <w:rPr>
          <w:rFonts w:ascii="Times New Roman" w:eastAsia="Times New Roman" w:hAnsi="Times New Roman" w:cs="Times New Roman"/>
          <w:color w:val="111111"/>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Hardware and software are supplied by suppliers who are essential in helping to develop efficiently but the dependency on a third-</w:t>
      </w:r>
      <w:r>
        <w:rPr>
          <w:rFonts w:ascii="Times New Roman" w:eastAsia="Times New Roman" w:hAnsi="Times New Roman" w:cs="Times New Roman"/>
          <w:color w:val="111111"/>
          <w:sz w:val="24"/>
          <w:szCs w:val="24"/>
        </w:rPr>
        <w:t>party vendor can always lead to disruption in the supply chain.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 xml:space="preserve">Development, marketing, and distribution are financed by the investors to make it sustainable and strategically grow </w:t>
      </w:r>
      <w:r>
        <w:rPr>
          <w:rFonts w:ascii="Times New Roman" w:eastAsia="Times New Roman" w:hAnsi="Times New Roman" w:cs="Times New Roman"/>
          <w:color w:val="000000"/>
          <w:sz w:val="24"/>
          <w:szCs w:val="24"/>
        </w:rPr>
        <w:t>(Acharya and Rani, 2021)</w:t>
      </w:r>
      <w:r>
        <w:rPr>
          <w:rFonts w:ascii="Times New Roman" w:eastAsia="Times New Roman" w:hAnsi="Times New Roman" w:cs="Times New Roman"/>
          <w:color w:val="111111"/>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They are essential and any lack of support at the initial stages or change in regulations might lead to a lack of confidence.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 xml:space="preserve">All customers, regulators, suppliers, and investors are important in the innovation, compliance, efficiency in its operations, and financial sustainability with a certain benefit </w:t>
      </w:r>
      <w:r>
        <w:rPr>
          <w:rFonts w:ascii="Times New Roman" w:eastAsia="Times New Roman" w:hAnsi="Times New Roman" w:cs="Times New Roman"/>
          <w:color w:val="111111"/>
          <w:sz w:val="24"/>
          <w:szCs w:val="24"/>
        </w:rPr>
        <w:t xml:space="preserve">and risk with threats that must be well addressed to ensure that the wearable device is successful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Mukati</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2023)</w:t>
      </w:r>
      <w:r>
        <w:rPr>
          <w:rFonts w:ascii="Times New Roman" w:eastAsia="Times New Roman" w:hAnsi="Times New Roman" w:cs="Times New Roman"/>
          <w:color w:val="111111"/>
          <w:sz w:val="24"/>
          <w:szCs w:val="24"/>
        </w:rPr>
        <w:t>.</w:t>
      </w:r>
    </w:p>
    <w:p w14:paraId="250E50A2"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24" w:name="_heading=h.qk73r87bo4zm" w:colFirst="0" w:colLast="0"/>
      <w:bookmarkEnd w:id="24"/>
      <w:r>
        <w:rPr>
          <w:rFonts w:ascii="Times New Roman" w:eastAsia="Times New Roman" w:hAnsi="Times New Roman" w:cs="Times New Roman"/>
          <w:b/>
          <w:sz w:val="26"/>
          <w:szCs w:val="26"/>
        </w:rPr>
        <w:t>4.4 Benefits and Challenges—Theoretical Lens</w:t>
      </w:r>
    </w:p>
    <w:p w14:paraId="31382202"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111111"/>
          <w:sz w:val="24"/>
          <w:szCs w:val="24"/>
        </w:rPr>
        <w:t>The stakeholder theory developed by Freeman focuses on making value for all stakeholders, not just the shareholders.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Vodafone focuses on balancing the profit of investors and the social value, whereas the Salience Model created by Mitchell is based on power, legitimacy, and urgency, which determine the proper governing of the entities, trust, and successful results of the project in the long term (</w:t>
      </w:r>
      <w:proofErr w:type="spellStart"/>
      <w:r>
        <w:rPr>
          <w:rFonts w:ascii="Times New Roman" w:eastAsia="Times New Roman" w:hAnsi="Times New Roman" w:cs="Times New Roman"/>
          <w:color w:val="111111"/>
          <w:sz w:val="24"/>
          <w:szCs w:val="24"/>
        </w:rPr>
        <w:t>ScienceDirect</w:t>
      </w:r>
      <w:proofErr w:type="spellEnd"/>
      <w:r>
        <w:rPr>
          <w:rFonts w:ascii="Times New Roman" w:eastAsia="Times New Roman" w:hAnsi="Times New Roman" w:cs="Times New Roman"/>
          <w:color w:val="111111"/>
          <w:sz w:val="24"/>
          <w:szCs w:val="24"/>
        </w:rPr>
        <w:t>, 2024).</w:t>
      </w:r>
      <w:r>
        <w:br w:type="page"/>
      </w:r>
    </w:p>
    <w:p w14:paraId="517D6152"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25" w:name="_heading=h.mpn2f6w29iyo" w:colFirst="0" w:colLast="0"/>
      <w:bookmarkEnd w:id="25"/>
      <w:r>
        <w:rPr>
          <w:rFonts w:ascii="Times New Roman" w:eastAsia="Times New Roman" w:hAnsi="Times New Roman" w:cs="Times New Roman"/>
          <w:b/>
          <w:sz w:val="26"/>
          <w:szCs w:val="26"/>
        </w:rPr>
        <w:t xml:space="preserve">4.5 Frameworks, Models &amp; Theories for Stakeholder Engagement </w:t>
      </w:r>
    </w:p>
    <w:p w14:paraId="520B6247"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In order to deal with different expectations by the various stakeholders, Vodafone should establish systematic arrangements that nurture accountability, high-quality communication and collaboration (</w:t>
      </w:r>
      <w:proofErr w:type="spellStart"/>
      <w:r>
        <w:rPr>
          <w:rFonts w:ascii="Times New Roman" w:eastAsia="Times New Roman" w:hAnsi="Times New Roman" w:cs="Times New Roman"/>
          <w:color w:val="111111"/>
          <w:sz w:val="24"/>
          <w:szCs w:val="24"/>
        </w:rPr>
        <w:t>Elei</w:t>
      </w:r>
      <w:proofErr w:type="spellEnd"/>
      <w:r>
        <w:rPr>
          <w:rFonts w:ascii="Times New Roman" w:eastAsia="Times New Roman" w:hAnsi="Times New Roman" w:cs="Times New Roman"/>
          <w:color w:val="111111"/>
          <w:sz w:val="24"/>
          <w:szCs w:val="24"/>
        </w:rPr>
        <w:t xml:space="preserve"> </w:t>
      </w:r>
      <w:r>
        <w:rPr>
          <w:rFonts w:ascii="Times New Roman" w:eastAsia="Times New Roman" w:hAnsi="Times New Roman" w:cs="Times New Roman"/>
          <w:i/>
          <w:color w:val="111111"/>
          <w:sz w:val="24"/>
          <w:szCs w:val="24"/>
        </w:rPr>
        <w:t>et al.,</w:t>
      </w:r>
      <w:r>
        <w:rPr>
          <w:rFonts w:ascii="Times New Roman" w:eastAsia="Times New Roman" w:hAnsi="Times New Roman" w:cs="Times New Roman"/>
          <w:color w:val="111111"/>
          <w:sz w:val="24"/>
          <w:szCs w:val="24"/>
        </w:rPr>
        <w:t xml:space="preserve"> 2023).</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Successful stakeholder engagement involves systematic ways of identifying, </w:t>
      </w:r>
      <w:proofErr w:type="spellStart"/>
      <w:r>
        <w:rPr>
          <w:rFonts w:ascii="Times New Roman" w:eastAsia="Times New Roman" w:hAnsi="Times New Roman" w:cs="Times New Roman"/>
          <w:color w:val="111111"/>
          <w:sz w:val="24"/>
          <w:szCs w:val="24"/>
        </w:rPr>
        <w:t>prioritising</w:t>
      </w:r>
      <w:proofErr w:type="spellEnd"/>
      <w:r>
        <w:rPr>
          <w:rFonts w:ascii="Times New Roman" w:eastAsia="Times New Roman" w:hAnsi="Times New Roman" w:cs="Times New Roman"/>
          <w:color w:val="111111"/>
          <w:sz w:val="24"/>
          <w:szCs w:val="24"/>
        </w:rPr>
        <w:t xml:space="preserve"> and managing relationships whilst aligning with </w:t>
      </w:r>
      <w:proofErr w:type="spellStart"/>
      <w:r>
        <w:rPr>
          <w:rFonts w:ascii="Times New Roman" w:eastAsia="Times New Roman" w:hAnsi="Times New Roman" w:cs="Times New Roman"/>
          <w:color w:val="111111"/>
          <w:sz w:val="24"/>
          <w:szCs w:val="24"/>
        </w:rPr>
        <w:t>organisational</w:t>
      </w:r>
      <w:proofErr w:type="spellEnd"/>
      <w:r>
        <w:rPr>
          <w:rFonts w:ascii="Times New Roman" w:eastAsia="Times New Roman" w:hAnsi="Times New Roman" w:cs="Times New Roman"/>
          <w:color w:val="111111"/>
          <w:sz w:val="24"/>
          <w:szCs w:val="24"/>
        </w:rPr>
        <w:t xml:space="preserve"> objectives.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 number of frameworks, models, and theories support this process.</w:t>
      </w:r>
    </w:p>
    <w:p w14:paraId="19C60F51" w14:textId="77777777" w:rsidR="002627AD" w:rsidRDefault="000214B4">
      <w:pPr>
        <w:pStyle w:val="Titlu3"/>
        <w:spacing w:before="0" w:after="0" w:line="360" w:lineRule="auto"/>
        <w:jc w:val="both"/>
        <w:rPr>
          <w:rFonts w:ascii="Times New Roman" w:eastAsia="Times New Roman" w:hAnsi="Times New Roman" w:cs="Times New Roman"/>
          <w:b/>
          <w:color w:val="000000"/>
          <w:sz w:val="24"/>
          <w:szCs w:val="24"/>
        </w:rPr>
      </w:pPr>
      <w:bookmarkStart w:id="26" w:name="_heading=h.ejpi4fqdvzep" w:colFirst="0" w:colLast="0"/>
      <w:bookmarkEnd w:id="26"/>
      <w:r>
        <w:rPr>
          <w:rFonts w:ascii="Times New Roman" w:eastAsia="Times New Roman" w:hAnsi="Times New Roman" w:cs="Times New Roman"/>
          <w:b/>
          <w:color w:val="000000"/>
          <w:sz w:val="24"/>
          <w:szCs w:val="24"/>
        </w:rPr>
        <w:t>4.5.1 Stakeholder Matrix</w:t>
      </w:r>
    </w:p>
    <w:p w14:paraId="5E4661E1" w14:textId="77777777" w:rsidR="002627AD" w:rsidRDefault="000214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Stakeholder Matrix, based on the use of </w:t>
      </w:r>
      <w:proofErr w:type="spellStart"/>
      <w:r>
        <w:rPr>
          <w:rFonts w:ascii="Times New Roman" w:eastAsia="Times New Roman" w:hAnsi="Times New Roman" w:cs="Times New Roman"/>
          <w:sz w:val="24"/>
          <w:szCs w:val="24"/>
        </w:rPr>
        <w:t>Mendelow's</w:t>
      </w:r>
      <w:proofErr w:type="spellEnd"/>
      <w:r>
        <w:rPr>
          <w:rFonts w:ascii="Times New Roman" w:eastAsia="Times New Roman" w:hAnsi="Times New Roman" w:cs="Times New Roman"/>
          <w:sz w:val="24"/>
          <w:szCs w:val="24"/>
        </w:rPr>
        <w:t xml:space="preserve"> Power/Interest grid, is a very common tool to map stakeholders according to their level of influence (power) and their degree of interest in the project or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activities. This way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can strategically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engagement efforts.</w:t>
      </w:r>
    </w:p>
    <w:p w14:paraId="4D25CB34"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drawing>
          <wp:inline distT="114300" distB="114300" distL="114300" distR="114300" wp14:anchorId="0A89B43C" wp14:editId="5FD4101A">
            <wp:extent cx="3802132" cy="3471863"/>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802132" cy="3471863"/>
                    </a:xfrm>
                    <a:prstGeom prst="rect">
                      <a:avLst/>
                    </a:prstGeom>
                    <a:ln/>
                  </pic:spPr>
                </pic:pic>
              </a:graphicData>
            </a:graphic>
          </wp:inline>
        </w:drawing>
      </w:r>
    </w:p>
    <w:p w14:paraId="3DF17B42"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27" w:name="_heading=h.g1dacjr6nk8" w:colFirst="0" w:colLast="0"/>
      <w:bookmarkEnd w:id="27"/>
      <w:r>
        <w:rPr>
          <w:rFonts w:ascii="Times New Roman" w:eastAsia="Times New Roman" w:hAnsi="Times New Roman" w:cs="Times New Roman"/>
          <w:b/>
          <w:color w:val="000000"/>
          <w:sz w:val="24"/>
          <w:szCs w:val="24"/>
        </w:rPr>
        <w:t>Fig 1: Stakeholder Matrix</w:t>
      </w:r>
    </w:p>
    <w:p w14:paraId="741265FF"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Self-Generated)</w:t>
      </w:r>
    </w:p>
    <w:p w14:paraId="00DFCB5F" w14:textId="77777777" w:rsidR="002627AD" w:rsidRDefault="000214B4">
      <w:pPr>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High Power / Low Interest (Keep Satisfied)</w:t>
      </w:r>
    </w:p>
    <w:p w14:paraId="2489A600" w14:textId="77777777" w:rsidR="002627AD" w:rsidRDefault="000214B4">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Investors, Government Agencies and Strategic Partners.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Although these stakeholders are quite influential, they are not much interested in the day-to-day activities.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To keep them on track, reporting regularly and providing updates on a high level is enough (</w:t>
      </w:r>
      <w:proofErr w:type="spellStart"/>
      <w:r>
        <w:rPr>
          <w:rFonts w:ascii="Times New Roman" w:eastAsia="Times New Roman" w:hAnsi="Times New Roman" w:cs="Times New Roman"/>
          <w:color w:val="111111"/>
          <w:sz w:val="24"/>
          <w:szCs w:val="24"/>
        </w:rPr>
        <w:t>Yathiraju</w:t>
      </w:r>
      <w:proofErr w:type="spellEnd"/>
      <w:r>
        <w:rPr>
          <w:rFonts w:ascii="Times New Roman" w:eastAsia="Times New Roman" w:hAnsi="Times New Roman" w:cs="Times New Roman"/>
          <w:color w:val="111111"/>
          <w:sz w:val="24"/>
          <w:szCs w:val="24"/>
        </w:rPr>
        <w:t xml:space="preserve"> and </w:t>
      </w:r>
      <w:proofErr w:type="spellStart"/>
      <w:r>
        <w:rPr>
          <w:rFonts w:ascii="Times New Roman" w:eastAsia="Times New Roman" w:hAnsi="Times New Roman" w:cs="Times New Roman"/>
          <w:color w:val="111111"/>
          <w:sz w:val="24"/>
          <w:szCs w:val="24"/>
        </w:rPr>
        <w:t>Mohapatra</w:t>
      </w:r>
      <w:proofErr w:type="spellEnd"/>
      <w:r>
        <w:rPr>
          <w:rFonts w:ascii="Times New Roman" w:eastAsia="Times New Roman" w:hAnsi="Times New Roman" w:cs="Times New Roman"/>
          <w:color w:val="111111"/>
          <w:sz w:val="24"/>
          <w:szCs w:val="24"/>
        </w:rPr>
        <w:t>, 2023).</w:t>
      </w:r>
    </w:p>
    <w:p w14:paraId="4FB2011A" w14:textId="77777777" w:rsidR="002627AD" w:rsidRDefault="000214B4">
      <w:pPr>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Low Power / High Interest (Keep Informed)</w:t>
      </w:r>
    </w:p>
    <w:p w14:paraId="7AE12323" w14:textId="77777777" w:rsidR="002627AD" w:rsidRDefault="000214B4">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Customers, Product Development &amp; R&amp;D Teams, and Marketing &amp; Sales Teams. Although these groups do not possess significant decision-making power, they are highly invested in outcomes. Continuous engagement ensures their input drives product development and market adoption (Singh and Kaur, 2024).</w:t>
      </w:r>
    </w:p>
    <w:p w14:paraId="2A0DF266" w14:textId="77777777" w:rsidR="002627AD" w:rsidRDefault="000214B4">
      <w:pPr>
        <w:numPr>
          <w:ilvl w:val="0"/>
          <w:numId w:val="6"/>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 Power/High Interest (Manage Closely)</w:t>
      </w:r>
    </w:p>
    <w:p w14:paraId="7418F01E" w14:textId="77777777" w:rsidR="002627AD" w:rsidRDefault="000214B4">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Healthcare Practitioners, Regulators and the Executive Board are influential stakeholders, with them being representatives of powerful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with strategic results driven objectives. </w:t>
      </w:r>
      <w:r>
        <w:rPr>
          <w:rFonts w:ascii="Times New Roman" w:eastAsia="Times New Roman" w:hAnsi="Times New Roman" w:cs="Times New Roman"/>
          <w:color w:val="111111"/>
          <w:sz w:val="24"/>
          <w:szCs w:val="24"/>
        </w:rPr>
        <w:t>In order to actively engage with these stakeholders, in accordance with Vodafone's business mission, legal regulatory compliance, medical innovation, and corporate ethos (</w:t>
      </w:r>
      <w:proofErr w:type="spellStart"/>
      <w:r>
        <w:rPr>
          <w:rFonts w:ascii="Times New Roman" w:eastAsia="Times New Roman" w:hAnsi="Times New Roman" w:cs="Times New Roman"/>
          <w:color w:val="111111"/>
          <w:sz w:val="24"/>
          <w:szCs w:val="24"/>
        </w:rPr>
        <w:t>Zobaed</w:t>
      </w:r>
      <w:proofErr w:type="spellEnd"/>
      <w:r>
        <w:rPr>
          <w:rFonts w:ascii="Times New Roman" w:eastAsia="Times New Roman" w:hAnsi="Times New Roman" w:cs="Times New Roman"/>
          <w:color w:val="111111"/>
          <w:sz w:val="24"/>
          <w:szCs w:val="24"/>
        </w:rPr>
        <w:t xml:space="preserve"> et al., 2021).</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Engagement with these groups is the key to ensuring </w:t>
      </w:r>
      <w:proofErr w:type="spellStart"/>
      <w:r>
        <w:rPr>
          <w:rFonts w:ascii="Times New Roman" w:eastAsia="Times New Roman" w:hAnsi="Times New Roman" w:cs="Times New Roman"/>
          <w:color w:val="111111"/>
          <w:sz w:val="24"/>
          <w:szCs w:val="24"/>
        </w:rPr>
        <w:t>organisational</w:t>
      </w:r>
      <w:proofErr w:type="spellEnd"/>
      <w:r>
        <w:rPr>
          <w:rFonts w:ascii="Times New Roman" w:eastAsia="Times New Roman" w:hAnsi="Times New Roman" w:cs="Times New Roman"/>
          <w:color w:val="111111"/>
          <w:sz w:val="24"/>
          <w:szCs w:val="24"/>
        </w:rPr>
        <w:t xml:space="preserve"> decisions are not only legally compliant, but innovative and in line with strategy - and innovation and trust from stakeholders continue to flow.</w:t>
      </w:r>
    </w:p>
    <w:p w14:paraId="7BC0B085" w14:textId="77777777" w:rsidR="002627AD" w:rsidRDefault="000214B4">
      <w:pPr>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Low Power / Low Interest (Monitor / Minimal Effort)</w:t>
      </w:r>
    </w:p>
    <w:p w14:paraId="2A40E7A9" w14:textId="77777777" w:rsidR="002627AD" w:rsidRDefault="000214B4">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NGOs, Suppliers, and Local Communities. These groups have limited influence and interest but still require periodic communication to maintain transparency and mitigate reputational risks (Lima, 2021).</w:t>
      </w:r>
    </w:p>
    <w:p w14:paraId="1704164A"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28" w:name="_heading=h.wqljr1yolqdd" w:colFirst="0" w:colLast="0"/>
      <w:bookmarkEnd w:id="28"/>
      <w:r>
        <w:rPr>
          <w:rFonts w:ascii="Times New Roman" w:eastAsia="Times New Roman" w:hAnsi="Times New Roman" w:cs="Times New Roman"/>
          <w:b/>
          <w:sz w:val="26"/>
          <w:szCs w:val="26"/>
        </w:rPr>
        <w:t>4.6 Engagement Plan</w:t>
      </w:r>
    </w:p>
    <w:tbl>
      <w:tblPr>
        <w:tblStyle w:val="af5"/>
        <w:tblW w:w="9075" w:type="dxa"/>
        <w:tblInd w:w="285" w:type="dxa"/>
        <w:tblBorders>
          <w:top w:val="nil"/>
          <w:left w:val="nil"/>
          <w:bottom w:val="nil"/>
          <w:right w:val="nil"/>
          <w:insideH w:val="nil"/>
          <w:insideV w:val="nil"/>
        </w:tblBorders>
        <w:tblLayout w:type="fixed"/>
        <w:tblLook w:val="0600" w:firstRow="0" w:lastRow="0" w:firstColumn="0" w:lastColumn="0" w:noHBand="1" w:noVBand="1"/>
      </w:tblPr>
      <w:tblGrid>
        <w:gridCol w:w="2460"/>
        <w:gridCol w:w="6615"/>
      </w:tblGrid>
      <w:tr w:rsidR="002627AD" w14:paraId="6FE46F7F" w14:textId="77777777">
        <w:trPr>
          <w:cantSplit/>
          <w:trHeight w:val="360"/>
          <w:tblHeader/>
        </w:trPr>
        <w:tc>
          <w:tcPr>
            <w:tcW w:w="2460" w:type="dxa"/>
            <w:tcBorders>
              <w:top w:val="single" w:sz="4" w:space="0" w:color="284E3F"/>
              <w:left w:val="single" w:sz="4" w:space="0" w:color="284E3F"/>
              <w:bottom w:val="single" w:sz="4" w:space="0" w:color="000000"/>
              <w:right w:val="single" w:sz="4" w:space="0" w:color="356854"/>
            </w:tcBorders>
            <w:shd w:val="clear" w:color="auto" w:fill="356854"/>
            <w:tcMar>
              <w:top w:w="40" w:type="dxa"/>
              <w:left w:w="120" w:type="dxa"/>
              <w:bottom w:w="40" w:type="dxa"/>
              <w:right w:w="120" w:type="dxa"/>
            </w:tcMar>
            <w:vAlign w:val="center"/>
          </w:tcPr>
          <w:p w14:paraId="12D7CAD6"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Stakeholder Group</w:t>
            </w:r>
          </w:p>
        </w:tc>
        <w:tc>
          <w:tcPr>
            <w:tcW w:w="6615" w:type="dxa"/>
            <w:tcBorders>
              <w:top w:val="single" w:sz="4" w:space="0" w:color="284E3F"/>
              <w:left w:val="single" w:sz="4" w:space="0" w:color="CCCCCC"/>
              <w:bottom w:val="single" w:sz="4" w:space="0" w:color="000000"/>
              <w:right w:val="single" w:sz="4" w:space="0" w:color="284E3F"/>
            </w:tcBorders>
            <w:shd w:val="clear" w:color="auto" w:fill="356854"/>
            <w:tcMar>
              <w:top w:w="40" w:type="dxa"/>
              <w:left w:w="120" w:type="dxa"/>
              <w:bottom w:w="40" w:type="dxa"/>
              <w:right w:w="120" w:type="dxa"/>
            </w:tcMar>
            <w:vAlign w:val="center"/>
          </w:tcPr>
          <w:p w14:paraId="7B8D1ED3"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Engagement Approach</w:t>
            </w:r>
          </w:p>
        </w:tc>
      </w:tr>
      <w:tr w:rsidR="002627AD" w14:paraId="25FD81F6" w14:textId="77777777">
        <w:trPr>
          <w:cantSplit/>
          <w:trHeight w:val="915"/>
          <w:tblHeader/>
        </w:trPr>
        <w:tc>
          <w:tcPr>
            <w:tcW w:w="246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9965C17"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Executive Board</w:t>
            </w:r>
          </w:p>
        </w:tc>
        <w:tc>
          <w:tcPr>
            <w:tcW w:w="661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857A910" w14:textId="77777777" w:rsidR="002627AD" w:rsidRDefault="000214B4">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Monthly strategic reviews and performance dashboards to ensure alignment with corporate objectives.</w:t>
            </w:r>
          </w:p>
        </w:tc>
      </w:tr>
      <w:tr w:rsidR="002627AD" w14:paraId="4F63DCFB" w14:textId="77777777">
        <w:trPr>
          <w:cantSplit/>
          <w:trHeight w:val="645"/>
          <w:tblHeader/>
        </w:trPr>
        <w:tc>
          <w:tcPr>
            <w:tcW w:w="246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96F8839"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Regulators</w:t>
            </w:r>
          </w:p>
        </w:tc>
        <w:tc>
          <w:tcPr>
            <w:tcW w:w="661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6C99B9F" w14:textId="77777777" w:rsidR="002627AD" w:rsidRDefault="000214B4">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Structured compliance reporting, regular audits, and consultation on policy shifts.</w:t>
            </w:r>
          </w:p>
        </w:tc>
      </w:tr>
      <w:tr w:rsidR="002627AD" w14:paraId="7B9B450A" w14:textId="77777777">
        <w:trPr>
          <w:cantSplit/>
          <w:trHeight w:val="915"/>
          <w:tblHeader/>
        </w:trPr>
        <w:tc>
          <w:tcPr>
            <w:tcW w:w="246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45216831"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Healthcare Providers</w:t>
            </w:r>
          </w:p>
        </w:tc>
        <w:tc>
          <w:tcPr>
            <w:tcW w:w="661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DA705EE" w14:textId="77777777" w:rsidR="002627AD" w:rsidRDefault="000214B4">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 xml:space="preserve">Joint innovation workshops, pilot </w:t>
            </w:r>
            <w:proofErr w:type="spellStart"/>
            <w:r>
              <w:rPr>
                <w:rFonts w:ascii="Times New Roman" w:eastAsia="Times New Roman" w:hAnsi="Times New Roman" w:cs="Times New Roman"/>
                <w:color w:val="000000"/>
                <w:sz w:val="24"/>
                <w:szCs w:val="24"/>
              </w:rPr>
              <w:t>programmes</w:t>
            </w:r>
            <w:proofErr w:type="spellEnd"/>
            <w:r>
              <w:rPr>
                <w:rFonts w:ascii="Times New Roman" w:eastAsia="Times New Roman" w:hAnsi="Times New Roman" w:cs="Times New Roman"/>
                <w:color w:val="000000"/>
                <w:sz w:val="24"/>
                <w:szCs w:val="24"/>
              </w:rPr>
              <w:t>, and tailored technology demonstrations.</w:t>
            </w:r>
          </w:p>
        </w:tc>
      </w:tr>
      <w:tr w:rsidR="002627AD" w14:paraId="39A3F1FA" w14:textId="77777777">
        <w:trPr>
          <w:cantSplit/>
          <w:trHeight w:val="645"/>
          <w:tblHeader/>
        </w:trPr>
        <w:tc>
          <w:tcPr>
            <w:tcW w:w="246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EB478B6"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Customers</w:t>
            </w:r>
          </w:p>
        </w:tc>
        <w:tc>
          <w:tcPr>
            <w:tcW w:w="661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3C879D22" w14:textId="77777777" w:rsidR="002627AD" w:rsidRDefault="000214B4">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Pre-launch surveys, focus groups, and beta-testing initiatives to validate user needs.</w:t>
            </w:r>
          </w:p>
        </w:tc>
      </w:tr>
      <w:tr w:rsidR="002627AD" w14:paraId="5257E29E" w14:textId="77777777">
        <w:trPr>
          <w:cantSplit/>
          <w:trHeight w:val="645"/>
          <w:tblHeader/>
        </w:trPr>
        <w:tc>
          <w:tcPr>
            <w:tcW w:w="246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186C861"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R&amp;D &amp; Marketing Teams</w:t>
            </w:r>
          </w:p>
        </w:tc>
        <w:tc>
          <w:tcPr>
            <w:tcW w:w="661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AC212CC" w14:textId="77777777" w:rsidR="002627AD" w:rsidRDefault="000214B4">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Daily stand-ups and agile sprint reviews to coordinate product development.</w:t>
            </w:r>
          </w:p>
        </w:tc>
      </w:tr>
      <w:tr w:rsidR="002627AD" w14:paraId="726B0D08" w14:textId="77777777">
        <w:trPr>
          <w:cantSplit/>
          <w:trHeight w:val="645"/>
          <w:tblHeader/>
        </w:trPr>
        <w:tc>
          <w:tcPr>
            <w:tcW w:w="246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09D9E52"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Suppliers</w:t>
            </w:r>
          </w:p>
        </w:tc>
        <w:tc>
          <w:tcPr>
            <w:tcW w:w="661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9CF57E1" w14:textId="77777777" w:rsidR="002627AD" w:rsidRDefault="000214B4">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Bi-weekly coordination calls to ensure efficiency across the supply chain.</w:t>
            </w:r>
          </w:p>
        </w:tc>
      </w:tr>
      <w:tr w:rsidR="002627AD" w14:paraId="0E97B500" w14:textId="77777777">
        <w:trPr>
          <w:cantSplit/>
          <w:trHeight w:val="645"/>
          <w:tblHeader/>
        </w:trPr>
        <w:tc>
          <w:tcPr>
            <w:tcW w:w="246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FDFD1E3"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Investors &amp; Strategic Partners</w:t>
            </w:r>
          </w:p>
        </w:tc>
        <w:tc>
          <w:tcPr>
            <w:tcW w:w="661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883AD2F" w14:textId="77777777" w:rsidR="002627AD" w:rsidRDefault="000214B4">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Quarterly briefings tied to KPIs, focusing on financial returns and strategic alignment.</w:t>
            </w:r>
          </w:p>
        </w:tc>
      </w:tr>
      <w:tr w:rsidR="002627AD" w14:paraId="22E7790B" w14:textId="77777777">
        <w:trPr>
          <w:cantSplit/>
          <w:trHeight w:val="157"/>
          <w:tblHeader/>
        </w:trPr>
        <w:tc>
          <w:tcPr>
            <w:tcW w:w="246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6D077B11"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4"/>
                <w:szCs w:val="24"/>
              </w:rPr>
              <w:t>Local Communities &amp; NGOs</w:t>
            </w:r>
          </w:p>
        </w:tc>
        <w:tc>
          <w:tcPr>
            <w:tcW w:w="661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309329C" w14:textId="77777777" w:rsidR="002627AD" w:rsidRDefault="000214B4">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Annual sustainability and CSR updates to reinforce corporate responsibility.</w:t>
            </w:r>
          </w:p>
        </w:tc>
      </w:tr>
    </w:tbl>
    <w:p w14:paraId="251B63D4"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29" w:name="_heading=h.euyrl7hbii3a" w:colFirst="0" w:colLast="0"/>
      <w:bookmarkEnd w:id="29"/>
      <w:r>
        <w:rPr>
          <w:rFonts w:ascii="Times New Roman" w:eastAsia="Times New Roman" w:hAnsi="Times New Roman" w:cs="Times New Roman"/>
          <w:b/>
          <w:color w:val="000000"/>
          <w:sz w:val="24"/>
          <w:szCs w:val="24"/>
        </w:rPr>
        <w:t>Table 7:  Engagement Plan</w:t>
      </w:r>
    </w:p>
    <w:p w14:paraId="26D184C6"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(Source: Self-Generated)</w:t>
      </w:r>
    </w:p>
    <w:p w14:paraId="4EDF61B7"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30" w:name="_heading=h.sllpqixrbho4" w:colFirst="0" w:colLast="0"/>
      <w:bookmarkEnd w:id="30"/>
      <w:r>
        <w:rPr>
          <w:rFonts w:ascii="Times New Roman" w:eastAsia="Times New Roman" w:hAnsi="Times New Roman" w:cs="Times New Roman"/>
          <w:b/>
          <w:sz w:val="26"/>
          <w:szCs w:val="26"/>
        </w:rPr>
        <w:t>4.7 Communication Plan</w:t>
      </w:r>
    </w:p>
    <w:p w14:paraId="6AB495C0"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Stakeholder engagement is based on effective communication, which reduces the risk of conflict or non-engagement. The stakeholder theory of value creation developed by Freeman is implemented at Vodafone, and it involves transparency, trust, and mutual benefit </w:t>
      </w:r>
      <w:r>
        <w:rPr>
          <w:rFonts w:ascii="Times New Roman" w:eastAsia="Times New Roman" w:hAnsi="Times New Roman" w:cs="Times New Roman"/>
          <w:color w:val="111111"/>
          <w:sz w:val="24"/>
          <w:szCs w:val="24"/>
        </w:rPr>
        <w:t>(</w:t>
      </w:r>
      <w:proofErr w:type="spellStart"/>
      <w:r>
        <w:rPr>
          <w:rFonts w:ascii="Times New Roman" w:eastAsia="Times New Roman" w:hAnsi="Times New Roman" w:cs="Times New Roman"/>
          <w:color w:val="111111"/>
          <w:sz w:val="24"/>
          <w:szCs w:val="24"/>
        </w:rPr>
        <w:t>ScienceDirect</w:t>
      </w:r>
      <w:proofErr w:type="spellEnd"/>
      <w:r>
        <w:rPr>
          <w:rFonts w:ascii="Times New Roman" w:eastAsia="Times New Roman" w:hAnsi="Times New Roman" w:cs="Times New Roman"/>
          <w:color w:val="111111"/>
          <w:sz w:val="24"/>
          <w:szCs w:val="24"/>
        </w:rPr>
        <w:t>, 2024)</w:t>
      </w:r>
      <w:r>
        <w:rPr>
          <w:rFonts w:ascii="Times New Roman" w:eastAsia="Times New Roman" w:hAnsi="Times New Roman" w:cs="Times New Roman"/>
          <w:color w:val="000000"/>
          <w:sz w:val="24"/>
          <w:szCs w:val="24"/>
        </w:rPr>
        <w:t xml:space="preserve">. Regulatory reporting, investor briefings, and board reporting are some of the formal mechanisms that are conducted to uphold compliance and governance (Dang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2023). Collaboration and learning are encouraged through interactive methods, such as co-design, focus groups, and pilot feedback. Online technologies such as secure dashboards, mobile applications, and internal solutions maintain the real-time updated teams and regulators, help to increase responsiveness, develop trust, c</w:t>
      </w:r>
      <w:r>
        <w:rPr>
          <w:rFonts w:ascii="Times New Roman" w:eastAsia="Times New Roman" w:hAnsi="Times New Roman" w:cs="Times New Roman"/>
          <w:color w:val="000000"/>
          <w:sz w:val="24"/>
          <w:szCs w:val="24"/>
        </w:rPr>
        <w:t xml:space="preserve">ultivate relationships, and promote long-term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resilience and value to stakeholders (</w:t>
      </w:r>
      <w:proofErr w:type="spellStart"/>
      <w:r>
        <w:rPr>
          <w:rFonts w:ascii="Times New Roman" w:eastAsia="Times New Roman" w:hAnsi="Times New Roman" w:cs="Times New Roman"/>
          <w:color w:val="000000"/>
          <w:sz w:val="24"/>
          <w:szCs w:val="24"/>
        </w:rPr>
        <w:t>Bargarai</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Keti</w:t>
      </w:r>
      <w:proofErr w:type="spellEnd"/>
      <w:r>
        <w:rPr>
          <w:rFonts w:ascii="Times New Roman" w:eastAsia="Times New Roman" w:hAnsi="Times New Roman" w:cs="Times New Roman"/>
          <w:color w:val="000000"/>
          <w:sz w:val="24"/>
          <w:szCs w:val="24"/>
        </w:rPr>
        <w:t>, 2025).</w:t>
      </w:r>
    </w:p>
    <w:p w14:paraId="2CE1D2A6" w14:textId="77777777" w:rsidR="002627AD" w:rsidRDefault="000214B4">
      <w:pPr>
        <w:pStyle w:val="Titlu2"/>
        <w:spacing w:before="0" w:after="0" w:line="360" w:lineRule="auto"/>
        <w:jc w:val="both"/>
        <w:rPr>
          <w:rFonts w:ascii="Times New Roman" w:eastAsia="Times New Roman" w:hAnsi="Times New Roman" w:cs="Times New Roman"/>
          <w:b/>
          <w:sz w:val="24"/>
          <w:szCs w:val="24"/>
        </w:rPr>
      </w:pPr>
      <w:bookmarkStart w:id="31" w:name="_heading=h.6rrgrutkciw8" w:colFirst="0" w:colLast="0"/>
      <w:bookmarkEnd w:id="31"/>
      <w:r>
        <w:rPr>
          <w:rFonts w:ascii="Times New Roman" w:eastAsia="Times New Roman" w:hAnsi="Times New Roman" w:cs="Times New Roman"/>
          <w:b/>
          <w:sz w:val="24"/>
          <w:szCs w:val="24"/>
        </w:rPr>
        <w:t>4.8 RACI Matrix</w:t>
      </w:r>
    </w:p>
    <w:tbl>
      <w:tblPr>
        <w:tblStyle w:val="af6"/>
        <w:tblW w:w="937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2730"/>
        <w:gridCol w:w="2100"/>
        <w:gridCol w:w="1680"/>
        <w:gridCol w:w="1440"/>
        <w:gridCol w:w="1425"/>
      </w:tblGrid>
      <w:tr w:rsidR="002627AD" w14:paraId="3B557A9A" w14:textId="77777777">
        <w:trPr>
          <w:cantSplit/>
          <w:trHeight w:val="360"/>
          <w:tblHeader/>
        </w:trPr>
        <w:tc>
          <w:tcPr>
            <w:tcW w:w="273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6E5AF35B"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Task</w:t>
            </w:r>
          </w:p>
        </w:tc>
        <w:tc>
          <w:tcPr>
            <w:tcW w:w="210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3236EE15"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Responsible (R)</w:t>
            </w:r>
          </w:p>
        </w:tc>
        <w:tc>
          <w:tcPr>
            <w:tcW w:w="168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0058776C"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Accountable (A)</w:t>
            </w:r>
          </w:p>
        </w:tc>
        <w:tc>
          <w:tcPr>
            <w:tcW w:w="144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5CEA0AE7"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Consulted (C)</w:t>
            </w:r>
          </w:p>
        </w:tc>
        <w:tc>
          <w:tcPr>
            <w:tcW w:w="1425"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19B12141"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color w:val="FFFFFF"/>
                <w:sz w:val="24"/>
                <w:szCs w:val="24"/>
              </w:rPr>
              <w:t>Informed (I)</w:t>
            </w:r>
          </w:p>
        </w:tc>
      </w:tr>
      <w:tr w:rsidR="002627AD" w14:paraId="3119D24A" w14:textId="77777777">
        <w:trPr>
          <w:cantSplit/>
          <w:trHeight w:val="645"/>
          <w:tblHeader/>
        </w:trPr>
        <w:tc>
          <w:tcPr>
            <w:tcW w:w="2730" w:type="dxa"/>
            <w:tcBorders>
              <w:top w:val="single" w:sz="4" w:space="0" w:color="000000"/>
              <w:left w:val="single" w:sz="4" w:space="0" w:color="000000"/>
              <w:bottom w:val="single" w:sz="4" w:space="0" w:color="000000"/>
              <w:right w:val="single" w:sz="4" w:space="0" w:color="000000"/>
            </w:tcBorders>
            <w:shd w:val="clear" w:color="auto" w:fill="F4CCCC"/>
            <w:tcMar>
              <w:top w:w="40" w:type="dxa"/>
              <w:left w:w="120" w:type="dxa"/>
              <w:bottom w:w="40" w:type="dxa"/>
              <w:right w:w="120" w:type="dxa"/>
            </w:tcMar>
            <w:vAlign w:val="center"/>
          </w:tcPr>
          <w:p w14:paraId="594D446E"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Product Design &amp; Testing</w:t>
            </w:r>
          </w:p>
        </w:tc>
        <w:tc>
          <w:tcPr>
            <w:tcW w:w="2100" w:type="dxa"/>
            <w:tcBorders>
              <w:top w:val="single" w:sz="4" w:space="0" w:color="000000"/>
              <w:left w:val="single" w:sz="4" w:space="0" w:color="000000"/>
              <w:bottom w:val="single" w:sz="4" w:space="0" w:color="000000"/>
              <w:right w:val="single" w:sz="4" w:space="0" w:color="000000"/>
            </w:tcBorders>
            <w:shd w:val="clear" w:color="auto" w:fill="FFFF00"/>
            <w:tcMar>
              <w:top w:w="40" w:type="dxa"/>
              <w:left w:w="120" w:type="dxa"/>
              <w:bottom w:w="40" w:type="dxa"/>
              <w:right w:w="120" w:type="dxa"/>
            </w:tcMar>
            <w:vAlign w:val="center"/>
          </w:tcPr>
          <w:p w14:paraId="04470BAD"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R&amp;D Team</w:t>
            </w:r>
          </w:p>
        </w:tc>
        <w:tc>
          <w:tcPr>
            <w:tcW w:w="1680" w:type="dxa"/>
            <w:tcBorders>
              <w:top w:val="single" w:sz="4" w:space="0" w:color="000000"/>
              <w:left w:val="single" w:sz="4" w:space="0" w:color="000000"/>
              <w:bottom w:val="single" w:sz="4" w:space="0" w:color="000000"/>
              <w:right w:val="single" w:sz="4" w:space="0" w:color="000000"/>
            </w:tcBorders>
            <w:shd w:val="clear" w:color="auto" w:fill="00FFFF"/>
            <w:tcMar>
              <w:top w:w="40" w:type="dxa"/>
              <w:left w:w="120" w:type="dxa"/>
              <w:bottom w:w="40" w:type="dxa"/>
              <w:right w:w="120" w:type="dxa"/>
            </w:tcMar>
            <w:vAlign w:val="center"/>
          </w:tcPr>
          <w:p w14:paraId="3497ABEA"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Project Manager</w:t>
            </w:r>
          </w:p>
        </w:tc>
        <w:tc>
          <w:tcPr>
            <w:tcW w:w="1440" w:type="dxa"/>
            <w:tcBorders>
              <w:top w:val="single" w:sz="4" w:space="0" w:color="000000"/>
              <w:left w:val="single" w:sz="4" w:space="0" w:color="000000"/>
              <w:bottom w:val="single" w:sz="4" w:space="0" w:color="000000"/>
              <w:right w:val="single" w:sz="4" w:space="0" w:color="000000"/>
            </w:tcBorders>
            <w:shd w:val="clear" w:color="auto" w:fill="EAD1DC"/>
            <w:tcMar>
              <w:top w:w="40" w:type="dxa"/>
              <w:left w:w="120" w:type="dxa"/>
              <w:bottom w:w="40" w:type="dxa"/>
              <w:right w:w="120" w:type="dxa"/>
            </w:tcMar>
            <w:vAlign w:val="center"/>
          </w:tcPr>
          <w:p w14:paraId="39AAEF19"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Healthcare Providers</w:t>
            </w:r>
          </w:p>
        </w:tc>
        <w:tc>
          <w:tcPr>
            <w:tcW w:w="1425" w:type="dxa"/>
            <w:tcBorders>
              <w:top w:val="single" w:sz="4" w:space="0" w:color="000000"/>
              <w:left w:val="single" w:sz="4" w:space="0" w:color="000000"/>
              <w:bottom w:val="single" w:sz="4" w:space="0" w:color="000000"/>
              <w:right w:val="single" w:sz="4" w:space="0" w:color="000000"/>
            </w:tcBorders>
            <w:shd w:val="clear" w:color="auto" w:fill="D9EAD3"/>
            <w:tcMar>
              <w:top w:w="40" w:type="dxa"/>
              <w:left w:w="120" w:type="dxa"/>
              <w:bottom w:w="40" w:type="dxa"/>
              <w:right w:w="120" w:type="dxa"/>
            </w:tcMar>
            <w:vAlign w:val="center"/>
          </w:tcPr>
          <w:p w14:paraId="6DA369AC"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Executive Board</w:t>
            </w:r>
          </w:p>
        </w:tc>
      </w:tr>
      <w:tr w:rsidR="002627AD" w14:paraId="3CCF9813" w14:textId="77777777">
        <w:trPr>
          <w:cantSplit/>
          <w:trHeight w:val="360"/>
          <w:tblHeader/>
        </w:trPr>
        <w:tc>
          <w:tcPr>
            <w:tcW w:w="2730" w:type="dxa"/>
            <w:tcBorders>
              <w:top w:val="single" w:sz="4" w:space="0" w:color="000000"/>
              <w:left w:val="single" w:sz="4" w:space="0" w:color="000000"/>
              <w:bottom w:val="single" w:sz="4" w:space="0" w:color="000000"/>
              <w:right w:val="single" w:sz="4" w:space="0" w:color="000000"/>
            </w:tcBorders>
            <w:shd w:val="clear" w:color="auto" w:fill="F4CCCC"/>
            <w:tcMar>
              <w:top w:w="40" w:type="dxa"/>
              <w:left w:w="120" w:type="dxa"/>
              <w:bottom w:w="40" w:type="dxa"/>
              <w:right w:w="120" w:type="dxa"/>
            </w:tcMar>
            <w:vAlign w:val="center"/>
          </w:tcPr>
          <w:p w14:paraId="46A51C73"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Regulatory Approval</w:t>
            </w:r>
          </w:p>
        </w:tc>
        <w:tc>
          <w:tcPr>
            <w:tcW w:w="2100" w:type="dxa"/>
            <w:tcBorders>
              <w:top w:val="single" w:sz="4" w:space="0" w:color="000000"/>
              <w:left w:val="single" w:sz="4" w:space="0" w:color="000000"/>
              <w:bottom w:val="single" w:sz="4" w:space="0" w:color="000000"/>
              <w:right w:val="single" w:sz="4" w:space="0" w:color="000000"/>
            </w:tcBorders>
            <w:shd w:val="clear" w:color="auto" w:fill="00FF00"/>
            <w:tcMar>
              <w:top w:w="40" w:type="dxa"/>
              <w:left w:w="120" w:type="dxa"/>
              <w:bottom w:w="40" w:type="dxa"/>
              <w:right w:w="120" w:type="dxa"/>
            </w:tcMar>
            <w:vAlign w:val="center"/>
          </w:tcPr>
          <w:p w14:paraId="47415120"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Compliance/Legal</w:t>
            </w:r>
          </w:p>
        </w:tc>
        <w:tc>
          <w:tcPr>
            <w:tcW w:w="1680" w:type="dxa"/>
            <w:tcBorders>
              <w:top w:val="single" w:sz="4" w:space="0" w:color="000000"/>
              <w:left w:val="single" w:sz="4" w:space="0" w:color="000000"/>
              <w:bottom w:val="single" w:sz="4" w:space="0" w:color="000000"/>
              <w:right w:val="single" w:sz="4" w:space="0" w:color="000000"/>
            </w:tcBorders>
            <w:shd w:val="clear" w:color="auto" w:fill="C9DAF8"/>
            <w:tcMar>
              <w:top w:w="40" w:type="dxa"/>
              <w:left w:w="120" w:type="dxa"/>
              <w:bottom w:w="40" w:type="dxa"/>
              <w:right w:w="120" w:type="dxa"/>
            </w:tcMar>
            <w:vAlign w:val="center"/>
          </w:tcPr>
          <w:p w14:paraId="2FD2214D"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Executive Board</w:t>
            </w:r>
          </w:p>
        </w:tc>
        <w:tc>
          <w:tcPr>
            <w:tcW w:w="1440" w:type="dxa"/>
            <w:tcBorders>
              <w:top w:val="single" w:sz="4" w:space="0" w:color="000000"/>
              <w:left w:val="single" w:sz="4" w:space="0" w:color="000000"/>
              <w:bottom w:val="single" w:sz="4" w:space="0" w:color="000000"/>
              <w:right w:val="single" w:sz="4" w:space="0" w:color="000000"/>
            </w:tcBorders>
            <w:shd w:val="clear" w:color="auto" w:fill="FFF2CC"/>
            <w:tcMar>
              <w:top w:w="40" w:type="dxa"/>
              <w:left w:w="120" w:type="dxa"/>
              <w:bottom w:w="40" w:type="dxa"/>
              <w:right w:w="120" w:type="dxa"/>
            </w:tcMar>
            <w:vAlign w:val="center"/>
          </w:tcPr>
          <w:p w14:paraId="2B54574C"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Regulators</w:t>
            </w:r>
          </w:p>
        </w:tc>
        <w:tc>
          <w:tcPr>
            <w:tcW w:w="142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DA5CDA8"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Investors</w:t>
            </w:r>
          </w:p>
        </w:tc>
      </w:tr>
      <w:tr w:rsidR="002627AD" w14:paraId="60762358" w14:textId="77777777">
        <w:trPr>
          <w:cantSplit/>
          <w:trHeight w:val="360"/>
          <w:tblHeader/>
        </w:trPr>
        <w:tc>
          <w:tcPr>
            <w:tcW w:w="2730" w:type="dxa"/>
            <w:tcBorders>
              <w:top w:val="single" w:sz="4" w:space="0" w:color="000000"/>
              <w:left w:val="single" w:sz="4" w:space="0" w:color="000000"/>
              <w:bottom w:val="single" w:sz="4" w:space="0" w:color="000000"/>
              <w:right w:val="single" w:sz="4" w:space="0" w:color="000000"/>
            </w:tcBorders>
            <w:shd w:val="clear" w:color="auto" w:fill="F4CCCC"/>
            <w:tcMar>
              <w:top w:w="40" w:type="dxa"/>
              <w:left w:w="120" w:type="dxa"/>
              <w:bottom w:w="40" w:type="dxa"/>
              <w:right w:w="120" w:type="dxa"/>
            </w:tcMar>
            <w:vAlign w:val="center"/>
          </w:tcPr>
          <w:p w14:paraId="0309D5EA"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Marketing Campaign</w:t>
            </w:r>
          </w:p>
        </w:tc>
        <w:tc>
          <w:tcPr>
            <w:tcW w:w="2100" w:type="dxa"/>
            <w:tcBorders>
              <w:top w:val="single" w:sz="4" w:space="0" w:color="000000"/>
              <w:left w:val="single" w:sz="4" w:space="0" w:color="000000"/>
              <w:bottom w:val="single" w:sz="4" w:space="0" w:color="000000"/>
              <w:right w:val="single" w:sz="4" w:space="0" w:color="000000"/>
            </w:tcBorders>
            <w:shd w:val="clear" w:color="auto" w:fill="9FC5E8"/>
            <w:tcMar>
              <w:top w:w="40" w:type="dxa"/>
              <w:left w:w="120" w:type="dxa"/>
              <w:bottom w:w="40" w:type="dxa"/>
              <w:right w:w="120" w:type="dxa"/>
            </w:tcMar>
            <w:vAlign w:val="center"/>
          </w:tcPr>
          <w:p w14:paraId="2B6030A6"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Marketing Team</w:t>
            </w:r>
          </w:p>
        </w:tc>
        <w:tc>
          <w:tcPr>
            <w:tcW w:w="1680" w:type="dxa"/>
            <w:tcBorders>
              <w:top w:val="single" w:sz="4" w:space="0" w:color="000000"/>
              <w:left w:val="single" w:sz="4" w:space="0" w:color="000000"/>
              <w:bottom w:val="single" w:sz="4" w:space="0" w:color="000000"/>
              <w:right w:val="single" w:sz="4" w:space="0" w:color="000000"/>
            </w:tcBorders>
            <w:shd w:val="clear" w:color="auto" w:fill="D9D2E9"/>
            <w:tcMar>
              <w:top w:w="40" w:type="dxa"/>
              <w:left w:w="120" w:type="dxa"/>
              <w:bottom w:w="40" w:type="dxa"/>
              <w:right w:w="120" w:type="dxa"/>
            </w:tcMar>
            <w:vAlign w:val="center"/>
          </w:tcPr>
          <w:p w14:paraId="24372474"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CMO</w:t>
            </w:r>
          </w:p>
        </w:tc>
        <w:tc>
          <w:tcPr>
            <w:tcW w:w="1440" w:type="dxa"/>
            <w:tcBorders>
              <w:top w:val="single" w:sz="4" w:space="0" w:color="000000"/>
              <w:left w:val="single" w:sz="4" w:space="0" w:color="000000"/>
              <w:bottom w:val="single" w:sz="4" w:space="0" w:color="000000"/>
              <w:right w:val="single" w:sz="4" w:space="0" w:color="000000"/>
            </w:tcBorders>
            <w:shd w:val="clear" w:color="auto" w:fill="FCE5CD"/>
            <w:tcMar>
              <w:top w:w="40" w:type="dxa"/>
              <w:left w:w="120" w:type="dxa"/>
              <w:bottom w:w="40" w:type="dxa"/>
              <w:right w:w="120" w:type="dxa"/>
            </w:tcMar>
            <w:vAlign w:val="center"/>
          </w:tcPr>
          <w:p w14:paraId="727E3FF1"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Sales Team</w:t>
            </w:r>
          </w:p>
        </w:tc>
        <w:tc>
          <w:tcPr>
            <w:tcW w:w="1425" w:type="dxa"/>
            <w:tcBorders>
              <w:top w:val="single" w:sz="4" w:space="0" w:color="000000"/>
              <w:left w:val="single" w:sz="4" w:space="0" w:color="000000"/>
              <w:bottom w:val="single" w:sz="4" w:space="0" w:color="000000"/>
              <w:right w:val="single" w:sz="4" w:space="0" w:color="000000"/>
            </w:tcBorders>
            <w:shd w:val="clear" w:color="auto" w:fill="EAD1DC"/>
            <w:tcMar>
              <w:top w:w="40" w:type="dxa"/>
              <w:left w:w="120" w:type="dxa"/>
              <w:bottom w:w="40" w:type="dxa"/>
              <w:right w:w="120" w:type="dxa"/>
            </w:tcMar>
            <w:vAlign w:val="center"/>
          </w:tcPr>
          <w:p w14:paraId="7067FD87"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Customers</w:t>
            </w:r>
          </w:p>
        </w:tc>
      </w:tr>
      <w:tr w:rsidR="002627AD" w14:paraId="20F80374" w14:textId="77777777">
        <w:trPr>
          <w:cantSplit/>
          <w:trHeight w:val="360"/>
          <w:tblHeader/>
        </w:trPr>
        <w:tc>
          <w:tcPr>
            <w:tcW w:w="2730" w:type="dxa"/>
            <w:tcBorders>
              <w:top w:val="single" w:sz="4" w:space="0" w:color="000000"/>
              <w:left w:val="single" w:sz="4" w:space="0" w:color="000000"/>
              <w:bottom w:val="single" w:sz="4" w:space="0" w:color="000000"/>
              <w:right w:val="single" w:sz="4" w:space="0" w:color="000000"/>
            </w:tcBorders>
            <w:shd w:val="clear" w:color="auto" w:fill="F4CCCC"/>
            <w:tcMar>
              <w:top w:w="40" w:type="dxa"/>
              <w:left w:w="120" w:type="dxa"/>
              <w:bottom w:w="40" w:type="dxa"/>
              <w:right w:w="120" w:type="dxa"/>
            </w:tcMar>
            <w:vAlign w:val="center"/>
          </w:tcPr>
          <w:p w14:paraId="2F36D830"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Distribution &amp; Sales</w:t>
            </w:r>
          </w:p>
        </w:tc>
        <w:tc>
          <w:tcPr>
            <w:tcW w:w="2100" w:type="dxa"/>
            <w:tcBorders>
              <w:top w:val="single" w:sz="4" w:space="0" w:color="000000"/>
              <w:left w:val="single" w:sz="4" w:space="0" w:color="000000"/>
              <w:bottom w:val="single" w:sz="4" w:space="0" w:color="000000"/>
              <w:right w:val="single" w:sz="4" w:space="0" w:color="000000"/>
            </w:tcBorders>
            <w:shd w:val="clear" w:color="auto" w:fill="D9D2E9"/>
            <w:tcMar>
              <w:top w:w="40" w:type="dxa"/>
              <w:left w:w="120" w:type="dxa"/>
              <w:bottom w:w="40" w:type="dxa"/>
              <w:right w:w="120" w:type="dxa"/>
            </w:tcMar>
            <w:vAlign w:val="center"/>
          </w:tcPr>
          <w:p w14:paraId="66106E85"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Sales Team</w:t>
            </w:r>
          </w:p>
        </w:tc>
        <w:tc>
          <w:tcPr>
            <w:tcW w:w="168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F6CD04A"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COO</w:t>
            </w:r>
          </w:p>
        </w:tc>
        <w:tc>
          <w:tcPr>
            <w:tcW w:w="1440" w:type="dxa"/>
            <w:tcBorders>
              <w:top w:val="single" w:sz="4" w:space="0" w:color="000000"/>
              <w:left w:val="single" w:sz="4" w:space="0" w:color="000000"/>
              <w:bottom w:val="single" w:sz="4" w:space="0" w:color="000000"/>
              <w:right w:val="single" w:sz="4" w:space="0" w:color="000000"/>
            </w:tcBorders>
            <w:shd w:val="clear" w:color="auto" w:fill="FFF2CC"/>
            <w:tcMar>
              <w:top w:w="40" w:type="dxa"/>
              <w:left w:w="120" w:type="dxa"/>
              <w:bottom w:w="40" w:type="dxa"/>
              <w:right w:w="120" w:type="dxa"/>
            </w:tcMar>
            <w:vAlign w:val="center"/>
          </w:tcPr>
          <w:p w14:paraId="2C7F76E8"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Suppliers</w:t>
            </w:r>
          </w:p>
        </w:tc>
        <w:tc>
          <w:tcPr>
            <w:tcW w:w="142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31017BD2"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Investors</w:t>
            </w:r>
          </w:p>
        </w:tc>
      </w:tr>
      <w:tr w:rsidR="002627AD" w14:paraId="2E9E3955" w14:textId="77777777">
        <w:trPr>
          <w:cantSplit/>
          <w:trHeight w:val="645"/>
          <w:tblHeader/>
        </w:trPr>
        <w:tc>
          <w:tcPr>
            <w:tcW w:w="2730" w:type="dxa"/>
            <w:tcBorders>
              <w:top w:val="single" w:sz="4" w:space="0" w:color="000000"/>
              <w:left w:val="single" w:sz="4" w:space="0" w:color="000000"/>
              <w:bottom w:val="single" w:sz="4" w:space="0" w:color="000000"/>
              <w:right w:val="single" w:sz="4" w:space="0" w:color="000000"/>
            </w:tcBorders>
            <w:shd w:val="clear" w:color="auto" w:fill="F4CCCC"/>
            <w:tcMar>
              <w:top w:w="40" w:type="dxa"/>
              <w:left w:w="120" w:type="dxa"/>
              <w:bottom w:w="40" w:type="dxa"/>
              <w:right w:w="120" w:type="dxa"/>
            </w:tcMar>
            <w:vAlign w:val="center"/>
          </w:tcPr>
          <w:p w14:paraId="65A93CA6"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Data Security &amp; GDPR Compliance</w:t>
            </w:r>
          </w:p>
        </w:tc>
        <w:tc>
          <w:tcPr>
            <w:tcW w:w="2100" w:type="dxa"/>
            <w:tcBorders>
              <w:top w:val="single" w:sz="4" w:space="0" w:color="000000"/>
              <w:left w:val="single" w:sz="4" w:space="0" w:color="000000"/>
              <w:bottom w:val="single" w:sz="4" w:space="0" w:color="000000"/>
              <w:right w:val="single" w:sz="4" w:space="0" w:color="000000"/>
            </w:tcBorders>
            <w:shd w:val="clear" w:color="auto" w:fill="FF9900"/>
            <w:tcMar>
              <w:top w:w="40" w:type="dxa"/>
              <w:left w:w="120" w:type="dxa"/>
              <w:bottom w:w="40" w:type="dxa"/>
              <w:right w:w="120" w:type="dxa"/>
            </w:tcMar>
            <w:vAlign w:val="center"/>
          </w:tcPr>
          <w:p w14:paraId="28889F65"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IT &amp; Cybersecurity</w:t>
            </w:r>
          </w:p>
        </w:tc>
        <w:tc>
          <w:tcPr>
            <w:tcW w:w="1680" w:type="dxa"/>
            <w:tcBorders>
              <w:top w:val="single" w:sz="4" w:space="0" w:color="000000"/>
              <w:left w:val="single" w:sz="4" w:space="0" w:color="000000"/>
              <w:bottom w:val="single" w:sz="4" w:space="0" w:color="000000"/>
              <w:right w:val="single" w:sz="4" w:space="0" w:color="000000"/>
            </w:tcBorders>
            <w:shd w:val="clear" w:color="auto" w:fill="00FFFF"/>
            <w:tcMar>
              <w:top w:w="40" w:type="dxa"/>
              <w:left w:w="120" w:type="dxa"/>
              <w:bottom w:w="40" w:type="dxa"/>
              <w:right w:w="120" w:type="dxa"/>
            </w:tcMar>
            <w:vAlign w:val="center"/>
          </w:tcPr>
          <w:p w14:paraId="1C57BF88"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CIO</w:t>
            </w:r>
          </w:p>
        </w:tc>
        <w:tc>
          <w:tcPr>
            <w:tcW w:w="1440" w:type="dxa"/>
            <w:tcBorders>
              <w:top w:val="single" w:sz="4" w:space="0" w:color="000000"/>
              <w:left w:val="single" w:sz="4" w:space="0" w:color="000000"/>
              <w:bottom w:val="single" w:sz="4" w:space="0" w:color="000000"/>
              <w:right w:val="single" w:sz="4" w:space="0" w:color="000000"/>
            </w:tcBorders>
            <w:shd w:val="clear" w:color="auto" w:fill="C9DAF8"/>
            <w:tcMar>
              <w:top w:w="40" w:type="dxa"/>
              <w:left w:w="120" w:type="dxa"/>
              <w:bottom w:w="40" w:type="dxa"/>
              <w:right w:w="120" w:type="dxa"/>
            </w:tcMar>
            <w:vAlign w:val="center"/>
          </w:tcPr>
          <w:p w14:paraId="6D5B9613"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Regulators</w:t>
            </w:r>
          </w:p>
        </w:tc>
        <w:tc>
          <w:tcPr>
            <w:tcW w:w="1425" w:type="dxa"/>
            <w:tcBorders>
              <w:top w:val="single" w:sz="4" w:space="0" w:color="000000"/>
              <w:left w:val="single" w:sz="4" w:space="0" w:color="000000"/>
              <w:bottom w:val="single" w:sz="4" w:space="0" w:color="000000"/>
              <w:right w:val="single" w:sz="4" w:space="0" w:color="000000"/>
            </w:tcBorders>
            <w:shd w:val="clear" w:color="auto" w:fill="EAD1DC"/>
            <w:tcMar>
              <w:top w:w="40" w:type="dxa"/>
              <w:left w:w="120" w:type="dxa"/>
              <w:bottom w:w="40" w:type="dxa"/>
              <w:right w:w="120" w:type="dxa"/>
            </w:tcMar>
            <w:vAlign w:val="center"/>
          </w:tcPr>
          <w:p w14:paraId="6D9956A7" w14:textId="77777777" w:rsidR="002627AD" w:rsidRDefault="000214B4">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Customers</w:t>
            </w:r>
          </w:p>
        </w:tc>
      </w:tr>
    </w:tbl>
    <w:p w14:paraId="070A44AE"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32" w:name="_heading=h.4bi0485wgqzz" w:colFirst="0" w:colLast="0"/>
      <w:bookmarkEnd w:id="32"/>
      <w:r>
        <w:rPr>
          <w:rFonts w:ascii="Times New Roman" w:eastAsia="Times New Roman" w:hAnsi="Times New Roman" w:cs="Times New Roman"/>
          <w:b/>
          <w:color w:val="000000"/>
          <w:sz w:val="24"/>
          <w:szCs w:val="24"/>
        </w:rPr>
        <w:t>Table 8:  RACI Matrix</w:t>
      </w:r>
    </w:p>
    <w:p w14:paraId="2FF96FAC"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Self-Generated)</w:t>
      </w:r>
    </w:p>
    <w:p w14:paraId="0F3DF6A0"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33" w:name="_heading=h.pawvhjmqy9yi" w:colFirst="0" w:colLast="0"/>
      <w:bookmarkEnd w:id="33"/>
      <w:r>
        <w:br w:type="page"/>
      </w:r>
    </w:p>
    <w:p w14:paraId="572B0322"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34" w:name="_heading=h.stw78kuvm6q5" w:colFirst="0" w:colLast="0"/>
      <w:bookmarkEnd w:id="34"/>
      <w:r>
        <w:rPr>
          <w:rFonts w:ascii="Times New Roman" w:eastAsia="Times New Roman" w:hAnsi="Times New Roman" w:cs="Times New Roman"/>
          <w:b/>
          <w:sz w:val="28"/>
          <w:szCs w:val="28"/>
        </w:rPr>
        <w:t>5.0 Stakeholder Engagement Process &amp; Conflict Management</w:t>
      </w:r>
    </w:p>
    <w:p w14:paraId="2824133C"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 xml:space="preserve">As project manager, the wearable device development at Vodafone needs to involve the stakeholders within the scope of agreed expectations, effective communication, and adherence to regulatory rules via the 4Cs model, namely communication, coordination, cooperation, and collaboration, to manage all stakeholders holistically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Thakare</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Verma</w:t>
      </w:r>
      <w:proofErr w:type="spellEnd"/>
      <w:r>
        <w:rPr>
          <w:rFonts w:ascii="Times New Roman" w:eastAsia="Times New Roman" w:hAnsi="Times New Roman" w:cs="Times New Roman"/>
          <w:color w:val="000000"/>
          <w:sz w:val="24"/>
          <w:szCs w:val="24"/>
        </w:rPr>
        <w:t>, 2025).</w:t>
      </w:r>
    </w:p>
    <w:p w14:paraId="0B029D26"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35" w:name="_heading=h.rb8b553vnfra" w:colFirst="0" w:colLast="0"/>
      <w:bookmarkEnd w:id="35"/>
      <w:r>
        <w:rPr>
          <w:rFonts w:ascii="Times New Roman" w:eastAsia="Times New Roman" w:hAnsi="Times New Roman" w:cs="Times New Roman"/>
          <w:b/>
          <w:sz w:val="26"/>
          <w:szCs w:val="26"/>
        </w:rPr>
        <w:t>5.1 Establishing Communication Protocols</w:t>
      </w:r>
    </w:p>
    <w:p w14:paraId="7E535EB1"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Effective stakeholder engagement involves effective communication.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 xml:space="preserve">The trust will be created by detailed updates to the executives and regulators, interactive channels with customers, and constant feedback through digital platforms, informed decision-making, and </w:t>
      </w:r>
      <w:proofErr w:type="spellStart"/>
      <w:r>
        <w:rPr>
          <w:rFonts w:ascii="Times New Roman" w:eastAsia="Times New Roman" w:hAnsi="Times New Roman" w:cs="Times New Roman"/>
          <w:color w:val="111111"/>
          <w:sz w:val="24"/>
          <w:szCs w:val="24"/>
        </w:rPr>
        <w:t>minimised</w:t>
      </w:r>
      <w:proofErr w:type="spellEnd"/>
      <w:r>
        <w:rPr>
          <w:rFonts w:ascii="Times New Roman" w:eastAsia="Times New Roman" w:hAnsi="Times New Roman" w:cs="Times New Roman"/>
          <w:color w:val="111111"/>
          <w:sz w:val="24"/>
          <w:szCs w:val="24"/>
        </w:rPr>
        <w:t xml:space="preserve"> uncertainty, conflict avoidance, and allowed the implementation of the project smoothly and subsequent customer satisfaction in the long term </w:t>
      </w:r>
      <w:r>
        <w:rPr>
          <w:rFonts w:ascii="Times New Roman" w:eastAsia="Times New Roman" w:hAnsi="Times New Roman" w:cs="Times New Roman"/>
          <w:color w:val="000000"/>
          <w:sz w:val="24"/>
          <w:szCs w:val="24"/>
        </w:rPr>
        <w:t>(Ashcroft, 2017).</w:t>
      </w:r>
    </w:p>
    <w:p w14:paraId="5F64ACBA"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36" w:name="_heading=h.34anbt3ko726" w:colFirst="0" w:colLast="0"/>
      <w:bookmarkEnd w:id="36"/>
      <w:r>
        <w:rPr>
          <w:rFonts w:ascii="Times New Roman" w:eastAsia="Times New Roman" w:hAnsi="Times New Roman" w:cs="Times New Roman"/>
          <w:b/>
          <w:sz w:val="26"/>
          <w:szCs w:val="26"/>
        </w:rPr>
        <w:t>5.2 Aligning Expectations</w:t>
      </w:r>
    </w:p>
    <w:p w14:paraId="34434226"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 xml:space="preserve">The interests of the stakeholders are not always compatible: the investors need profits, the regulators need to be satisfied, and the customers need to have devices which are cheap and convenient to use. As a project manager, it is important to match these expectations and project goals </w:t>
      </w:r>
      <w:r>
        <w:rPr>
          <w:rFonts w:ascii="Times New Roman" w:eastAsia="Times New Roman" w:hAnsi="Times New Roman" w:cs="Times New Roman"/>
          <w:color w:val="000000"/>
          <w:sz w:val="24"/>
          <w:szCs w:val="24"/>
        </w:rPr>
        <w:t>(Christopher, Payne and Ballantyne, 2013)</w:t>
      </w:r>
      <w:r>
        <w:rPr>
          <w:rFonts w:ascii="Times New Roman" w:eastAsia="Times New Roman" w:hAnsi="Times New Roman" w:cs="Times New Roman"/>
          <w:color w:val="111111"/>
          <w:sz w:val="24"/>
          <w:szCs w:val="24"/>
        </w:rPr>
        <w:t xml:space="preserve">. The priority of influential stakeholders such as regulators and the Executive Board is achieved with the help of expectation-setting workshops and the </w:t>
      </w:r>
      <w:proofErr w:type="spellStart"/>
      <w:r>
        <w:rPr>
          <w:rFonts w:ascii="Times New Roman" w:eastAsia="Times New Roman" w:hAnsi="Times New Roman" w:cs="Times New Roman"/>
          <w:color w:val="111111"/>
          <w:sz w:val="24"/>
          <w:szCs w:val="24"/>
        </w:rPr>
        <w:t>Mendelow</w:t>
      </w:r>
      <w:proofErr w:type="spellEnd"/>
      <w:r>
        <w:rPr>
          <w:rFonts w:ascii="Times New Roman" w:eastAsia="Times New Roman" w:hAnsi="Times New Roman" w:cs="Times New Roman"/>
          <w:color w:val="111111"/>
          <w:sz w:val="24"/>
          <w:szCs w:val="24"/>
        </w:rPr>
        <w:t xml:space="preserve"> Matrix. The implementation of the Stakeholder Theory developed by Freeman is a guarantee of creating value among shareholders, customers, and healthcare providers, which will result in trust and promotion in the long run (</w:t>
      </w:r>
      <w:proofErr w:type="spellStart"/>
      <w:r>
        <w:rPr>
          <w:rFonts w:ascii="Times New Roman" w:eastAsia="Times New Roman" w:hAnsi="Times New Roman" w:cs="Times New Roman"/>
          <w:color w:val="111111"/>
          <w:sz w:val="24"/>
          <w:szCs w:val="24"/>
        </w:rPr>
        <w:t>sciencedirect</w:t>
      </w:r>
      <w:proofErr w:type="spellEnd"/>
      <w:r>
        <w:rPr>
          <w:rFonts w:ascii="Times New Roman" w:eastAsia="Times New Roman" w:hAnsi="Times New Roman" w:cs="Times New Roman"/>
          <w:color w:val="111111"/>
          <w:sz w:val="24"/>
          <w:szCs w:val="24"/>
        </w:rPr>
        <w:t xml:space="preserve">, 2024). Late alignment </w:t>
      </w:r>
      <w:proofErr w:type="spellStart"/>
      <w:r>
        <w:rPr>
          <w:rFonts w:ascii="Times New Roman" w:eastAsia="Times New Roman" w:hAnsi="Times New Roman" w:cs="Times New Roman"/>
          <w:color w:val="111111"/>
          <w:sz w:val="24"/>
          <w:szCs w:val="24"/>
        </w:rPr>
        <w:t>minimises</w:t>
      </w:r>
      <w:proofErr w:type="spellEnd"/>
      <w:r>
        <w:rPr>
          <w:rFonts w:ascii="Times New Roman" w:eastAsia="Times New Roman" w:hAnsi="Times New Roman" w:cs="Times New Roman"/>
          <w:color w:val="111111"/>
          <w:sz w:val="24"/>
          <w:szCs w:val="24"/>
        </w:rPr>
        <w:t xml:space="preserve"> conflicts, speeds and accuracy of produc</w:t>
      </w:r>
      <w:r>
        <w:rPr>
          <w:rFonts w:ascii="Times New Roman" w:eastAsia="Times New Roman" w:hAnsi="Times New Roman" w:cs="Times New Roman"/>
          <w:color w:val="111111"/>
          <w:sz w:val="24"/>
          <w:szCs w:val="24"/>
        </w:rPr>
        <w:t xml:space="preserve">t development, and the effective implementation of a project and stakeholder satisfaction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Charalambous</w:t>
      </w:r>
      <w:proofErr w:type="spellEnd"/>
      <w:r>
        <w:rPr>
          <w:rFonts w:ascii="Times New Roman" w:eastAsia="Times New Roman" w:hAnsi="Times New Roman" w:cs="Times New Roman"/>
          <w:color w:val="000000"/>
          <w:sz w:val="24"/>
          <w:szCs w:val="24"/>
        </w:rPr>
        <w:t>, 2021)</w:t>
      </w:r>
      <w:r>
        <w:rPr>
          <w:rFonts w:ascii="Times New Roman" w:eastAsia="Times New Roman" w:hAnsi="Times New Roman" w:cs="Times New Roman"/>
          <w:color w:val="111111"/>
          <w:sz w:val="24"/>
          <w:szCs w:val="24"/>
        </w:rPr>
        <w:t>.</w:t>
      </w:r>
    </w:p>
    <w:p w14:paraId="134D78D6"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37" w:name="_heading=h.jm9pv6swico" w:colFirst="0" w:colLast="0"/>
      <w:bookmarkEnd w:id="37"/>
      <w:r>
        <w:rPr>
          <w:rFonts w:ascii="Times New Roman" w:eastAsia="Times New Roman" w:hAnsi="Times New Roman" w:cs="Times New Roman"/>
          <w:b/>
          <w:sz w:val="26"/>
          <w:szCs w:val="26"/>
        </w:rPr>
        <w:t>5.3 Ensuring Regulatory Compliance</w:t>
      </w:r>
    </w:p>
    <w:p w14:paraId="1E2152BB"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Regulatory approval is necessary to launch the project, and, therefore, the compliance will be the core of the stakeholder engagement.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Vodafone will make contacts with MHRA and EU agencies and compliance teams with R&amp;D will ensure compliance with medical device standards.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 xml:space="preserve">Consultation with regulators on a regular basis predicts the possible problems, and GDPR is enforced by IT and cybersecurity departments to safeguard sensitive health information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Kadu</w:t>
      </w:r>
      <w:proofErr w:type="spellEnd"/>
      <w:r>
        <w:rPr>
          <w:rFonts w:ascii="Times New Roman" w:eastAsia="Times New Roman" w:hAnsi="Times New Roman" w:cs="Times New Roman"/>
          <w:color w:val="000000"/>
          <w:sz w:val="24"/>
          <w:szCs w:val="24"/>
        </w:rPr>
        <w:t xml:space="preserve"> and Singh, 2021)</w:t>
      </w:r>
      <w:r>
        <w:rPr>
          <w:rFonts w:ascii="Times New Roman" w:eastAsia="Times New Roman" w:hAnsi="Times New Roman" w:cs="Times New Roman"/>
          <w:color w:val="111111"/>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 xml:space="preserve">The inclusion of regulatory compliance with stakeholder engagement helps to </w:t>
      </w:r>
      <w:proofErr w:type="spellStart"/>
      <w:r>
        <w:rPr>
          <w:rFonts w:ascii="Times New Roman" w:eastAsia="Times New Roman" w:hAnsi="Times New Roman" w:cs="Times New Roman"/>
          <w:color w:val="111111"/>
          <w:sz w:val="24"/>
          <w:szCs w:val="24"/>
        </w:rPr>
        <w:t>minimise</w:t>
      </w:r>
      <w:proofErr w:type="spellEnd"/>
      <w:r>
        <w:rPr>
          <w:rFonts w:ascii="Times New Roman" w:eastAsia="Times New Roman" w:hAnsi="Times New Roman" w:cs="Times New Roman"/>
          <w:color w:val="111111"/>
          <w:sz w:val="24"/>
          <w:szCs w:val="24"/>
        </w:rPr>
        <w:t xml:space="preserve"> the costs of time wastage, and increase the reputation of Vodafone as a responsible a</w:t>
      </w:r>
      <w:r>
        <w:rPr>
          <w:rFonts w:ascii="Times New Roman" w:eastAsia="Times New Roman" w:hAnsi="Times New Roman" w:cs="Times New Roman"/>
          <w:color w:val="111111"/>
          <w:sz w:val="24"/>
          <w:szCs w:val="24"/>
        </w:rPr>
        <w:t xml:space="preserve">nd trustworthy health technology provider, which makes the project run smoothly, and builds customer trust, regulatory bodies, and investors confidence </w:t>
      </w:r>
      <w:r>
        <w:rPr>
          <w:rFonts w:ascii="Times New Roman" w:eastAsia="Times New Roman" w:hAnsi="Times New Roman" w:cs="Times New Roman"/>
          <w:color w:val="000000"/>
          <w:sz w:val="24"/>
          <w:szCs w:val="24"/>
        </w:rPr>
        <w:t xml:space="preserve">(Devi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2023)</w:t>
      </w:r>
      <w:r>
        <w:rPr>
          <w:rFonts w:ascii="Times New Roman" w:eastAsia="Times New Roman" w:hAnsi="Times New Roman" w:cs="Times New Roman"/>
          <w:color w:val="111111"/>
          <w:sz w:val="24"/>
          <w:szCs w:val="24"/>
        </w:rPr>
        <w:t>.</w:t>
      </w:r>
    </w:p>
    <w:p w14:paraId="7F6F911E"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657A9906" wp14:editId="2B4D6461">
            <wp:extent cx="5731200" cy="269240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692400"/>
                    </a:xfrm>
                    <a:prstGeom prst="rect">
                      <a:avLst/>
                    </a:prstGeom>
                    <a:ln/>
                  </pic:spPr>
                </pic:pic>
              </a:graphicData>
            </a:graphic>
          </wp:inline>
        </w:drawing>
      </w:r>
    </w:p>
    <w:p w14:paraId="761F2D26"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38" w:name="_heading=h.ne97n2hotu0j" w:colFirst="0" w:colLast="0"/>
      <w:bookmarkEnd w:id="38"/>
      <w:r>
        <w:rPr>
          <w:rFonts w:ascii="Times New Roman" w:eastAsia="Times New Roman" w:hAnsi="Times New Roman" w:cs="Times New Roman"/>
          <w:b/>
          <w:color w:val="000000"/>
          <w:sz w:val="24"/>
          <w:szCs w:val="24"/>
        </w:rPr>
        <w:t>Fig 2: 4C Framework</w:t>
      </w:r>
    </w:p>
    <w:p w14:paraId="2513F162"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proofErr w:type="spellStart"/>
      <w:r>
        <w:rPr>
          <w:rFonts w:ascii="Times New Roman" w:eastAsia="Times New Roman" w:hAnsi="Times New Roman" w:cs="Times New Roman"/>
          <w:color w:val="000000"/>
          <w:sz w:val="24"/>
          <w:szCs w:val="24"/>
        </w:rPr>
        <w:t>PrepLounge</w:t>
      </w:r>
      <w:proofErr w:type="spellEnd"/>
      <w:r>
        <w:rPr>
          <w:rFonts w:ascii="Times New Roman" w:eastAsia="Times New Roman" w:hAnsi="Times New Roman" w:cs="Times New Roman"/>
          <w:color w:val="000000"/>
          <w:sz w:val="24"/>
          <w:szCs w:val="24"/>
        </w:rPr>
        <w:t>, 2025)</w:t>
      </w:r>
    </w:p>
    <w:p w14:paraId="092009B5" w14:textId="77777777" w:rsidR="002627AD" w:rsidRDefault="000214B4">
      <w:pPr>
        <w:pStyle w:val="Titlu2"/>
        <w:spacing w:before="0" w:after="0" w:line="360" w:lineRule="auto"/>
        <w:rPr>
          <w:rFonts w:ascii="Times New Roman" w:eastAsia="Times New Roman" w:hAnsi="Times New Roman" w:cs="Times New Roman"/>
          <w:b/>
          <w:sz w:val="26"/>
          <w:szCs w:val="26"/>
        </w:rPr>
      </w:pPr>
      <w:bookmarkStart w:id="39" w:name="_heading=h.ie1suyz6orbe" w:colFirst="0" w:colLast="0"/>
      <w:bookmarkEnd w:id="39"/>
      <w:r>
        <w:rPr>
          <w:rFonts w:ascii="Times New Roman" w:eastAsia="Times New Roman" w:hAnsi="Times New Roman" w:cs="Times New Roman"/>
          <w:b/>
          <w:sz w:val="26"/>
          <w:szCs w:val="26"/>
        </w:rPr>
        <w:t>5.4 Applying 4’C Model</w:t>
      </w:r>
    </w:p>
    <w:p w14:paraId="2D2114B6"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114300" distB="114300" distL="114300" distR="114300" wp14:anchorId="5310B7FA" wp14:editId="436ECA63">
            <wp:extent cx="4152380" cy="2337895"/>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152380" cy="2337895"/>
                    </a:xfrm>
                    <a:prstGeom prst="rect">
                      <a:avLst/>
                    </a:prstGeom>
                    <a:ln/>
                  </pic:spPr>
                </pic:pic>
              </a:graphicData>
            </a:graphic>
          </wp:inline>
        </w:drawing>
      </w:r>
    </w:p>
    <w:p w14:paraId="6924472E"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40" w:name="_heading=h.yq2dtxfq2m7j" w:colFirst="0" w:colLast="0"/>
      <w:bookmarkEnd w:id="40"/>
      <w:r>
        <w:rPr>
          <w:rFonts w:ascii="Times New Roman" w:eastAsia="Times New Roman" w:hAnsi="Times New Roman" w:cs="Times New Roman"/>
          <w:b/>
          <w:color w:val="000000"/>
          <w:sz w:val="24"/>
          <w:szCs w:val="24"/>
        </w:rPr>
        <w:t>Fig 2: Communication</w:t>
      </w:r>
    </w:p>
    <w:p w14:paraId="2FCBB157"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proofErr w:type="spellStart"/>
      <w:r>
        <w:rPr>
          <w:rFonts w:ascii="Times New Roman" w:eastAsia="Times New Roman" w:hAnsi="Times New Roman" w:cs="Times New Roman"/>
          <w:color w:val="000000"/>
          <w:sz w:val="24"/>
          <w:szCs w:val="24"/>
        </w:rPr>
        <w:t>collidu</w:t>
      </w:r>
      <w:proofErr w:type="spellEnd"/>
      <w:r>
        <w:rPr>
          <w:rFonts w:ascii="Times New Roman" w:eastAsia="Times New Roman" w:hAnsi="Times New Roman" w:cs="Times New Roman"/>
          <w:color w:val="000000"/>
          <w:sz w:val="24"/>
          <w:szCs w:val="24"/>
        </w:rPr>
        <w:t>, 2025)</w:t>
      </w:r>
    </w:p>
    <w:p w14:paraId="345F1339" w14:textId="77777777" w:rsidR="002627AD" w:rsidRDefault="000214B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Communication </w:t>
      </w:r>
    </w:p>
    <w:p w14:paraId="3E714986"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Engagement is built on effective communication which entails sharing information in a timely, transparent and </w:t>
      </w:r>
      <w:proofErr w:type="spellStart"/>
      <w:r>
        <w:rPr>
          <w:rFonts w:ascii="Times New Roman" w:eastAsia="Times New Roman" w:hAnsi="Times New Roman" w:cs="Times New Roman"/>
          <w:color w:val="000000"/>
          <w:sz w:val="24"/>
          <w:szCs w:val="24"/>
        </w:rPr>
        <w:t>customi</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ed</w:t>
      </w:r>
      <w:proofErr w:type="spellEnd"/>
      <w:r>
        <w:rPr>
          <w:rFonts w:ascii="Times New Roman" w:eastAsia="Times New Roman" w:hAnsi="Times New Roman" w:cs="Times New Roman"/>
          <w:color w:val="000000"/>
          <w:sz w:val="24"/>
          <w:szCs w:val="24"/>
        </w:rPr>
        <w:t xml:space="preserve"> manner (</w:t>
      </w:r>
      <w:proofErr w:type="spellStart"/>
      <w:r>
        <w:rPr>
          <w:rFonts w:ascii="Times New Roman" w:eastAsia="Times New Roman" w:hAnsi="Times New Roman" w:cs="Times New Roman"/>
          <w:color w:val="000000"/>
          <w:sz w:val="24"/>
          <w:szCs w:val="24"/>
        </w:rPr>
        <w:t>Zobaed</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 The project manager at Vodafone will use formal reports, feedback tools, and online technology such as MS Teams to have real-time interactions. Clear documentation ensures that there is no misinterpretation, creates trust, and </w:t>
      </w:r>
      <w:proofErr w:type="spellStart"/>
      <w:r>
        <w:rPr>
          <w:rFonts w:ascii="Times New Roman" w:eastAsia="Times New Roman" w:hAnsi="Times New Roman" w:cs="Times New Roman"/>
          <w:color w:val="000000"/>
          <w:sz w:val="24"/>
          <w:szCs w:val="24"/>
        </w:rPr>
        <w:t>customises</w:t>
      </w:r>
      <w:proofErr w:type="spellEnd"/>
      <w:r>
        <w:rPr>
          <w:rFonts w:ascii="Times New Roman" w:eastAsia="Times New Roman" w:hAnsi="Times New Roman" w:cs="Times New Roman"/>
          <w:color w:val="000000"/>
          <w:sz w:val="24"/>
          <w:szCs w:val="24"/>
        </w:rPr>
        <w:t xml:space="preserve"> information to various stakeholders: technical, financial, and regulatory, as well as reduces the conflict levels and creates alignment (</w:t>
      </w:r>
      <w:proofErr w:type="spellStart"/>
      <w:r>
        <w:rPr>
          <w:rFonts w:ascii="Times New Roman" w:eastAsia="Times New Roman" w:hAnsi="Times New Roman" w:cs="Times New Roman"/>
          <w:color w:val="000000"/>
          <w:sz w:val="24"/>
          <w:szCs w:val="24"/>
        </w:rPr>
        <w:t>Elei</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2023).</w:t>
      </w:r>
    </w:p>
    <w:p w14:paraId="1B1E6F07"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0C570645" wp14:editId="0198316E">
            <wp:extent cx="2009775" cy="2276475"/>
            <wp:effectExtent l="0" t="0" r="0" b="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2009775" cy="2276475"/>
                    </a:xfrm>
                    <a:prstGeom prst="rect">
                      <a:avLst/>
                    </a:prstGeom>
                    <a:ln/>
                  </pic:spPr>
                </pic:pic>
              </a:graphicData>
            </a:graphic>
          </wp:inline>
        </w:drawing>
      </w:r>
    </w:p>
    <w:p w14:paraId="79960EBF" w14:textId="77777777" w:rsidR="002627AD" w:rsidRDefault="000214B4">
      <w:pPr>
        <w:pStyle w:val="Titlu3"/>
        <w:spacing w:before="0" w:after="0" w:line="360" w:lineRule="auto"/>
        <w:jc w:val="center"/>
        <w:rPr>
          <w:rFonts w:ascii="Times New Roman" w:eastAsia="Times New Roman" w:hAnsi="Times New Roman" w:cs="Times New Roman"/>
          <w:b/>
          <w:color w:val="000000"/>
          <w:sz w:val="24"/>
          <w:szCs w:val="24"/>
        </w:rPr>
      </w:pPr>
      <w:bookmarkStart w:id="41" w:name="_heading=h.y7liz7128hpt" w:colFirst="0" w:colLast="0"/>
      <w:bookmarkEnd w:id="41"/>
      <w:r>
        <w:rPr>
          <w:rFonts w:ascii="Times New Roman" w:eastAsia="Times New Roman" w:hAnsi="Times New Roman" w:cs="Times New Roman"/>
          <w:b/>
          <w:color w:val="000000"/>
          <w:sz w:val="24"/>
          <w:szCs w:val="24"/>
        </w:rPr>
        <w:t>Fig 3: Coordination</w:t>
      </w:r>
    </w:p>
    <w:p w14:paraId="0CC09FDD"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proofErr w:type="spellStart"/>
      <w:r>
        <w:rPr>
          <w:rFonts w:ascii="Times New Roman" w:eastAsia="Times New Roman" w:hAnsi="Times New Roman" w:cs="Times New Roman"/>
          <w:color w:val="000000"/>
          <w:sz w:val="24"/>
          <w:szCs w:val="24"/>
        </w:rPr>
        <w:t>geeksforgeeks</w:t>
      </w:r>
      <w:proofErr w:type="spellEnd"/>
      <w:r>
        <w:rPr>
          <w:rFonts w:ascii="Times New Roman" w:eastAsia="Times New Roman" w:hAnsi="Times New Roman" w:cs="Times New Roman"/>
          <w:color w:val="000000"/>
          <w:sz w:val="24"/>
          <w:szCs w:val="24"/>
        </w:rPr>
        <w:t>, 2025)</w:t>
      </w:r>
    </w:p>
    <w:p w14:paraId="54C1991B" w14:textId="77777777" w:rsidR="002627AD" w:rsidRDefault="000214B4">
      <w:pPr>
        <w:numPr>
          <w:ilvl w:val="0"/>
          <w:numId w:val="3"/>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Coordination </w:t>
      </w:r>
    </w:p>
    <w:p w14:paraId="221B8703"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Coordination ensures that different teams and partners work towards shared objectives. As project manager, I will establish integrated project schedules using digital tools such as Gantt charts to </w:t>
      </w:r>
      <w:proofErr w:type="spellStart"/>
      <w:r>
        <w:rPr>
          <w:rFonts w:ascii="Times New Roman" w:eastAsia="Times New Roman" w:hAnsi="Times New Roman" w:cs="Times New Roman"/>
          <w:color w:val="111111"/>
          <w:sz w:val="24"/>
          <w:szCs w:val="24"/>
        </w:rPr>
        <w:t>synchronise</w:t>
      </w:r>
      <w:proofErr w:type="spellEnd"/>
      <w:r>
        <w:rPr>
          <w:rFonts w:ascii="Times New Roman" w:eastAsia="Times New Roman" w:hAnsi="Times New Roman" w:cs="Times New Roman"/>
          <w:color w:val="111111"/>
          <w:sz w:val="24"/>
          <w:szCs w:val="24"/>
        </w:rPr>
        <w:t xml:space="preserve"> activities across R&amp;D, supply chain, and marketing (</w:t>
      </w:r>
      <w:proofErr w:type="spellStart"/>
      <w:r>
        <w:rPr>
          <w:rFonts w:ascii="Times New Roman" w:eastAsia="Times New Roman" w:hAnsi="Times New Roman" w:cs="Times New Roman"/>
          <w:color w:val="111111"/>
          <w:sz w:val="24"/>
          <w:szCs w:val="24"/>
        </w:rPr>
        <w:t>Umair</w:t>
      </w:r>
      <w:proofErr w:type="spellEnd"/>
      <w:r>
        <w:rPr>
          <w:rFonts w:ascii="Times New Roman" w:eastAsia="Times New Roman" w:hAnsi="Times New Roman" w:cs="Times New Roman"/>
          <w:color w:val="111111"/>
          <w:sz w:val="24"/>
          <w:szCs w:val="24"/>
        </w:rPr>
        <w:t xml:space="preserve"> et al., 2021). Hardware delivery will conform to the production deadline within the company, and marketing initiatives will be introduced simultaneously (</w:t>
      </w:r>
      <w:proofErr w:type="spellStart"/>
      <w:r>
        <w:rPr>
          <w:rFonts w:ascii="Times New Roman" w:eastAsia="Times New Roman" w:hAnsi="Times New Roman" w:cs="Times New Roman"/>
          <w:color w:val="111111"/>
          <w:sz w:val="24"/>
          <w:szCs w:val="24"/>
        </w:rPr>
        <w:t>Suhail</w:t>
      </w:r>
      <w:proofErr w:type="spellEnd"/>
      <w:r>
        <w:rPr>
          <w:rFonts w:ascii="Times New Roman" w:eastAsia="Times New Roman" w:hAnsi="Times New Roman" w:cs="Times New Roman"/>
          <w:color w:val="111111"/>
          <w:sz w:val="24"/>
          <w:szCs w:val="24"/>
        </w:rPr>
        <w:t xml:space="preserve"> and Pillai, 2022).</w:t>
      </w:r>
    </w:p>
    <w:p w14:paraId="15174EA4"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color w:val="111111"/>
          <w:sz w:val="24"/>
          <w:szCs w:val="24"/>
        </w:rPr>
      </w:pPr>
      <w:r>
        <w:rPr>
          <w:rFonts w:ascii="Times New Roman" w:eastAsia="Times New Roman" w:hAnsi="Times New Roman" w:cs="Times New Roman"/>
          <w:noProof/>
          <w:color w:val="111111"/>
          <w:sz w:val="24"/>
          <w:szCs w:val="24"/>
        </w:rPr>
        <w:drawing>
          <wp:inline distT="114300" distB="114300" distL="114300" distR="114300" wp14:anchorId="46ACEA74" wp14:editId="72AB4565">
            <wp:extent cx="2143125" cy="2143125"/>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143125" cy="2143125"/>
                    </a:xfrm>
                    <a:prstGeom prst="rect">
                      <a:avLst/>
                    </a:prstGeom>
                    <a:ln/>
                  </pic:spPr>
                </pic:pic>
              </a:graphicData>
            </a:graphic>
          </wp:inline>
        </w:drawing>
      </w:r>
    </w:p>
    <w:p w14:paraId="3A30A72B" w14:textId="77777777" w:rsidR="002627AD" w:rsidRDefault="000214B4">
      <w:pPr>
        <w:numPr>
          <w:ilvl w:val="0"/>
          <w:numId w:val="8"/>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Cooperation </w:t>
      </w:r>
    </w:p>
    <w:p w14:paraId="778A024C"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mutual trust reflects a good, effective association between the parties of interest. To those levels or individuals who possess an interest in a firm and can influence and be influenced by activities, objectives and policies of that firm. Although there will be a partnership of selling or supplying services like this as commodities or equipment to the partners, and advertisement of the long-range partnership (</w:t>
      </w:r>
      <w:proofErr w:type="spellStart"/>
      <w:r>
        <w:rPr>
          <w:rFonts w:ascii="Times New Roman" w:eastAsia="Times New Roman" w:hAnsi="Times New Roman" w:cs="Times New Roman"/>
          <w:color w:val="000000"/>
          <w:sz w:val="24"/>
          <w:szCs w:val="24"/>
        </w:rPr>
        <w:t>Bargarai</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Keti</w:t>
      </w:r>
      <w:proofErr w:type="spellEnd"/>
      <w:r>
        <w:rPr>
          <w:rFonts w:ascii="Times New Roman" w:eastAsia="Times New Roman" w:hAnsi="Times New Roman" w:cs="Times New Roman"/>
          <w:color w:val="000000"/>
          <w:sz w:val="24"/>
          <w:szCs w:val="24"/>
        </w:rPr>
        <w:t>, 2025).</w:t>
      </w:r>
    </w:p>
    <w:p w14:paraId="04870A1C" w14:textId="77777777" w:rsidR="002627AD" w:rsidRDefault="000214B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2F923684" wp14:editId="17424557">
            <wp:extent cx="3925725" cy="2857500"/>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3925725" cy="2857500"/>
                    </a:xfrm>
                    <a:prstGeom prst="rect">
                      <a:avLst/>
                    </a:prstGeom>
                    <a:ln/>
                  </pic:spPr>
                </pic:pic>
              </a:graphicData>
            </a:graphic>
          </wp:inline>
        </w:drawing>
      </w:r>
    </w:p>
    <w:p w14:paraId="4B9B883F" w14:textId="77777777" w:rsidR="002627AD" w:rsidRDefault="000214B4">
      <w:pPr>
        <w:numPr>
          <w:ilvl w:val="0"/>
          <w:numId w:val="5"/>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Collaboration </w:t>
      </w:r>
    </w:p>
    <w:p w14:paraId="28C6BBF2"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To resolve the communication to the stakeholders to consume the performance and safety of the Vodafone suppliers and additionally inspire the team members and, board of directors to enhance the approaches to face the market competitors ethically. Many other stakeholders, such as customers, employees, suppliers and government regulators, creditors and investors also involved in the team to deliberate funds and </w:t>
      </w:r>
      <w:proofErr w:type="spellStart"/>
      <w:r>
        <w:rPr>
          <w:rFonts w:ascii="Times New Roman" w:eastAsia="Times New Roman" w:hAnsi="Times New Roman" w:cs="Times New Roman"/>
          <w:color w:val="000000"/>
          <w:sz w:val="24"/>
          <w:szCs w:val="24"/>
        </w:rPr>
        <w:t>programmes</w:t>
      </w:r>
      <w:proofErr w:type="spellEnd"/>
      <w:r>
        <w:rPr>
          <w:rFonts w:ascii="Times New Roman" w:eastAsia="Times New Roman" w:hAnsi="Times New Roman" w:cs="Times New Roman"/>
          <w:color w:val="000000"/>
          <w:sz w:val="24"/>
          <w:szCs w:val="24"/>
        </w:rPr>
        <w:t xml:space="preserve"> of interest to the firm. This connection between R&amp;D and marketing makes it possible to innovate because the development of problem-solving becomes more advanced (Casas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2021).</w:t>
      </w:r>
    </w:p>
    <w:p w14:paraId="6B24EB55" w14:textId="77777777" w:rsidR="002627AD" w:rsidRDefault="002627AD">
      <w:pPr>
        <w:pStyle w:val="Titlu1"/>
        <w:spacing w:before="0" w:after="0" w:line="360" w:lineRule="auto"/>
        <w:jc w:val="both"/>
        <w:rPr>
          <w:rFonts w:ascii="Times New Roman" w:eastAsia="Times New Roman" w:hAnsi="Times New Roman" w:cs="Times New Roman"/>
          <w:b/>
          <w:sz w:val="28"/>
          <w:szCs w:val="28"/>
        </w:rPr>
      </w:pPr>
      <w:bookmarkStart w:id="42" w:name="_heading=h.vijizepxkxz0" w:colFirst="0" w:colLast="0"/>
      <w:bookmarkEnd w:id="42"/>
    </w:p>
    <w:p w14:paraId="02651378"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43" w:name="_heading=h.5mo6dda0jci2" w:colFirst="0" w:colLast="0"/>
      <w:bookmarkEnd w:id="43"/>
      <w:r>
        <w:br w:type="page"/>
      </w:r>
    </w:p>
    <w:p w14:paraId="7AA8922C"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44" w:name="_heading=h.bgcazt309az" w:colFirst="0" w:colLast="0"/>
      <w:bookmarkEnd w:id="44"/>
      <w:r>
        <w:rPr>
          <w:rFonts w:ascii="Times New Roman" w:eastAsia="Times New Roman" w:hAnsi="Times New Roman" w:cs="Times New Roman"/>
          <w:b/>
          <w:sz w:val="28"/>
          <w:szCs w:val="28"/>
        </w:rPr>
        <w:t>6.0 Evaluation of Stakeholder Engagement Impact</w:t>
      </w:r>
    </w:p>
    <w:p w14:paraId="2FFC88F1"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45" w:name="_heading=h.3025djjqmzcg" w:colFirst="0" w:colLast="0"/>
      <w:bookmarkEnd w:id="45"/>
      <w:r>
        <w:rPr>
          <w:rFonts w:ascii="Times New Roman" w:eastAsia="Times New Roman" w:hAnsi="Times New Roman" w:cs="Times New Roman"/>
          <w:b/>
          <w:sz w:val="26"/>
          <w:szCs w:val="26"/>
        </w:rPr>
        <w:t>6.1 Business Performance Benefits</w:t>
      </w:r>
    </w:p>
    <w:p w14:paraId="061E3FA0"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Stakeholder engagement builds much-needed trust and transparency with regulators and providers by having joint collaborative sessions, workshops and formal disclosures (Ellis, Gibbs and Rein, 1991). Such practices enforce Vodafone's responsibility image as a responsible partner, ease regulatory permissions and simplify long-term partnerships in regulated businesses, such as healthcare technology (</w:t>
      </w:r>
      <w:proofErr w:type="spellStart"/>
      <w:r>
        <w:rPr>
          <w:rFonts w:ascii="Times New Roman" w:eastAsia="Times New Roman" w:hAnsi="Times New Roman" w:cs="Times New Roman"/>
          <w:color w:val="111111"/>
          <w:sz w:val="24"/>
          <w:szCs w:val="24"/>
        </w:rPr>
        <w:t>Elei</w:t>
      </w:r>
      <w:proofErr w:type="spellEnd"/>
      <w:r>
        <w:rPr>
          <w:rFonts w:ascii="Times New Roman" w:eastAsia="Times New Roman" w:hAnsi="Times New Roman" w:cs="Times New Roman"/>
          <w:color w:val="111111"/>
          <w:sz w:val="24"/>
          <w:szCs w:val="24"/>
        </w:rPr>
        <w:t xml:space="preserve"> et al., 2023). Stakeholder engagement on a financial front culminates in investor confidence through transparent updates and assists in achieving steady funding and stability. Engaging the customers by surveys, beta running and focus groups ensures that the products are aligned with what customers require and enhances the uptake and revenue creation (Thakkar et al., 2022). All these engage the stakeholders in enhancing Vodafone's business execution owing to the increased trust, openness and cooperation</w:t>
      </w:r>
      <w:r>
        <w:rPr>
          <w:rFonts w:ascii="Times New Roman" w:eastAsia="Times New Roman" w:hAnsi="Times New Roman" w:cs="Times New Roman"/>
          <w:color w:val="111111"/>
          <w:sz w:val="24"/>
          <w:szCs w:val="24"/>
        </w:rPr>
        <w:t xml:space="preserve"> of the stakeholders. A good regulator relationship enhances the compliance process but customer engagement provides innovation and customer satisfaction (NCBI, 2025). Partnerships will build operational channels, and concurrently provide the capability to take advantage of possible risks or new opportunities through </w:t>
      </w:r>
      <w:proofErr w:type="spellStart"/>
      <w:r>
        <w:rPr>
          <w:rFonts w:ascii="Times New Roman" w:eastAsia="Times New Roman" w:hAnsi="Times New Roman" w:cs="Times New Roman"/>
          <w:color w:val="111111"/>
          <w:sz w:val="24"/>
          <w:szCs w:val="24"/>
        </w:rPr>
        <w:t>IoT</w:t>
      </w:r>
      <w:proofErr w:type="spellEnd"/>
      <w:r>
        <w:rPr>
          <w:rFonts w:ascii="Times New Roman" w:eastAsia="Times New Roman" w:hAnsi="Times New Roman" w:cs="Times New Roman"/>
          <w:color w:val="111111"/>
          <w:sz w:val="24"/>
          <w:szCs w:val="24"/>
        </w:rPr>
        <w:t xml:space="preserve"> and healthcare solutions to have a more competitive and operationally sustainable </w:t>
      </w:r>
      <w:proofErr w:type="spellStart"/>
      <w:r>
        <w:rPr>
          <w:rFonts w:ascii="Times New Roman" w:eastAsia="Times New Roman" w:hAnsi="Times New Roman" w:cs="Times New Roman"/>
          <w:color w:val="111111"/>
          <w:sz w:val="24"/>
          <w:szCs w:val="24"/>
        </w:rPr>
        <w:t>endeavour</w:t>
      </w:r>
      <w:proofErr w:type="spellEnd"/>
      <w:r>
        <w:rPr>
          <w:rFonts w:ascii="Times New Roman" w:eastAsia="Times New Roman" w:hAnsi="Times New Roman" w:cs="Times New Roman"/>
          <w:color w:val="111111"/>
          <w:sz w:val="24"/>
          <w:szCs w:val="24"/>
        </w:rPr>
        <w:t xml:space="preserve"> in the long run. Apart from the financial and operational benefits, engagement culminates in Envi</w:t>
      </w:r>
      <w:r>
        <w:rPr>
          <w:rFonts w:ascii="Times New Roman" w:eastAsia="Times New Roman" w:hAnsi="Times New Roman" w:cs="Times New Roman"/>
          <w:color w:val="111111"/>
          <w:sz w:val="24"/>
          <w:szCs w:val="24"/>
        </w:rPr>
        <w:t>ronmental, Social, and Governance (ESG) reputation strength of Vodafone.</w:t>
      </w:r>
    </w:p>
    <w:p w14:paraId="517B87D5" w14:textId="77777777" w:rsidR="002627AD" w:rsidRDefault="000214B4">
      <w:pPr>
        <w:pStyle w:val="Titlu2"/>
        <w:spacing w:before="0" w:after="0" w:line="360" w:lineRule="auto"/>
        <w:jc w:val="both"/>
        <w:rPr>
          <w:rFonts w:ascii="Times New Roman" w:eastAsia="Times New Roman" w:hAnsi="Times New Roman" w:cs="Times New Roman"/>
          <w:b/>
          <w:sz w:val="26"/>
          <w:szCs w:val="26"/>
        </w:rPr>
      </w:pPr>
      <w:bookmarkStart w:id="46" w:name="_heading=h.yj8hjy7d3u9v" w:colFirst="0" w:colLast="0"/>
      <w:bookmarkEnd w:id="46"/>
      <w:r>
        <w:rPr>
          <w:rFonts w:ascii="Times New Roman" w:eastAsia="Times New Roman" w:hAnsi="Times New Roman" w:cs="Times New Roman"/>
          <w:b/>
          <w:sz w:val="26"/>
          <w:szCs w:val="26"/>
        </w:rPr>
        <w:t>6.2 Challenges if Engagement Fails</w:t>
      </w:r>
    </w:p>
    <w:p w14:paraId="0B16E4C0"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Stakeholder management failure may pose significant threats to Vodafone.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 xml:space="preserve">A major problem is that projects can be delayed due to the lack of a consistent communication channel with R&amp;D, suppliers, or regulators and provide incorrect priorities or compliance obstacles or bottlenecks in operations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Charalambous</w:t>
      </w:r>
      <w:proofErr w:type="spellEnd"/>
      <w:r>
        <w:rPr>
          <w:rFonts w:ascii="Times New Roman" w:eastAsia="Times New Roman" w:hAnsi="Times New Roman" w:cs="Times New Roman"/>
          <w:color w:val="000000"/>
          <w:sz w:val="24"/>
          <w:szCs w:val="24"/>
        </w:rPr>
        <w:t>, 2021)</w:t>
      </w:r>
      <w:r>
        <w:rPr>
          <w:rFonts w:ascii="Times New Roman" w:eastAsia="Times New Roman" w:hAnsi="Times New Roman" w:cs="Times New Roman"/>
          <w:color w:val="111111"/>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 xml:space="preserve">Another area of concern is reputational damage: unaddressed customer complaints, absence of transparency, or disagreements with healthcare providers can undermine brand trust and negatively affect future collaborations of regulated industries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Kadu</w:t>
      </w:r>
      <w:proofErr w:type="spellEnd"/>
      <w:r>
        <w:rPr>
          <w:rFonts w:ascii="Times New Roman" w:eastAsia="Times New Roman" w:hAnsi="Times New Roman" w:cs="Times New Roman"/>
          <w:color w:val="000000"/>
          <w:sz w:val="24"/>
          <w:szCs w:val="24"/>
        </w:rPr>
        <w:t xml:space="preserve"> and Singh, 2021)</w:t>
      </w:r>
      <w:r>
        <w:rPr>
          <w:rFonts w:ascii="Times New Roman" w:eastAsia="Times New Roman" w:hAnsi="Times New Roman" w:cs="Times New Roman"/>
          <w:color w:val="111111"/>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This lack of interaction with regulators can result in more fines, sanctions or slow product adoption, especially in the area of GDPR or medical device compliance, which can help undermine a competitive edge.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Also, financial instability may arise due to lack of transparency and engagement that would lead to a decline in investor confidence.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On the internal level, low employee participation in the decision-making process may lower productivity and cooperation.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All these risks point to the fact that it is th</w:t>
      </w:r>
      <w:r>
        <w:rPr>
          <w:rFonts w:ascii="Times New Roman" w:eastAsia="Times New Roman" w:hAnsi="Times New Roman" w:cs="Times New Roman"/>
          <w:color w:val="111111"/>
          <w:sz w:val="24"/>
          <w:szCs w:val="24"/>
        </w:rPr>
        <w:t xml:space="preserve">e structured and ongoing stakeholder engagement that allows retaining trust, preserving compliance, and protecting the long-term business performance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Manyazewal</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2021).</w:t>
      </w:r>
    </w:p>
    <w:p w14:paraId="08526296" w14:textId="77777777" w:rsidR="002627AD" w:rsidRDefault="000214B4">
      <w:pPr>
        <w:pStyle w:val="Titlu2"/>
        <w:spacing w:before="0" w:after="0" w:line="360" w:lineRule="auto"/>
        <w:jc w:val="both"/>
        <w:rPr>
          <w:rFonts w:ascii="Times New Roman" w:eastAsia="Times New Roman" w:hAnsi="Times New Roman" w:cs="Times New Roman"/>
          <w:b/>
          <w:sz w:val="24"/>
          <w:szCs w:val="24"/>
        </w:rPr>
      </w:pPr>
      <w:bookmarkStart w:id="47" w:name="_heading=h.cu82todg89ki" w:colFirst="0" w:colLast="0"/>
      <w:bookmarkEnd w:id="47"/>
      <w:r>
        <w:rPr>
          <w:rFonts w:ascii="Times New Roman" w:eastAsia="Times New Roman" w:hAnsi="Times New Roman" w:cs="Times New Roman"/>
          <w:b/>
          <w:sz w:val="26"/>
          <w:szCs w:val="26"/>
        </w:rPr>
        <w:t>6.3 Recommendations for Future Stakeholder Engagement</w:t>
      </w:r>
    </w:p>
    <w:p w14:paraId="5B9CB6E2" w14:textId="77777777" w:rsidR="002627AD" w:rsidRDefault="000214B4">
      <w:pPr>
        <w:pBdr>
          <w:top w:val="nil"/>
          <w:left w:val="nil"/>
          <w:bottom w:val="nil"/>
          <w:right w:val="nil"/>
          <w:between w:val="nil"/>
        </w:pBdr>
        <w:spacing w:line="360" w:lineRule="auto"/>
        <w:ind w:firstLine="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Recommendations 1. Strengthen Digital Stakeholder Platforms</w:t>
      </w:r>
    </w:p>
    <w:p w14:paraId="2620E441"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Establish elaborate online channels of stakeholder interaction, which would give real-time updates, dashboards, and safe channels of communication.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Different groups of stakeholders should be served by these platforms, and all the information accessible to regulators, investors, customers, and internal teams should have an efficient way to be accessed.</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 xml:space="preserve">The better transparency, less time to spend on delays, and quicker decision-making can be achieved through increased digital interaction </w:t>
      </w:r>
      <w:r>
        <w:rPr>
          <w:rFonts w:ascii="Times New Roman" w:eastAsia="Times New Roman" w:hAnsi="Times New Roman" w:cs="Times New Roman"/>
          <w:color w:val="000000"/>
          <w:sz w:val="24"/>
          <w:szCs w:val="24"/>
        </w:rPr>
        <w:t xml:space="preserve">(Acharya and Rani, 2021; </w:t>
      </w:r>
      <w:proofErr w:type="spellStart"/>
      <w:r>
        <w:rPr>
          <w:rFonts w:ascii="Times New Roman" w:eastAsia="Times New Roman" w:hAnsi="Times New Roman" w:cs="Times New Roman"/>
          <w:color w:val="000000"/>
          <w:sz w:val="24"/>
          <w:szCs w:val="24"/>
        </w:rPr>
        <w:t>Charalambous</w:t>
      </w:r>
      <w:proofErr w:type="spellEnd"/>
      <w:r>
        <w:rPr>
          <w:rFonts w:ascii="Times New Roman" w:eastAsia="Times New Roman" w:hAnsi="Times New Roman" w:cs="Times New Roman"/>
          <w:color w:val="000000"/>
          <w:sz w:val="24"/>
          <w:szCs w:val="24"/>
        </w:rPr>
        <w:t>, 2021)</w:t>
      </w:r>
      <w:r>
        <w:rPr>
          <w:rFonts w:ascii="Times New Roman" w:eastAsia="Times New Roman" w:hAnsi="Times New Roman" w:cs="Times New Roman"/>
          <w:color w:val="111111"/>
          <w:sz w:val="24"/>
          <w:szCs w:val="24"/>
        </w:rPr>
        <w:t>.</w:t>
      </w:r>
    </w:p>
    <w:p w14:paraId="56E15785" w14:textId="77777777" w:rsidR="002627AD" w:rsidRDefault="000214B4">
      <w:pPr>
        <w:pBdr>
          <w:top w:val="nil"/>
          <w:left w:val="nil"/>
          <w:bottom w:val="nil"/>
          <w:right w:val="nil"/>
          <w:between w:val="nil"/>
        </w:pBdr>
        <w:spacing w:line="360" w:lineRule="auto"/>
        <w:ind w:firstLine="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Recommendations 2. Establish Continuous Feedback Loops</w:t>
      </w:r>
    </w:p>
    <w:p w14:paraId="1DE77537"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Integrating a mechanism of continuous feedback throughout the product development will be a good way of making sure that a concern of stakeholders and any other information is captured and is taken action upon.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 xml:space="preserve">Frequent surveys, online workshops, pilot programs, and interactive dashboards enable the stakeholders to contribute to the project decisions in advance and improve the rate of satisfaction, trust, and adoption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Mukati</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2023)</w:t>
      </w:r>
      <w:r>
        <w:rPr>
          <w:rFonts w:ascii="Times New Roman" w:eastAsia="Times New Roman" w:hAnsi="Times New Roman" w:cs="Times New Roman"/>
          <w:color w:val="111111"/>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The constant feedback also allows identifying the possible risks fast and avoiding their further development and encourages the joint solution of the problem (</w:t>
      </w:r>
      <w:proofErr w:type="spellStart"/>
      <w:r>
        <w:rPr>
          <w:rFonts w:ascii="Times New Roman" w:eastAsia="Times New Roman" w:hAnsi="Times New Roman" w:cs="Times New Roman"/>
          <w:color w:val="111111"/>
          <w:sz w:val="24"/>
          <w:szCs w:val="24"/>
        </w:rPr>
        <w:t>Umair</w:t>
      </w:r>
      <w:proofErr w:type="spellEnd"/>
      <w:r>
        <w:rPr>
          <w:rFonts w:ascii="Times New Roman" w:eastAsia="Times New Roman" w:hAnsi="Times New Roman" w:cs="Times New Roman"/>
          <w:i/>
          <w:color w:val="111111"/>
          <w:sz w:val="24"/>
          <w:szCs w:val="24"/>
        </w:rPr>
        <w:t xml:space="preserve"> et al.,</w:t>
      </w:r>
      <w:r>
        <w:rPr>
          <w:rFonts w:ascii="Times New Roman" w:eastAsia="Times New Roman" w:hAnsi="Times New Roman" w:cs="Times New Roman"/>
          <w:color w:val="111111"/>
          <w:sz w:val="24"/>
          <w:szCs w:val="24"/>
        </w:rPr>
        <w:t xml:space="preserve"> 2021)</w:t>
      </w:r>
      <w:r>
        <w:rPr>
          <w:rFonts w:ascii="Times New Roman" w:eastAsia="Times New Roman" w:hAnsi="Times New Roman" w:cs="Times New Roman"/>
          <w:color w:val="000000"/>
          <w:sz w:val="24"/>
          <w:szCs w:val="24"/>
        </w:rPr>
        <w:t>.</w:t>
      </w:r>
    </w:p>
    <w:p w14:paraId="53888809" w14:textId="77777777" w:rsidR="002627AD" w:rsidRDefault="000214B4">
      <w:pPr>
        <w:pBdr>
          <w:top w:val="nil"/>
          <w:left w:val="nil"/>
          <w:bottom w:val="nil"/>
          <w:right w:val="nil"/>
          <w:between w:val="nil"/>
        </w:pBdr>
        <w:spacing w:line="360" w:lineRule="auto"/>
        <w:ind w:firstLine="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Recommendations 3. Conduct Regular Impact Assessments Using KPIs</w:t>
      </w:r>
    </w:p>
    <w:p w14:paraId="37D79EEE"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 xml:space="preserve">Install systematic stakeholder engagement effectiveness monitoring using pre-specified key performance indicators (KPIs)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Elei</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2023)</w:t>
      </w:r>
      <w:r>
        <w:rPr>
          <w:rFonts w:ascii="Times New Roman" w:eastAsia="Times New Roman" w:hAnsi="Times New Roman" w:cs="Times New Roman"/>
          <w:color w:val="111111"/>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Performance indicators like satisfaction levels among stakeholders, milestones in regulatory compliance, investor trust levels, internal team cohesion levels can give a practical understanding of the performance of engagement.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111111"/>
          <w:sz w:val="24"/>
          <w:szCs w:val="24"/>
        </w:rPr>
        <w:t xml:space="preserve">Evaluation of impacts on a periodic basis enables the </w:t>
      </w:r>
      <w:proofErr w:type="spellStart"/>
      <w:r>
        <w:rPr>
          <w:rFonts w:ascii="Times New Roman" w:eastAsia="Times New Roman" w:hAnsi="Times New Roman" w:cs="Times New Roman"/>
          <w:color w:val="111111"/>
          <w:sz w:val="24"/>
          <w:szCs w:val="24"/>
        </w:rPr>
        <w:t>organisation</w:t>
      </w:r>
      <w:proofErr w:type="spellEnd"/>
      <w:r>
        <w:rPr>
          <w:rFonts w:ascii="Times New Roman" w:eastAsia="Times New Roman" w:hAnsi="Times New Roman" w:cs="Times New Roman"/>
          <w:color w:val="111111"/>
          <w:sz w:val="24"/>
          <w:szCs w:val="24"/>
        </w:rPr>
        <w:t xml:space="preserve"> to revise strategies, allocate resources efficiently, and be accountable to a range of stakeholders (</w:t>
      </w:r>
      <w:proofErr w:type="spellStart"/>
      <w:r>
        <w:rPr>
          <w:rFonts w:ascii="Times New Roman" w:eastAsia="Times New Roman" w:hAnsi="Times New Roman" w:cs="Times New Roman"/>
          <w:color w:val="111111"/>
          <w:sz w:val="24"/>
          <w:szCs w:val="24"/>
        </w:rPr>
        <w:t>Charalambous</w:t>
      </w:r>
      <w:proofErr w:type="spellEnd"/>
      <w:r>
        <w:rPr>
          <w:rFonts w:ascii="Times New Roman" w:eastAsia="Times New Roman" w:hAnsi="Times New Roman" w:cs="Times New Roman"/>
          <w:color w:val="111111"/>
          <w:sz w:val="24"/>
          <w:szCs w:val="24"/>
        </w:rPr>
        <w:t>, 2021).</w:t>
      </w:r>
    </w:p>
    <w:p w14:paraId="65F8EC3F"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48" w:name="_heading=h.wkk35hix84ol" w:colFirst="0" w:colLast="0"/>
      <w:bookmarkEnd w:id="48"/>
      <w:r>
        <w:br w:type="page"/>
      </w:r>
    </w:p>
    <w:p w14:paraId="198C1A49" w14:textId="77777777" w:rsidR="002627AD" w:rsidRDefault="000214B4">
      <w:pPr>
        <w:pStyle w:val="Titlu1"/>
        <w:spacing w:before="0" w:after="0" w:line="360" w:lineRule="auto"/>
        <w:jc w:val="both"/>
        <w:rPr>
          <w:rFonts w:ascii="Times New Roman" w:eastAsia="Times New Roman" w:hAnsi="Times New Roman" w:cs="Times New Roman"/>
          <w:b/>
          <w:color w:val="111111"/>
          <w:sz w:val="24"/>
          <w:szCs w:val="24"/>
        </w:rPr>
      </w:pPr>
      <w:bookmarkStart w:id="49" w:name="_heading=h.44ethtbi3vjw" w:colFirst="0" w:colLast="0"/>
      <w:bookmarkEnd w:id="49"/>
      <w:r>
        <w:rPr>
          <w:rFonts w:ascii="Times New Roman" w:eastAsia="Times New Roman" w:hAnsi="Times New Roman" w:cs="Times New Roman"/>
          <w:b/>
          <w:sz w:val="28"/>
          <w:szCs w:val="28"/>
        </w:rPr>
        <w:t>7.0 Conclusion</w:t>
      </w:r>
    </w:p>
    <w:p w14:paraId="2ED91D7D"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In the conclusion notes, advantages of positive initiatives to communicate with stakeholders have been achieved on two levels. It has been competing with innovation over R&amp;D and Blue, care providers and consumers which cost health care faster to innovate and better product differentiation. It created trust and transparency towards the regulators and healthcare partners, and this facilitated compliance approvals, becoming less bureaucratic and easier as well. Monetarily, it had improved investor trust and lo</w:t>
      </w:r>
      <w:r>
        <w:rPr>
          <w:rFonts w:ascii="Times New Roman" w:eastAsia="Times New Roman" w:hAnsi="Times New Roman" w:cs="Times New Roman"/>
          <w:color w:val="111111"/>
          <w:sz w:val="24"/>
          <w:szCs w:val="24"/>
        </w:rPr>
        <w:t xml:space="preserve">ng-term funding by maintaining open contact with investors and high uptake and revenue potential with customer-related </w:t>
      </w:r>
      <w:proofErr w:type="spellStart"/>
      <w:r>
        <w:rPr>
          <w:rFonts w:ascii="Times New Roman" w:eastAsia="Times New Roman" w:hAnsi="Times New Roman" w:cs="Times New Roman"/>
          <w:color w:val="111111"/>
          <w:sz w:val="24"/>
          <w:szCs w:val="24"/>
        </w:rPr>
        <w:t>programmes</w:t>
      </w:r>
      <w:proofErr w:type="spellEnd"/>
      <w:r>
        <w:rPr>
          <w:rFonts w:ascii="Times New Roman" w:eastAsia="Times New Roman" w:hAnsi="Times New Roman" w:cs="Times New Roman"/>
          <w:color w:val="111111"/>
          <w:sz w:val="24"/>
          <w:szCs w:val="24"/>
        </w:rPr>
        <w:t>. The absence of dynamic engagement with professionals in NGOs, communities and stakeholders interested in sustainability had also enhanced the ESG image of Vodafone and led to the brand loyalty and social impacts in the long run, which identified the significance of diversely managed stakeholder management. As practice in this project revealed, the digital alignment platforms, dy</w:t>
      </w:r>
      <w:r>
        <w:rPr>
          <w:rFonts w:ascii="Times New Roman" w:eastAsia="Times New Roman" w:hAnsi="Times New Roman" w:cs="Times New Roman"/>
          <w:color w:val="111111"/>
          <w:sz w:val="24"/>
          <w:szCs w:val="24"/>
        </w:rPr>
        <w:t xml:space="preserve">namic feedback mechanisms, and systematic evaluation in KPI form served as requirements to facilitate performance and avoid risk. With deeply established stakeholder involvement in project management processes, Vodafone not only obtained the results of operational success but also </w:t>
      </w:r>
      <w:proofErr w:type="spellStart"/>
      <w:r>
        <w:rPr>
          <w:rFonts w:ascii="Times New Roman" w:eastAsia="Times New Roman" w:hAnsi="Times New Roman" w:cs="Times New Roman"/>
          <w:color w:val="111111"/>
          <w:sz w:val="24"/>
          <w:szCs w:val="24"/>
        </w:rPr>
        <w:t>optimised</w:t>
      </w:r>
      <w:proofErr w:type="spellEnd"/>
      <w:r>
        <w:rPr>
          <w:rFonts w:ascii="Times New Roman" w:eastAsia="Times New Roman" w:hAnsi="Times New Roman" w:cs="Times New Roman"/>
          <w:color w:val="111111"/>
          <w:sz w:val="24"/>
          <w:szCs w:val="24"/>
        </w:rPr>
        <w:t xml:space="preserve"> on this as a strategic move of change of innovation, competitiveness, and long-term value creation in the evolving digital health marketplace.</w:t>
      </w:r>
    </w:p>
    <w:p w14:paraId="5A4D1C60"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br w:type="page"/>
      </w:r>
    </w:p>
    <w:p w14:paraId="5B467227" w14:textId="77777777" w:rsidR="002627AD" w:rsidRDefault="000214B4">
      <w:pPr>
        <w:pStyle w:val="Titlu1"/>
        <w:spacing w:before="0" w:after="0" w:line="360" w:lineRule="auto"/>
        <w:jc w:val="both"/>
        <w:rPr>
          <w:rFonts w:ascii="Times New Roman" w:eastAsia="Times New Roman" w:hAnsi="Times New Roman" w:cs="Times New Roman"/>
          <w:b/>
          <w:sz w:val="28"/>
          <w:szCs w:val="28"/>
        </w:rPr>
      </w:pPr>
      <w:bookmarkStart w:id="50" w:name="_heading=h.qbuglbco2h6d" w:colFirst="0" w:colLast="0"/>
      <w:bookmarkEnd w:id="50"/>
      <w:r>
        <w:rPr>
          <w:rFonts w:ascii="Times New Roman" w:eastAsia="Times New Roman" w:hAnsi="Times New Roman" w:cs="Times New Roman"/>
          <w:b/>
          <w:sz w:val="28"/>
          <w:szCs w:val="28"/>
        </w:rPr>
        <w:t>8.0 Reference List</w:t>
      </w:r>
    </w:p>
    <w:p w14:paraId="389635DC"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Acharya, N.V.V. and Rani, K.S. (2021). Modern Health Monitoring and Analysis Using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xml:space="preserve"> Technology. </w:t>
      </w:r>
      <w:r>
        <w:rPr>
          <w:rFonts w:ascii="Times New Roman" w:eastAsia="Times New Roman" w:hAnsi="Times New Roman" w:cs="Times New Roman"/>
          <w:i/>
          <w:color w:val="000000"/>
          <w:sz w:val="24"/>
          <w:szCs w:val="24"/>
        </w:rPr>
        <w:t>Turk. Online J. Qual. Inq.(TOJQI)</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12</w:t>
      </w:r>
      <w:r>
        <w:rPr>
          <w:rFonts w:ascii="Times New Roman" w:eastAsia="Times New Roman" w:hAnsi="Times New Roman" w:cs="Times New Roman"/>
          <w:color w:val="000000"/>
          <w:sz w:val="24"/>
          <w:szCs w:val="24"/>
        </w:rPr>
        <w:t>, pp.4961-4972.</w:t>
      </w:r>
    </w:p>
    <w:p w14:paraId="759CFDC7"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Ashcroft, J. (2017) The relational lens: understanding, measuring, and managing stakeholder relationships. Cambridge: Cambridge University Press. Available at: https://www-cambridge-</w:t>
      </w:r>
    </w:p>
    <w:p w14:paraId="22C0B8BA"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Bargarai</w:t>
      </w:r>
      <w:proofErr w:type="spellEnd"/>
      <w:r>
        <w:rPr>
          <w:rFonts w:ascii="Times New Roman" w:eastAsia="Times New Roman" w:hAnsi="Times New Roman" w:cs="Times New Roman"/>
          <w:color w:val="000000"/>
          <w:sz w:val="24"/>
          <w:szCs w:val="24"/>
        </w:rPr>
        <w:t xml:space="preserve">, F.A.M. and </w:t>
      </w:r>
      <w:proofErr w:type="spellStart"/>
      <w:r>
        <w:rPr>
          <w:rFonts w:ascii="Times New Roman" w:eastAsia="Times New Roman" w:hAnsi="Times New Roman" w:cs="Times New Roman"/>
          <w:color w:val="000000"/>
          <w:sz w:val="24"/>
          <w:szCs w:val="24"/>
        </w:rPr>
        <w:t>Keti</w:t>
      </w:r>
      <w:proofErr w:type="spellEnd"/>
      <w:r>
        <w:rPr>
          <w:rFonts w:ascii="Times New Roman" w:eastAsia="Times New Roman" w:hAnsi="Times New Roman" w:cs="Times New Roman"/>
          <w:color w:val="000000"/>
          <w:sz w:val="24"/>
          <w:szCs w:val="24"/>
        </w:rPr>
        <w:t xml:space="preserve">, F. (2025), April. A Review of 5G Techniques in Healthcare: Understanding the Role of 5G,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xml:space="preserve">, and AI. In </w:t>
      </w:r>
      <w:r>
        <w:rPr>
          <w:rFonts w:ascii="Times New Roman" w:eastAsia="Times New Roman" w:hAnsi="Times New Roman" w:cs="Times New Roman"/>
          <w:i/>
          <w:color w:val="000000"/>
          <w:sz w:val="24"/>
          <w:szCs w:val="24"/>
        </w:rPr>
        <w:t>2025 International Conference on Computer Science and Software Engineering (CSASE)</w:t>
      </w:r>
      <w:r>
        <w:rPr>
          <w:rFonts w:ascii="Times New Roman" w:eastAsia="Times New Roman" w:hAnsi="Times New Roman" w:cs="Times New Roman"/>
          <w:color w:val="000000"/>
          <w:sz w:val="24"/>
          <w:szCs w:val="24"/>
        </w:rPr>
        <w:t xml:space="preserve"> (pp. 168-175). IEEE.</w:t>
      </w:r>
    </w:p>
    <w:p w14:paraId="567B6D98"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Casas, R., Hermosa, A., Marco, A., Blanco, T. and </w:t>
      </w:r>
      <w:proofErr w:type="spellStart"/>
      <w:r>
        <w:rPr>
          <w:rFonts w:ascii="Times New Roman" w:eastAsia="Times New Roman" w:hAnsi="Times New Roman" w:cs="Times New Roman"/>
          <w:color w:val="000000"/>
          <w:sz w:val="24"/>
          <w:szCs w:val="24"/>
        </w:rPr>
        <w:t>Zarazaga</w:t>
      </w:r>
      <w:proofErr w:type="spellEnd"/>
      <w:r>
        <w:rPr>
          <w:rFonts w:ascii="Times New Roman" w:eastAsia="Times New Roman" w:hAnsi="Times New Roman" w:cs="Times New Roman"/>
          <w:color w:val="000000"/>
          <w:sz w:val="24"/>
          <w:szCs w:val="24"/>
        </w:rPr>
        <w:t xml:space="preserve">-Soria, F.J. (2021). Real-time extensive livestock monitoring using LPWAN smart wearable and infrastructure. </w:t>
      </w:r>
      <w:r>
        <w:rPr>
          <w:rFonts w:ascii="Times New Roman" w:eastAsia="Times New Roman" w:hAnsi="Times New Roman" w:cs="Times New Roman"/>
          <w:i/>
          <w:color w:val="000000"/>
          <w:sz w:val="24"/>
          <w:szCs w:val="24"/>
        </w:rPr>
        <w:t>Applied Sciences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11</w:t>
      </w:r>
      <w:r>
        <w:rPr>
          <w:rFonts w:ascii="Times New Roman" w:eastAsia="Times New Roman" w:hAnsi="Times New Roman" w:cs="Times New Roman"/>
          <w:color w:val="000000"/>
          <w:sz w:val="24"/>
          <w:szCs w:val="24"/>
        </w:rPr>
        <w:t>(3), p.1240.</w:t>
      </w:r>
    </w:p>
    <w:p w14:paraId="582838A2"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Charalambous</w:t>
      </w:r>
      <w:proofErr w:type="spellEnd"/>
      <w:r>
        <w:rPr>
          <w:rFonts w:ascii="Times New Roman" w:eastAsia="Times New Roman" w:hAnsi="Times New Roman" w:cs="Times New Roman"/>
          <w:color w:val="000000"/>
          <w:sz w:val="24"/>
          <w:szCs w:val="24"/>
        </w:rPr>
        <w:t xml:space="preserve">, A. ed. (2021). </w:t>
      </w:r>
      <w:r>
        <w:rPr>
          <w:rFonts w:ascii="Times New Roman" w:eastAsia="Times New Roman" w:hAnsi="Times New Roman" w:cs="Times New Roman"/>
          <w:i/>
          <w:color w:val="000000"/>
          <w:sz w:val="24"/>
          <w:szCs w:val="24"/>
        </w:rPr>
        <w:t>Developing and utilizing digital technology in healthcare for assessment and monitoring</w:t>
      </w:r>
      <w:r>
        <w:rPr>
          <w:rFonts w:ascii="Times New Roman" w:eastAsia="Times New Roman" w:hAnsi="Times New Roman" w:cs="Times New Roman"/>
          <w:color w:val="000000"/>
          <w:sz w:val="24"/>
          <w:szCs w:val="24"/>
        </w:rPr>
        <w:t>. Springer Nature.</w:t>
      </w:r>
    </w:p>
    <w:p w14:paraId="1A118595"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Christopher, M., Payne, A., and Ballantyne, D. (2013). Relationship Marketing: Creating Stakeholder Value. Saint Louis: Taylor and Francis</w:t>
      </w:r>
    </w:p>
    <w:p w14:paraId="2D3E59BB"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Dang, V.A., Vu </w:t>
      </w:r>
      <w:proofErr w:type="spellStart"/>
      <w:r>
        <w:rPr>
          <w:rFonts w:ascii="Times New Roman" w:eastAsia="Times New Roman" w:hAnsi="Times New Roman" w:cs="Times New Roman"/>
          <w:color w:val="000000"/>
          <w:sz w:val="24"/>
          <w:szCs w:val="24"/>
        </w:rPr>
        <w:t>Khanh</w:t>
      </w:r>
      <w:proofErr w:type="spellEnd"/>
      <w:r>
        <w:rPr>
          <w:rFonts w:ascii="Times New Roman" w:eastAsia="Times New Roman" w:hAnsi="Times New Roman" w:cs="Times New Roman"/>
          <w:color w:val="000000"/>
          <w:sz w:val="24"/>
          <w:szCs w:val="24"/>
        </w:rPr>
        <w:t xml:space="preserve">, Q., Nguyen, V.H., Nguyen, T. and Nguyen, D.C. (2023). Intelligent healthcare: Integration of emerging technologies and Internet of Things for humanity. </w:t>
      </w:r>
      <w:r>
        <w:rPr>
          <w:rFonts w:ascii="Times New Roman" w:eastAsia="Times New Roman" w:hAnsi="Times New Roman" w:cs="Times New Roman"/>
          <w:i/>
          <w:color w:val="000000"/>
          <w:sz w:val="24"/>
          <w:szCs w:val="24"/>
        </w:rPr>
        <w:t>Sensors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23</w:t>
      </w:r>
      <w:r>
        <w:rPr>
          <w:rFonts w:ascii="Times New Roman" w:eastAsia="Times New Roman" w:hAnsi="Times New Roman" w:cs="Times New Roman"/>
          <w:color w:val="000000"/>
          <w:sz w:val="24"/>
          <w:szCs w:val="24"/>
        </w:rPr>
        <w:t>(9), p.4200.</w:t>
      </w:r>
    </w:p>
    <w:p w14:paraId="4C05220A"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Devi, D.H., </w:t>
      </w:r>
      <w:proofErr w:type="spellStart"/>
      <w:r>
        <w:rPr>
          <w:rFonts w:ascii="Times New Roman" w:eastAsia="Times New Roman" w:hAnsi="Times New Roman" w:cs="Times New Roman"/>
          <w:color w:val="000000"/>
          <w:sz w:val="24"/>
          <w:szCs w:val="24"/>
        </w:rPr>
        <w:t>Duraisamy</w:t>
      </w:r>
      <w:proofErr w:type="spellEnd"/>
      <w:r>
        <w:rPr>
          <w:rFonts w:ascii="Times New Roman" w:eastAsia="Times New Roman" w:hAnsi="Times New Roman" w:cs="Times New Roman"/>
          <w:color w:val="000000"/>
          <w:sz w:val="24"/>
          <w:szCs w:val="24"/>
        </w:rPr>
        <w:t xml:space="preserve">, K., </w:t>
      </w:r>
      <w:proofErr w:type="spellStart"/>
      <w:r>
        <w:rPr>
          <w:rFonts w:ascii="Times New Roman" w:eastAsia="Times New Roman" w:hAnsi="Times New Roman" w:cs="Times New Roman"/>
          <w:color w:val="000000"/>
          <w:sz w:val="24"/>
          <w:szCs w:val="24"/>
        </w:rPr>
        <w:t>Armghan</w:t>
      </w:r>
      <w:proofErr w:type="spellEnd"/>
      <w:r>
        <w:rPr>
          <w:rFonts w:ascii="Times New Roman" w:eastAsia="Times New Roman" w:hAnsi="Times New Roman" w:cs="Times New Roman"/>
          <w:color w:val="000000"/>
          <w:sz w:val="24"/>
          <w:szCs w:val="24"/>
        </w:rPr>
        <w:t xml:space="preserve">, A., </w:t>
      </w:r>
      <w:proofErr w:type="spellStart"/>
      <w:r>
        <w:rPr>
          <w:rFonts w:ascii="Times New Roman" w:eastAsia="Times New Roman" w:hAnsi="Times New Roman" w:cs="Times New Roman"/>
          <w:color w:val="000000"/>
          <w:sz w:val="24"/>
          <w:szCs w:val="24"/>
        </w:rPr>
        <w:t>Alsharari</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Aliqab</w:t>
      </w:r>
      <w:proofErr w:type="spellEnd"/>
      <w:r>
        <w:rPr>
          <w:rFonts w:ascii="Times New Roman" w:eastAsia="Times New Roman" w:hAnsi="Times New Roman" w:cs="Times New Roman"/>
          <w:color w:val="000000"/>
          <w:sz w:val="24"/>
          <w:szCs w:val="24"/>
        </w:rPr>
        <w:t xml:space="preserve">, K., </w:t>
      </w:r>
      <w:proofErr w:type="spellStart"/>
      <w:r>
        <w:rPr>
          <w:rFonts w:ascii="Times New Roman" w:eastAsia="Times New Roman" w:hAnsi="Times New Roman" w:cs="Times New Roman"/>
          <w:color w:val="000000"/>
          <w:sz w:val="24"/>
          <w:szCs w:val="24"/>
        </w:rPr>
        <w:t>Sorathiya</w:t>
      </w:r>
      <w:proofErr w:type="spellEnd"/>
      <w:r>
        <w:rPr>
          <w:rFonts w:ascii="Times New Roman" w:eastAsia="Times New Roman" w:hAnsi="Times New Roman" w:cs="Times New Roman"/>
          <w:color w:val="000000"/>
          <w:sz w:val="24"/>
          <w:szCs w:val="24"/>
        </w:rPr>
        <w:t xml:space="preserve">, V., Das, S. and Rashid, N. (2023). 5G technology in healthcare and wearable devices: A review. </w:t>
      </w:r>
      <w:r>
        <w:rPr>
          <w:rFonts w:ascii="Times New Roman" w:eastAsia="Times New Roman" w:hAnsi="Times New Roman" w:cs="Times New Roman"/>
          <w:i/>
          <w:color w:val="000000"/>
          <w:sz w:val="24"/>
          <w:szCs w:val="24"/>
        </w:rPr>
        <w:t>Sensors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23</w:t>
      </w:r>
      <w:r>
        <w:rPr>
          <w:rFonts w:ascii="Times New Roman" w:eastAsia="Times New Roman" w:hAnsi="Times New Roman" w:cs="Times New Roman"/>
          <w:color w:val="000000"/>
          <w:sz w:val="24"/>
          <w:szCs w:val="24"/>
        </w:rPr>
        <w:t>(5), p.2519.</w:t>
      </w:r>
    </w:p>
    <w:p w14:paraId="7BF7C1EE"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Elei</w:t>
      </w:r>
      <w:proofErr w:type="spellEnd"/>
      <w:r>
        <w:rPr>
          <w:rFonts w:ascii="Times New Roman" w:eastAsia="Times New Roman" w:hAnsi="Times New Roman" w:cs="Times New Roman"/>
          <w:color w:val="000000"/>
          <w:sz w:val="24"/>
          <w:szCs w:val="24"/>
        </w:rPr>
        <w:t xml:space="preserve">, F.O., </w:t>
      </w:r>
      <w:proofErr w:type="spellStart"/>
      <w:r>
        <w:rPr>
          <w:rFonts w:ascii="Times New Roman" w:eastAsia="Times New Roman" w:hAnsi="Times New Roman" w:cs="Times New Roman"/>
          <w:color w:val="000000"/>
          <w:sz w:val="24"/>
          <w:szCs w:val="24"/>
        </w:rPr>
        <w:t>Ikerionwu</w:t>
      </w:r>
      <w:proofErr w:type="spellEnd"/>
      <w:r>
        <w:rPr>
          <w:rFonts w:ascii="Times New Roman" w:eastAsia="Times New Roman" w:hAnsi="Times New Roman" w:cs="Times New Roman"/>
          <w:color w:val="000000"/>
          <w:sz w:val="24"/>
          <w:szCs w:val="24"/>
        </w:rPr>
        <w:t xml:space="preserve">, C.O., </w:t>
      </w:r>
      <w:proofErr w:type="spellStart"/>
      <w:r>
        <w:rPr>
          <w:rFonts w:ascii="Times New Roman" w:eastAsia="Times New Roman" w:hAnsi="Times New Roman" w:cs="Times New Roman"/>
          <w:color w:val="000000"/>
          <w:sz w:val="24"/>
          <w:szCs w:val="24"/>
        </w:rPr>
        <w:t>Erike</w:t>
      </w:r>
      <w:proofErr w:type="spellEnd"/>
      <w:r>
        <w:rPr>
          <w:rFonts w:ascii="Times New Roman" w:eastAsia="Times New Roman" w:hAnsi="Times New Roman" w:cs="Times New Roman"/>
          <w:color w:val="000000"/>
          <w:sz w:val="24"/>
          <w:szCs w:val="24"/>
        </w:rPr>
        <w:t xml:space="preserve">, A.I. and </w:t>
      </w:r>
      <w:proofErr w:type="spellStart"/>
      <w:r>
        <w:rPr>
          <w:rFonts w:ascii="Times New Roman" w:eastAsia="Times New Roman" w:hAnsi="Times New Roman" w:cs="Times New Roman"/>
          <w:color w:val="000000"/>
          <w:sz w:val="24"/>
          <w:szCs w:val="24"/>
        </w:rPr>
        <w:t>Mshelia</w:t>
      </w:r>
      <w:proofErr w:type="spellEnd"/>
      <w:r>
        <w:rPr>
          <w:rFonts w:ascii="Times New Roman" w:eastAsia="Times New Roman" w:hAnsi="Times New Roman" w:cs="Times New Roman"/>
          <w:color w:val="000000"/>
          <w:sz w:val="24"/>
          <w:szCs w:val="24"/>
        </w:rPr>
        <w:t xml:space="preserve">, Y.U. (2023). Transition to value-based care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xml:space="preserve"> wearable devices in maternity healthcare for low-resource countries. </w:t>
      </w:r>
      <w:r>
        <w:rPr>
          <w:rFonts w:ascii="Times New Roman" w:eastAsia="Times New Roman" w:hAnsi="Times New Roman" w:cs="Times New Roman"/>
          <w:i/>
          <w:color w:val="000000"/>
          <w:sz w:val="24"/>
          <w:szCs w:val="24"/>
        </w:rPr>
        <w:t>Int. J. Sci. Res. in Computer Science and Engineering Vol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11</w:t>
      </w:r>
      <w:r>
        <w:rPr>
          <w:rFonts w:ascii="Times New Roman" w:eastAsia="Times New Roman" w:hAnsi="Times New Roman" w:cs="Times New Roman"/>
          <w:color w:val="000000"/>
          <w:sz w:val="24"/>
          <w:szCs w:val="24"/>
        </w:rPr>
        <w:t>(4).</w:t>
      </w:r>
    </w:p>
    <w:p w14:paraId="6AD7C1AB"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Ellis, C.A., Gibbs, S.J. and Rein, G.L. (1991). Groupware: Some issues and experiences. Communications of the ACM, 34(1), pp.38–58. doi:10.1145/99977.99987   </w:t>
      </w:r>
    </w:p>
    <w:p w14:paraId="722DA0D9"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Kadu</w:t>
      </w:r>
      <w:proofErr w:type="spellEnd"/>
      <w:r>
        <w:rPr>
          <w:rFonts w:ascii="Times New Roman" w:eastAsia="Times New Roman" w:hAnsi="Times New Roman" w:cs="Times New Roman"/>
          <w:color w:val="000000"/>
          <w:sz w:val="24"/>
          <w:szCs w:val="24"/>
        </w:rPr>
        <w:t xml:space="preserve">, A. and Singh, M. (2021), October. Comparative analysis of e-health care telemedicine system based on Internet of Medical Things and artificial intelligence. In </w:t>
      </w:r>
      <w:r>
        <w:rPr>
          <w:rFonts w:ascii="Times New Roman" w:eastAsia="Times New Roman" w:hAnsi="Times New Roman" w:cs="Times New Roman"/>
          <w:i/>
          <w:color w:val="000000"/>
          <w:sz w:val="24"/>
          <w:szCs w:val="24"/>
        </w:rPr>
        <w:t>2021 2nd International conference on smart electronics and communication (ICOSEC)</w:t>
      </w:r>
      <w:r>
        <w:rPr>
          <w:rFonts w:ascii="Times New Roman" w:eastAsia="Times New Roman" w:hAnsi="Times New Roman" w:cs="Times New Roman"/>
          <w:color w:val="000000"/>
          <w:sz w:val="24"/>
          <w:szCs w:val="24"/>
        </w:rPr>
        <w:t xml:space="preserve"> (pp. 1768-1775). IEEE.</w:t>
      </w:r>
    </w:p>
    <w:p w14:paraId="5B809C0B"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Lima, G. (2021). Necessary Steps to Accelerate the Integration of Wearable Sensors Into Recreation and Competitive Sports. </w:t>
      </w:r>
      <w:r>
        <w:rPr>
          <w:rFonts w:ascii="Times New Roman" w:eastAsia="Times New Roman" w:hAnsi="Times New Roman" w:cs="Times New Roman"/>
          <w:i/>
          <w:color w:val="000000"/>
          <w:sz w:val="24"/>
          <w:szCs w:val="24"/>
        </w:rPr>
        <w:t>Current sports medicine reports</w:t>
      </w:r>
      <w:r>
        <w:rPr>
          <w:rFonts w:ascii="Times New Roman" w:eastAsia="Times New Roman" w:hAnsi="Times New Roman" w:cs="Times New Roman"/>
          <w:color w:val="000000"/>
          <w:sz w:val="24"/>
          <w:szCs w:val="24"/>
        </w:rPr>
        <w:t>.</w:t>
      </w:r>
    </w:p>
    <w:p w14:paraId="6FEF2B88"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Manyazewal</w:t>
      </w:r>
      <w:proofErr w:type="spellEnd"/>
      <w:r>
        <w:rPr>
          <w:rFonts w:ascii="Times New Roman" w:eastAsia="Times New Roman" w:hAnsi="Times New Roman" w:cs="Times New Roman"/>
          <w:color w:val="000000"/>
          <w:sz w:val="24"/>
          <w:szCs w:val="24"/>
        </w:rPr>
        <w:t xml:space="preserve">, T., </w:t>
      </w:r>
      <w:proofErr w:type="spellStart"/>
      <w:r>
        <w:rPr>
          <w:rFonts w:ascii="Times New Roman" w:eastAsia="Times New Roman" w:hAnsi="Times New Roman" w:cs="Times New Roman"/>
          <w:color w:val="000000"/>
          <w:sz w:val="24"/>
          <w:szCs w:val="24"/>
        </w:rPr>
        <w:t>Woldeamanuel</w:t>
      </w:r>
      <w:proofErr w:type="spellEnd"/>
      <w:r>
        <w:rPr>
          <w:rFonts w:ascii="Times New Roman" w:eastAsia="Times New Roman" w:hAnsi="Times New Roman" w:cs="Times New Roman"/>
          <w:color w:val="000000"/>
          <w:sz w:val="24"/>
          <w:szCs w:val="24"/>
        </w:rPr>
        <w:t xml:space="preserve">, Y., Blumberg, H.M., </w:t>
      </w:r>
      <w:proofErr w:type="spellStart"/>
      <w:r>
        <w:rPr>
          <w:rFonts w:ascii="Times New Roman" w:eastAsia="Times New Roman" w:hAnsi="Times New Roman" w:cs="Times New Roman"/>
          <w:color w:val="000000"/>
          <w:sz w:val="24"/>
          <w:szCs w:val="24"/>
        </w:rPr>
        <w:t>Fekadu</w:t>
      </w:r>
      <w:proofErr w:type="spellEnd"/>
      <w:r>
        <w:rPr>
          <w:rFonts w:ascii="Times New Roman" w:eastAsia="Times New Roman" w:hAnsi="Times New Roman" w:cs="Times New Roman"/>
          <w:color w:val="000000"/>
          <w:sz w:val="24"/>
          <w:szCs w:val="24"/>
        </w:rPr>
        <w:t xml:space="preserve">, A. and Marconi, V.C. (2021). The potential use of digital health technologies in the African context: a systematic review of evidence from Ethiopia. </w:t>
      </w:r>
      <w:r>
        <w:rPr>
          <w:rFonts w:ascii="Times New Roman" w:eastAsia="Times New Roman" w:hAnsi="Times New Roman" w:cs="Times New Roman"/>
          <w:i/>
          <w:color w:val="000000"/>
          <w:sz w:val="24"/>
          <w:szCs w:val="24"/>
        </w:rPr>
        <w:t>NPJ digital medicine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w:t>
      </w:r>
      <w:r>
        <w:rPr>
          <w:rFonts w:ascii="Times New Roman" w:eastAsia="Times New Roman" w:hAnsi="Times New Roman" w:cs="Times New Roman"/>
          <w:color w:val="000000"/>
          <w:sz w:val="24"/>
          <w:szCs w:val="24"/>
        </w:rPr>
        <w:t>(1), p.125.</w:t>
      </w:r>
    </w:p>
    <w:p w14:paraId="456602EE"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Mukati</w:t>
      </w:r>
      <w:proofErr w:type="spellEnd"/>
      <w:r>
        <w:rPr>
          <w:rFonts w:ascii="Times New Roman" w:eastAsia="Times New Roman" w:hAnsi="Times New Roman" w:cs="Times New Roman"/>
          <w:color w:val="000000"/>
          <w:sz w:val="24"/>
          <w:szCs w:val="24"/>
        </w:rPr>
        <w:t xml:space="preserve">, N., </w:t>
      </w:r>
      <w:proofErr w:type="spellStart"/>
      <w:r>
        <w:rPr>
          <w:rFonts w:ascii="Times New Roman" w:eastAsia="Times New Roman" w:hAnsi="Times New Roman" w:cs="Times New Roman"/>
          <w:color w:val="000000"/>
          <w:sz w:val="24"/>
          <w:szCs w:val="24"/>
        </w:rPr>
        <w:t>Namdev</w:t>
      </w:r>
      <w:proofErr w:type="spellEnd"/>
      <w:r>
        <w:rPr>
          <w:rFonts w:ascii="Times New Roman" w:eastAsia="Times New Roman" w:hAnsi="Times New Roman" w:cs="Times New Roman"/>
          <w:color w:val="000000"/>
          <w:sz w:val="24"/>
          <w:szCs w:val="24"/>
        </w:rPr>
        <w:t xml:space="preserve">, N., </w:t>
      </w:r>
      <w:proofErr w:type="spellStart"/>
      <w:r>
        <w:rPr>
          <w:rFonts w:ascii="Times New Roman" w:eastAsia="Times New Roman" w:hAnsi="Times New Roman" w:cs="Times New Roman"/>
          <w:color w:val="000000"/>
          <w:sz w:val="24"/>
          <w:szCs w:val="24"/>
        </w:rPr>
        <w:t>Dilip</w:t>
      </w:r>
      <w:proofErr w:type="spellEnd"/>
      <w:r>
        <w:rPr>
          <w:rFonts w:ascii="Times New Roman" w:eastAsia="Times New Roman" w:hAnsi="Times New Roman" w:cs="Times New Roman"/>
          <w:color w:val="000000"/>
          <w:sz w:val="24"/>
          <w:szCs w:val="24"/>
        </w:rPr>
        <w:t xml:space="preserve">, R., </w:t>
      </w:r>
      <w:proofErr w:type="spellStart"/>
      <w:r>
        <w:rPr>
          <w:rFonts w:ascii="Times New Roman" w:eastAsia="Times New Roman" w:hAnsi="Times New Roman" w:cs="Times New Roman"/>
          <w:color w:val="000000"/>
          <w:sz w:val="24"/>
          <w:szCs w:val="24"/>
        </w:rPr>
        <w:t>Hemalatha</w:t>
      </w:r>
      <w:proofErr w:type="spellEnd"/>
      <w:r>
        <w:rPr>
          <w:rFonts w:ascii="Times New Roman" w:eastAsia="Times New Roman" w:hAnsi="Times New Roman" w:cs="Times New Roman"/>
          <w:color w:val="000000"/>
          <w:sz w:val="24"/>
          <w:szCs w:val="24"/>
        </w:rPr>
        <w:t xml:space="preserve">, N., </w:t>
      </w:r>
      <w:proofErr w:type="spellStart"/>
      <w:r>
        <w:rPr>
          <w:rFonts w:ascii="Times New Roman" w:eastAsia="Times New Roman" w:hAnsi="Times New Roman" w:cs="Times New Roman"/>
          <w:color w:val="000000"/>
          <w:sz w:val="24"/>
          <w:szCs w:val="24"/>
        </w:rPr>
        <w:t>Dhiman</w:t>
      </w:r>
      <w:proofErr w:type="spellEnd"/>
      <w:r>
        <w:rPr>
          <w:rFonts w:ascii="Times New Roman" w:eastAsia="Times New Roman" w:hAnsi="Times New Roman" w:cs="Times New Roman"/>
          <w:color w:val="000000"/>
          <w:sz w:val="24"/>
          <w:szCs w:val="24"/>
        </w:rPr>
        <w:t xml:space="preserve">, V. and </w:t>
      </w:r>
      <w:proofErr w:type="spellStart"/>
      <w:r>
        <w:rPr>
          <w:rFonts w:ascii="Times New Roman" w:eastAsia="Times New Roman" w:hAnsi="Times New Roman" w:cs="Times New Roman"/>
          <w:color w:val="000000"/>
          <w:sz w:val="24"/>
          <w:szCs w:val="24"/>
        </w:rPr>
        <w:t>Sahu</w:t>
      </w:r>
      <w:proofErr w:type="spellEnd"/>
      <w:r>
        <w:rPr>
          <w:rFonts w:ascii="Times New Roman" w:eastAsia="Times New Roman" w:hAnsi="Times New Roman" w:cs="Times New Roman"/>
          <w:color w:val="000000"/>
          <w:sz w:val="24"/>
          <w:szCs w:val="24"/>
        </w:rPr>
        <w:t>, B. (2023). Healthcare assistance to COVID-19 patient using internet of things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xml:space="preserve">) enabled technologies. </w:t>
      </w:r>
      <w:r>
        <w:rPr>
          <w:rFonts w:ascii="Times New Roman" w:eastAsia="Times New Roman" w:hAnsi="Times New Roman" w:cs="Times New Roman"/>
          <w:i/>
          <w:color w:val="000000"/>
          <w:sz w:val="24"/>
          <w:szCs w:val="24"/>
        </w:rPr>
        <w:t>Materials today: proceedings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80</w:t>
      </w:r>
      <w:r>
        <w:rPr>
          <w:rFonts w:ascii="Times New Roman" w:eastAsia="Times New Roman" w:hAnsi="Times New Roman" w:cs="Times New Roman"/>
          <w:color w:val="000000"/>
          <w:sz w:val="24"/>
          <w:szCs w:val="24"/>
        </w:rPr>
        <w:t>, pp.3777-3781.</w:t>
      </w:r>
    </w:p>
    <w:p w14:paraId="758B4E55"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11111"/>
          <w:sz w:val="24"/>
          <w:szCs w:val="24"/>
        </w:rPr>
        <w:t xml:space="preserve">NCBI, (2025) </w:t>
      </w:r>
      <w:r>
        <w:rPr>
          <w:rFonts w:ascii="Times New Roman" w:eastAsia="Times New Roman" w:hAnsi="Times New Roman" w:cs="Times New Roman"/>
          <w:i/>
          <w:color w:val="000000"/>
          <w:sz w:val="24"/>
          <w:szCs w:val="24"/>
        </w:rPr>
        <w:t xml:space="preserve">Medical and nursing clinician perspectives on the usability of the hospital electronic medical record: A qualitative analysis. </w:t>
      </w:r>
      <w:r>
        <w:rPr>
          <w:rFonts w:ascii="Times New Roman" w:eastAsia="Times New Roman" w:hAnsi="Times New Roman" w:cs="Times New Roman"/>
          <w:color w:val="000000"/>
          <w:sz w:val="24"/>
          <w:szCs w:val="24"/>
        </w:rPr>
        <w:t xml:space="preserve">[Online]. Available at: </w:t>
      </w:r>
      <w:hyperlink r:id="rId14">
        <w:r>
          <w:rPr>
            <w:rFonts w:ascii="Times New Roman" w:eastAsia="Times New Roman" w:hAnsi="Times New Roman" w:cs="Times New Roman"/>
            <w:color w:val="1155CC"/>
            <w:sz w:val="24"/>
            <w:szCs w:val="24"/>
            <w:u w:val="single"/>
          </w:rPr>
          <w:t>https://pmc.ncbi.nlm.nih.gov/articles/PMC11401339/</w:t>
        </w:r>
      </w:hyperlink>
      <w:r>
        <w:rPr>
          <w:rFonts w:ascii="Times New Roman" w:eastAsia="Times New Roman" w:hAnsi="Times New Roman" w:cs="Times New Roman"/>
          <w:color w:val="000000"/>
          <w:sz w:val="24"/>
          <w:szCs w:val="24"/>
        </w:rPr>
        <w:t xml:space="preserve"> [Accessed On: 24/09/2025]</w:t>
      </w:r>
    </w:p>
    <w:p w14:paraId="7C4905F7"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111111"/>
          <w:sz w:val="24"/>
          <w:szCs w:val="24"/>
        </w:rPr>
        <w:t>ScienceDirect</w:t>
      </w:r>
      <w:proofErr w:type="spellEnd"/>
      <w:r>
        <w:rPr>
          <w:rFonts w:ascii="Times New Roman" w:eastAsia="Times New Roman" w:hAnsi="Times New Roman" w:cs="Times New Roman"/>
          <w:color w:val="111111"/>
          <w:sz w:val="24"/>
          <w:szCs w:val="24"/>
        </w:rPr>
        <w:t xml:space="preserve">, (2024) </w:t>
      </w:r>
      <w:r>
        <w:rPr>
          <w:rFonts w:ascii="Times New Roman" w:eastAsia="Times New Roman" w:hAnsi="Times New Roman" w:cs="Times New Roman"/>
          <w:i/>
          <w:color w:val="000000"/>
          <w:sz w:val="24"/>
          <w:szCs w:val="24"/>
        </w:rPr>
        <w:t xml:space="preserve">Stakeholder theory. </w:t>
      </w:r>
      <w:r>
        <w:rPr>
          <w:rFonts w:ascii="Times New Roman" w:eastAsia="Times New Roman" w:hAnsi="Times New Roman" w:cs="Times New Roman"/>
          <w:color w:val="000000"/>
          <w:sz w:val="24"/>
          <w:szCs w:val="24"/>
        </w:rPr>
        <w:t xml:space="preserve">[Online]. Available at: </w:t>
      </w:r>
      <w:hyperlink r:id="rId15">
        <w:r>
          <w:rPr>
            <w:rFonts w:ascii="Times New Roman" w:eastAsia="Times New Roman" w:hAnsi="Times New Roman" w:cs="Times New Roman"/>
            <w:color w:val="1155CC"/>
            <w:sz w:val="24"/>
            <w:szCs w:val="24"/>
            <w:u w:val="single"/>
          </w:rPr>
          <w:t>https://www.sciencedirect.com/science/article/pii/S0148296323004629</w:t>
        </w:r>
      </w:hyperlink>
      <w:r>
        <w:rPr>
          <w:rFonts w:ascii="Times New Roman" w:eastAsia="Times New Roman" w:hAnsi="Times New Roman" w:cs="Times New Roman"/>
          <w:color w:val="000000"/>
          <w:sz w:val="24"/>
          <w:szCs w:val="24"/>
        </w:rPr>
        <w:t xml:space="preserve"> [Accessed On: 24/09/2025]</w:t>
      </w:r>
    </w:p>
    <w:p w14:paraId="1876D4EF"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Singh, S. and Kaur, H. (2024). Intelligent Development in Healthcare With the Internet. In </w:t>
      </w:r>
      <w:r>
        <w:rPr>
          <w:rFonts w:ascii="Times New Roman" w:eastAsia="Times New Roman" w:hAnsi="Times New Roman" w:cs="Times New Roman"/>
          <w:i/>
          <w:color w:val="000000"/>
          <w:sz w:val="24"/>
          <w:szCs w:val="24"/>
        </w:rPr>
        <w:t xml:space="preserve">Computational Intelligence and </w:t>
      </w:r>
      <w:proofErr w:type="spellStart"/>
      <w:r>
        <w:rPr>
          <w:rFonts w:ascii="Times New Roman" w:eastAsia="Times New Roman" w:hAnsi="Times New Roman" w:cs="Times New Roman"/>
          <w:i/>
          <w:color w:val="000000"/>
          <w:sz w:val="24"/>
          <w:szCs w:val="24"/>
        </w:rPr>
        <w:t>Blockchain</w:t>
      </w:r>
      <w:proofErr w:type="spellEnd"/>
      <w:r>
        <w:rPr>
          <w:rFonts w:ascii="Times New Roman" w:eastAsia="Times New Roman" w:hAnsi="Times New Roman" w:cs="Times New Roman"/>
          <w:i/>
          <w:color w:val="000000"/>
          <w:sz w:val="24"/>
          <w:szCs w:val="24"/>
        </w:rPr>
        <w:t xml:space="preserve"> in Biomedical and Health Informatics</w:t>
      </w:r>
      <w:r>
        <w:rPr>
          <w:rFonts w:ascii="Times New Roman" w:eastAsia="Times New Roman" w:hAnsi="Times New Roman" w:cs="Times New Roman"/>
          <w:color w:val="000000"/>
          <w:sz w:val="24"/>
          <w:szCs w:val="24"/>
        </w:rPr>
        <w:t xml:space="preserve"> (pp. 169-185). CRC Press.</w:t>
      </w:r>
    </w:p>
    <w:p w14:paraId="21D3A693"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Suhail</w:t>
      </w:r>
      <w:proofErr w:type="spellEnd"/>
      <w:r>
        <w:rPr>
          <w:rFonts w:ascii="Times New Roman" w:eastAsia="Times New Roman" w:hAnsi="Times New Roman" w:cs="Times New Roman"/>
          <w:color w:val="000000"/>
          <w:sz w:val="24"/>
          <w:szCs w:val="24"/>
        </w:rPr>
        <w:t xml:space="preserve">, I. and Pillai, S. (2022), March.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xml:space="preserve"> enabled applications for Healthcare decisions. In </w:t>
      </w:r>
      <w:r>
        <w:rPr>
          <w:rFonts w:ascii="Times New Roman" w:eastAsia="Times New Roman" w:hAnsi="Times New Roman" w:cs="Times New Roman"/>
          <w:i/>
          <w:color w:val="000000"/>
          <w:sz w:val="24"/>
          <w:szCs w:val="24"/>
        </w:rPr>
        <w:t>2022 International Conference on Decision Aid Sciences and Applications (DASA)</w:t>
      </w:r>
      <w:r>
        <w:rPr>
          <w:rFonts w:ascii="Times New Roman" w:eastAsia="Times New Roman" w:hAnsi="Times New Roman" w:cs="Times New Roman"/>
          <w:color w:val="000000"/>
          <w:sz w:val="24"/>
          <w:szCs w:val="24"/>
        </w:rPr>
        <w:t xml:space="preserve"> (pp. 47-54). IEEE.</w:t>
      </w:r>
    </w:p>
    <w:p w14:paraId="4FAA0F65"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Thakare</w:t>
      </w:r>
      <w:proofErr w:type="spellEnd"/>
      <w:r>
        <w:rPr>
          <w:rFonts w:ascii="Times New Roman" w:eastAsia="Times New Roman" w:hAnsi="Times New Roman" w:cs="Times New Roman"/>
          <w:color w:val="000000"/>
          <w:sz w:val="24"/>
          <w:szCs w:val="24"/>
        </w:rPr>
        <w:t xml:space="preserve">, V. and </w:t>
      </w:r>
      <w:proofErr w:type="spellStart"/>
      <w:r>
        <w:rPr>
          <w:rFonts w:ascii="Times New Roman" w:eastAsia="Times New Roman" w:hAnsi="Times New Roman" w:cs="Times New Roman"/>
          <w:color w:val="000000"/>
          <w:sz w:val="24"/>
          <w:szCs w:val="24"/>
        </w:rPr>
        <w:t>Verma</w:t>
      </w:r>
      <w:proofErr w:type="spellEnd"/>
      <w:r>
        <w:rPr>
          <w:rFonts w:ascii="Times New Roman" w:eastAsia="Times New Roman" w:hAnsi="Times New Roman" w:cs="Times New Roman"/>
          <w:color w:val="000000"/>
          <w:sz w:val="24"/>
          <w:szCs w:val="24"/>
        </w:rPr>
        <w:t xml:space="preserve">, P. (2025), February. A Review on Applications of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xml:space="preserve"> in Healthcare. In </w:t>
      </w:r>
      <w:r>
        <w:rPr>
          <w:rFonts w:ascii="Times New Roman" w:eastAsia="Times New Roman" w:hAnsi="Times New Roman" w:cs="Times New Roman"/>
          <w:i/>
          <w:color w:val="000000"/>
          <w:sz w:val="24"/>
          <w:szCs w:val="24"/>
        </w:rPr>
        <w:t>2025 International Conference on Electronics and Renewable Systems (ICEARS)</w:t>
      </w:r>
      <w:r>
        <w:rPr>
          <w:rFonts w:ascii="Times New Roman" w:eastAsia="Times New Roman" w:hAnsi="Times New Roman" w:cs="Times New Roman"/>
          <w:color w:val="000000"/>
          <w:sz w:val="24"/>
          <w:szCs w:val="24"/>
        </w:rPr>
        <w:t xml:space="preserve"> (pp. 793-798). IEEE.</w:t>
      </w:r>
    </w:p>
    <w:p w14:paraId="4A1D8629"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Thakkar, H.K., Chowdhury, S.R., </w:t>
      </w:r>
      <w:proofErr w:type="spellStart"/>
      <w:r>
        <w:rPr>
          <w:rFonts w:ascii="Times New Roman" w:eastAsia="Times New Roman" w:hAnsi="Times New Roman" w:cs="Times New Roman"/>
          <w:color w:val="000000"/>
          <w:sz w:val="24"/>
          <w:szCs w:val="24"/>
        </w:rPr>
        <w:t>Bhoi</w:t>
      </w:r>
      <w:proofErr w:type="spellEnd"/>
      <w:r>
        <w:rPr>
          <w:rFonts w:ascii="Times New Roman" w:eastAsia="Times New Roman" w:hAnsi="Times New Roman" w:cs="Times New Roman"/>
          <w:color w:val="000000"/>
          <w:sz w:val="24"/>
          <w:szCs w:val="24"/>
        </w:rPr>
        <w:t xml:space="preserve">, A.K. and </w:t>
      </w:r>
      <w:proofErr w:type="spellStart"/>
      <w:r>
        <w:rPr>
          <w:rFonts w:ascii="Times New Roman" w:eastAsia="Times New Roman" w:hAnsi="Times New Roman" w:cs="Times New Roman"/>
          <w:color w:val="000000"/>
          <w:sz w:val="24"/>
          <w:szCs w:val="24"/>
        </w:rPr>
        <w:t>Barsocchi</w:t>
      </w:r>
      <w:proofErr w:type="spellEnd"/>
      <w:r>
        <w:rPr>
          <w:rFonts w:ascii="Times New Roman" w:eastAsia="Times New Roman" w:hAnsi="Times New Roman" w:cs="Times New Roman"/>
          <w:color w:val="000000"/>
          <w:sz w:val="24"/>
          <w:szCs w:val="24"/>
        </w:rPr>
        <w:t xml:space="preserve">, P. (2022). Applications of wearable technologies in healthcare: An analytical study. In </w:t>
      </w:r>
      <w:r>
        <w:rPr>
          <w:rFonts w:ascii="Times New Roman" w:eastAsia="Times New Roman" w:hAnsi="Times New Roman" w:cs="Times New Roman"/>
          <w:i/>
          <w:color w:val="000000"/>
          <w:sz w:val="24"/>
          <w:szCs w:val="24"/>
        </w:rPr>
        <w:t xml:space="preserve">5G </w:t>
      </w:r>
      <w:proofErr w:type="spellStart"/>
      <w:r>
        <w:rPr>
          <w:rFonts w:ascii="Times New Roman" w:eastAsia="Times New Roman" w:hAnsi="Times New Roman" w:cs="Times New Roman"/>
          <w:i/>
          <w:color w:val="000000"/>
          <w:sz w:val="24"/>
          <w:szCs w:val="24"/>
        </w:rPr>
        <w:t>IoT</w:t>
      </w:r>
      <w:proofErr w:type="spellEnd"/>
      <w:r>
        <w:rPr>
          <w:rFonts w:ascii="Times New Roman" w:eastAsia="Times New Roman" w:hAnsi="Times New Roman" w:cs="Times New Roman"/>
          <w:i/>
          <w:color w:val="000000"/>
          <w:sz w:val="24"/>
          <w:szCs w:val="24"/>
        </w:rPr>
        <w:t xml:space="preserve"> and edge computing for smart healthcare</w:t>
      </w:r>
      <w:r>
        <w:rPr>
          <w:rFonts w:ascii="Times New Roman" w:eastAsia="Times New Roman" w:hAnsi="Times New Roman" w:cs="Times New Roman"/>
          <w:color w:val="000000"/>
          <w:sz w:val="24"/>
          <w:szCs w:val="24"/>
        </w:rPr>
        <w:t xml:space="preserve"> (pp. 279-299). Academic Press.</w:t>
      </w:r>
    </w:p>
    <w:p w14:paraId="69B09F05"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Umair</w:t>
      </w:r>
      <w:proofErr w:type="spellEnd"/>
      <w:r>
        <w:rPr>
          <w:rFonts w:ascii="Times New Roman" w:eastAsia="Times New Roman" w:hAnsi="Times New Roman" w:cs="Times New Roman"/>
          <w:color w:val="000000"/>
          <w:sz w:val="24"/>
          <w:szCs w:val="24"/>
        </w:rPr>
        <w:t xml:space="preserve">, M., Cheema, M.A., Cheema, O., Li, H. and Lu, H. (2021). Impact of COVID-19 on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xml:space="preserve"> adoption in healthcare, smart homes, smart buildings, smart cities, transportation and industrial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Sensors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21</w:t>
      </w:r>
      <w:r>
        <w:rPr>
          <w:rFonts w:ascii="Times New Roman" w:eastAsia="Times New Roman" w:hAnsi="Times New Roman" w:cs="Times New Roman"/>
          <w:color w:val="000000"/>
          <w:sz w:val="24"/>
          <w:szCs w:val="24"/>
        </w:rPr>
        <w:t>(11), p.3838.</w:t>
      </w:r>
    </w:p>
    <w:p w14:paraId="37D171A3"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Vodafone, (2025). Vodafone annual report. [Online]. Available at: </w:t>
      </w:r>
      <w:hyperlink r:id="rId16">
        <w:r>
          <w:rPr>
            <w:rFonts w:ascii="Times New Roman" w:eastAsia="Times New Roman" w:hAnsi="Times New Roman" w:cs="Times New Roman"/>
            <w:color w:val="1155CC"/>
            <w:sz w:val="24"/>
            <w:szCs w:val="24"/>
            <w:u w:val="single"/>
          </w:rPr>
          <w:t>https://reports.investors.vodafone.com/view/897876789</w:t>
        </w:r>
      </w:hyperlink>
      <w:r>
        <w:rPr>
          <w:rFonts w:ascii="Times New Roman" w:eastAsia="Times New Roman" w:hAnsi="Times New Roman" w:cs="Times New Roman"/>
          <w:color w:val="000000"/>
          <w:sz w:val="24"/>
          <w:szCs w:val="24"/>
        </w:rPr>
        <w:t xml:space="preserve"> [Accessed on: 23/09/2025]</w:t>
      </w:r>
    </w:p>
    <w:p w14:paraId="7901467D"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Yathiraju</w:t>
      </w:r>
      <w:proofErr w:type="spellEnd"/>
      <w:r>
        <w:rPr>
          <w:rFonts w:ascii="Times New Roman" w:eastAsia="Times New Roman" w:hAnsi="Times New Roman" w:cs="Times New Roman"/>
          <w:color w:val="000000"/>
          <w:sz w:val="24"/>
          <w:szCs w:val="24"/>
        </w:rPr>
        <w:t xml:space="preserve">, N. and </w:t>
      </w:r>
      <w:proofErr w:type="spellStart"/>
      <w:r>
        <w:rPr>
          <w:rFonts w:ascii="Times New Roman" w:eastAsia="Times New Roman" w:hAnsi="Times New Roman" w:cs="Times New Roman"/>
          <w:color w:val="000000"/>
          <w:sz w:val="24"/>
          <w:szCs w:val="24"/>
        </w:rPr>
        <w:t>Mohapatra</w:t>
      </w:r>
      <w:proofErr w:type="spellEnd"/>
      <w:r>
        <w:rPr>
          <w:rFonts w:ascii="Times New Roman" w:eastAsia="Times New Roman" w:hAnsi="Times New Roman" w:cs="Times New Roman"/>
          <w:color w:val="000000"/>
          <w:sz w:val="24"/>
          <w:szCs w:val="24"/>
        </w:rPr>
        <w:t xml:space="preserve">, A. (2023). The Implications of </w:t>
      </w:r>
      <w:proofErr w:type="spellStart"/>
      <w:r>
        <w:rPr>
          <w:rFonts w:ascii="Times New Roman" w:eastAsia="Times New Roman" w:hAnsi="Times New Roman" w:cs="Times New Roman"/>
          <w:color w:val="000000"/>
          <w:sz w:val="24"/>
          <w:szCs w:val="24"/>
        </w:rPr>
        <w:t>IoT</w:t>
      </w:r>
      <w:proofErr w:type="spellEnd"/>
      <w:r>
        <w:rPr>
          <w:rFonts w:ascii="Times New Roman" w:eastAsia="Times New Roman" w:hAnsi="Times New Roman" w:cs="Times New Roman"/>
          <w:color w:val="000000"/>
          <w:sz w:val="24"/>
          <w:szCs w:val="24"/>
        </w:rPr>
        <w:t xml:space="preserve"> in the Modern Healthcare Industry post COVID-19. </w:t>
      </w:r>
      <w:r>
        <w:rPr>
          <w:rFonts w:ascii="Times New Roman" w:eastAsia="Times New Roman" w:hAnsi="Times New Roman" w:cs="Times New Roman"/>
          <w:i/>
          <w:color w:val="000000"/>
          <w:sz w:val="24"/>
          <w:szCs w:val="24"/>
        </w:rPr>
        <w:t xml:space="preserve">International Journal of Smart Sensor and </w:t>
      </w:r>
      <w:proofErr w:type="spellStart"/>
      <w:r>
        <w:rPr>
          <w:rFonts w:ascii="Times New Roman" w:eastAsia="Times New Roman" w:hAnsi="Times New Roman" w:cs="Times New Roman"/>
          <w:i/>
          <w:color w:val="000000"/>
          <w:sz w:val="24"/>
          <w:szCs w:val="24"/>
        </w:rPr>
        <w:t>Adhoc</w:t>
      </w:r>
      <w:proofErr w:type="spellEnd"/>
      <w:r>
        <w:rPr>
          <w:rFonts w:ascii="Times New Roman" w:eastAsia="Times New Roman" w:hAnsi="Times New Roman" w:cs="Times New Roman"/>
          <w:i/>
          <w:color w:val="000000"/>
          <w:sz w:val="24"/>
          <w:szCs w:val="24"/>
        </w:rPr>
        <w:t xml:space="preserve"> Network</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w:t>
      </w:r>
      <w:r>
        <w:rPr>
          <w:rFonts w:ascii="Times New Roman" w:eastAsia="Times New Roman" w:hAnsi="Times New Roman" w:cs="Times New Roman"/>
          <w:color w:val="000000"/>
          <w:sz w:val="24"/>
          <w:szCs w:val="24"/>
        </w:rPr>
        <w:t>(4).</w:t>
      </w:r>
    </w:p>
    <w:p w14:paraId="40FA262B"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Zehrung</w:t>
      </w:r>
      <w:proofErr w:type="spellEnd"/>
      <w:r>
        <w:rPr>
          <w:rFonts w:ascii="Times New Roman" w:eastAsia="Times New Roman" w:hAnsi="Times New Roman" w:cs="Times New Roman"/>
          <w:color w:val="000000"/>
          <w:sz w:val="24"/>
          <w:szCs w:val="24"/>
        </w:rPr>
        <w:t xml:space="preserve">, R., Huang, L., Lee, B. and </w:t>
      </w:r>
      <w:proofErr w:type="spellStart"/>
      <w:r>
        <w:rPr>
          <w:rFonts w:ascii="Times New Roman" w:eastAsia="Times New Roman" w:hAnsi="Times New Roman" w:cs="Times New Roman"/>
          <w:color w:val="000000"/>
          <w:sz w:val="24"/>
          <w:szCs w:val="24"/>
        </w:rPr>
        <w:t>Choe</w:t>
      </w:r>
      <w:proofErr w:type="spellEnd"/>
      <w:r>
        <w:rPr>
          <w:rFonts w:ascii="Times New Roman" w:eastAsia="Times New Roman" w:hAnsi="Times New Roman" w:cs="Times New Roman"/>
          <w:color w:val="000000"/>
          <w:sz w:val="24"/>
          <w:szCs w:val="24"/>
        </w:rPr>
        <w:t xml:space="preserve">, E.K. (2021). Investigating opportunities to support kids' agency and well-being: a review of kids' wearables. </w:t>
      </w:r>
      <w:proofErr w:type="spellStart"/>
      <w:r>
        <w:rPr>
          <w:rFonts w:ascii="Times New Roman" w:eastAsia="Times New Roman" w:hAnsi="Times New Roman" w:cs="Times New Roman"/>
          <w:i/>
          <w:color w:val="000000"/>
          <w:sz w:val="24"/>
          <w:szCs w:val="24"/>
        </w:rPr>
        <w:t>arXiv</w:t>
      </w:r>
      <w:proofErr w:type="spellEnd"/>
      <w:r>
        <w:rPr>
          <w:rFonts w:ascii="Times New Roman" w:eastAsia="Times New Roman" w:hAnsi="Times New Roman" w:cs="Times New Roman"/>
          <w:i/>
          <w:color w:val="000000"/>
          <w:sz w:val="24"/>
          <w:szCs w:val="24"/>
        </w:rPr>
        <w:t xml:space="preserve"> preprint arXiv:2104.05979</w:t>
      </w:r>
      <w:r>
        <w:rPr>
          <w:rFonts w:ascii="Times New Roman" w:eastAsia="Times New Roman" w:hAnsi="Times New Roman" w:cs="Times New Roman"/>
          <w:color w:val="000000"/>
          <w:sz w:val="24"/>
          <w:szCs w:val="24"/>
        </w:rPr>
        <w:t>.</w:t>
      </w:r>
    </w:p>
    <w:p w14:paraId="579703BB" w14:textId="77777777" w:rsidR="002627AD" w:rsidRDefault="000214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Zobaed</w:t>
      </w:r>
      <w:proofErr w:type="spellEnd"/>
      <w:r>
        <w:rPr>
          <w:rFonts w:ascii="Times New Roman" w:eastAsia="Times New Roman" w:hAnsi="Times New Roman" w:cs="Times New Roman"/>
          <w:color w:val="000000"/>
          <w:sz w:val="24"/>
          <w:szCs w:val="24"/>
        </w:rPr>
        <w:t xml:space="preserve">, S.M., Hassan, M., Islam, M.U. and </w:t>
      </w:r>
      <w:proofErr w:type="spellStart"/>
      <w:r>
        <w:rPr>
          <w:rFonts w:ascii="Times New Roman" w:eastAsia="Times New Roman" w:hAnsi="Times New Roman" w:cs="Times New Roman"/>
          <w:color w:val="000000"/>
          <w:sz w:val="24"/>
          <w:szCs w:val="24"/>
        </w:rPr>
        <w:t>Haque</w:t>
      </w:r>
      <w:proofErr w:type="spellEnd"/>
      <w:r>
        <w:rPr>
          <w:rFonts w:ascii="Times New Roman" w:eastAsia="Times New Roman" w:hAnsi="Times New Roman" w:cs="Times New Roman"/>
          <w:color w:val="000000"/>
          <w:sz w:val="24"/>
          <w:szCs w:val="24"/>
        </w:rPr>
        <w:t xml:space="preserve">, M.E. (2021). Deep learning in IOT-based healthcare applications. In </w:t>
      </w:r>
      <w:r>
        <w:rPr>
          <w:rFonts w:ascii="Times New Roman" w:eastAsia="Times New Roman" w:hAnsi="Times New Roman" w:cs="Times New Roman"/>
          <w:i/>
          <w:color w:val="000000"/>
          <w:sz w:val="24"/>
          <w:szCs w:val="24"/>
        </w:rPr>
        <w:t>Deep Learning for Internet of Things Infrastructure</w:t>
      </w:r>
      <w:r>
        <w:rPr>
          <w:rFonts w:ascii="Times New Roman" w:eastAsia="Times New Roman" w:hAnsi="Times New Roman" w:cs="Times New Roman"/>
          <w:color w:val="000000"/>
          <w:sz w:val="24"/>
          <w:szCs w:val="24"/>
        </w:rPr>
        <w:t xml:space="preserve"> (pp. 183-200). CRC Press.</w:t>
      </w:r>
    </w:p>
    <w:p w14:paraId="5776FB0B" w14:textId="77777777" w:rsidR="002627AD" w:rsidRDefault="002627AD">
      <w:pPr>
        <w:pBdr>
          <w:top w:val="nil"/>
          <w:left w:val="nil"/>
          <w:bottom w:val="nil"/>
          <w:right w:val="nil"/>
          <w:between w:val="nil"/>
        </w:pBdr>
        <w:spacing w:line="360" w:lineRule="auto"/>
        <w:jc w:val="both"/>
        <w:rPr>
          <w:rFonts w:ascii="Times New Roman" w:eastAsia="Times New Roman" w:hAnsi="Times New Roman" w:cs="Times New Roman"/>
        </w:rPr>
      </w:pPr>
    </w:p>
    <w:sectPr w:rsidR="002627AD">
      <w:footerReference w:type="default" r:id="rId1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70A5E" w14:textId="77777777" w:rsidR="000214B4" w:rsidRDefault="000214B4">
      <w:pPr>
        <w:spacing w:line="240" w:lineRule="auto"/>
      </w:pPr>
      <w:r>
        <w:separator/>
      </w:r>
    </w:p>
  </w:endnote>
  <w:endnote w:type="continuationSeparator" w:id="0">
    <w:p w14:paraId="05DA1DFB" w14:textId="77777777" w:rsidR="000214B4" w:rsidRDefault="000214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roman"/>
    <w:pitch w:val="default"/>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F6E2B" w14:textId="77777777" w:rsidR="002627AD" w:rsidRDefault="000214B4">
    <w:pPr>
      <w:pBdr>
        <w:top w:val="nil"/>
        <w:left w:val="nil"/>
        <w:bottom w:val="nil"/>
        <w:right w:val="nil"/>
        <w:between w:val="nil"/>
      </w:pBdr>
      <w:jc w:val="right"/>
      <w:rPr>
        <w:rFonts w:ascii="Times New Roman" w:eastAsia="Times New Roman" w:hAnsi="Times New Roman" w:cs="Times New Roman"/>
        <w:b/>
        <w:color w:val="000000"/>
      </w:rPr>
    </w:pPr>
    <w:r>
      <w:rPr>
        <w:rFonts w:ascii="Times New Roman" w:eastAsia="Times New Roman" w:hAnsi="Times New Roman" w:cs="Times New Roman"/>
        <w:b/>
        <w:color w:val="000000"/>
      </w:rPr>
      <w:fldChar w:fldCharType="begin"/>
    </w:r>
    <w:r>
      <w:rPr>
        <w:rFonts w:ascii="Times New Roman" w:eastAsia="Times New Roman" w:hAnsi="Times New Roman" w:cs="Times New Roman"/>
        <w:b/>
        <w:color w:val="000000"/>
      </w:rPr>
      <w:instrText>PAGE</w:instrText>
    </w:r>
    <w:r>
      <w:rPr>
        <w:rFonts w:ascii="Times New Roman" w:eastAsia="Times New Roman" w:hAnsi="Times New Roman" w:cs="Times New Roman"/>
        <w:b/>
        <w:color w:val="000000"/>
      </w:rPr>
      <w:fldChar w:fldCharType="separate"/>
    </w:r>
    <w:r>
      <w:rPr>
        <w:rFonts w:ascii="Times New Roman" w:eastAsia="Times New Roman" w:hAnsi="Times New Roman" w:cs="Times New Roman"/>
        <w:b/>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F4193" w14:textId="77777777" w:rsidR="000214B4" w:rsidRDefault="000214B4">
      <w:pPr>
        <w:spacing w:line="240" w:lineRule="auto"/>
      </w:pPr>
      <w:r>
        <w:separator/>
      </w:r>
    </w:p>
  </w:footnote>
  <w:footnote w:type="continuationSeparator" w:id="0">
    <w:p w14:paraId="61136F03" w14:textId="77777777" w:rsidR="000214B4" w:rsidRDefault="000214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5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A7657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33074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45374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CE658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F0C46E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FE93E1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A29017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4781860">
    <w:abstractNumId w:val="4"/>
  </w:num>
  <w:num w:numId="2" w16cid:durableId="879587081">
    <w:abstractNumId w:val="1"/>
  </w:num>
  <w:num w:numId="3" w16cid:durableId="61296699">
    <w:abstractNumId w:val="6"/>
  </w:num>
  <w:num w:numId="4" w16cid:durableId="1706170380">
    <w:abstractNumId w:val="7"/>
  </w:num>
  <w:num w:numId="5" w16cid:durableId="1545097352">
    <w:abstractNumId w:val="3"/>
  </w:num>
  <w:num w:numId="6" w16cid:durableId="180751453">
    <w:abstractNumId w:val="0"/>
  </w:num>
  <w:num w:numId="7" w16cid:durableId="1292904555">
    <w:abstractNumId w:val="5"/>
  </w:num>
  <w:num w:numId="8" w16cid:durableId="15292907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7AD"/>
    <w:rsid w:val="000214B4"/>
    <w:rsid w:val="002627AD"/>
    <w:rsid w:val="00792CE9"/>
    <w:rsid w:val="00BB7BAA"/>
    <w:rsid w:val="00D700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3501BE16"/>
  <w15:docId w15:val="{6AE68632-327F-694D-AC9D-2DD558FA8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Titlu2">
    <w:name w:val="heading 2"/>
    <w:basedOn w:val="Normal"/>
    <w:next w:val="Normal"/>
    <w:uiPriority w:val="9"/>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Titlu3">
    <w:name w:val="heading 3"/>
    <w:basedOn w:val="Normal"/>
    <w:next w:val="Normal"/>
    <w:uiPriority w:val="9"/>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Titlu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rsid w:val="000D4561"/>
    <w:tblPr>
      <w:tblCellMar>
        <w:top w:w="100" w:type="dxa"/>
        <w:left w:w="100" w:type="dxa"/>
        <w:bottom w:w="100" w:type="dxa"/>
        <w:right w:w="100" w:type="dxa"/>
      </w:tblCellMar>
    </w:tblPr>
  </w:style>
  <w:style w:type="paragraph" w:customStyle="1" w:styleId="Normal1">
    <w:name w:val="Normal1"/>
    <w:rsid w:val="000D4561"/>
  </w:style>
  <w:style w:type="table" w:customStyle="1" w:styleId="a">
    <w:basedOn w:val="TableNormal1"/>
    <w:rsid w:val="000D4561"/>
    <w:tblPr>
      <w:tblStyleRowBandSize w:val="1"/>
      <w:tblStyleColBandSize w:val="1"/>
    </w:tblPr>
  </w:style>
  <w:style w:type="table" w:customStyle="1" w:styleId="a0">
    <w:basedOn w:val="TableNormal1"/>
    <w:rsid w:val="000D4561"/>
    <w:tblPr>
      <w:tblStyleRowBandSize w:val="1"/>
      <w:tblStyleColBandSize w:val="1"/>
    </w:tblPr>
  </w:style>
  <w:style w:type="table" w:customStyle="1" w:styleId="a1">
    <w:basedOn w:val="TableNormal1"/>
    <w:rsid w:val="000D4561"/>
    <w:tblPr>
      <w:tblStyleRowBandSize w:val="1"/>
      <w:tblStyleColBandSize w:val="1"/>
    </w:tblPr>
  </w:style>
  <w:style w:type="table" w:customStyle="1" w:styleId="a2">
    <w:basedOn w:val="TableNormal1"/>
    <w:rsid w:val="000D4561"/>
    <w:tblPr>
      <w:tblStyleRowBandSize w:val="1"/>
      <w:tblStyleColBandSize w:val="1"/>
    </w:tblPr>
  </w:style>
  <w:style w:type="table" w:customStyle="1" w:styleId="a3">
    <w:basedOn w:val="TableNormal1"/>
    <w:rsid w:val="000D4561"/>
    <w:tblPr>
      <w:tblStyleRowBandSize w:val="1"/>
      <w:tblStyleColBandSize w:val="1"/>
    </w:tblPr>
  </w:style>
  <w:style w:type="table" w:customStyle="1" w:styleId="a4">
    <w:basedOn w:val="TableNormal1"/>
    <w:rsid w:val="000D4561"/>
    <w:tblPr>
      <w:tblStyleRowBandSize w:val="1"/>
      <w:tblStyleColBandSize w:val="1"/>
    </w:tblPr>
  </w:style>
  <w:style w:type="table" w:customStyle="1" w:styleId="a5">
    <w:basedOn w:val="TableNormal1"/>
    <w:rsid w:val="000D4561"/>
    <w:tblPr>
      <w:tblStyleRowBandSize w:val="1"/>
      <w:tblStyleColBandSize w:val="1"/>
    </w:tblPr>
  </w:style>
  <w:style w:type="table" w:customStyle="1" w:styleId="a6">
    <w:basedOn w:val="TableNormal1"/>
    <w:rsid w:val="000D4561"/>
    <w:tblPr>
      <w:tblStyleRowBandSize w:val="1"/>
      <w:tblStyleColBandSize w:val="1"/>
    </w:tblPr>
  </w:style>
  <w:style w:type="paragraph" w:styleId="TextnBalon">
    <w:name w:val="Balloon Text"/>
    <w:basedOn w:val="Normal"/>
    <w:link w:val="TextnBalonCaracter"/>
    <w:uiPriority w:val="99"/>
    <w:semiHidden/>
    <w:unhideWhenUsed/>
    <w:rsid w:val="00BB1C20"/>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B1C20"/>
    <w:rPr>
      <w:rFonts w:ascii="Tahoma" w:hAnsi="Tahoma" w:cs="Tahoma"/>
      <w:sz w:val="16"/>
      <w:szCs w:val="16"/>
    </w:rPr>
  </w:style>
  <w:style w:type="character" w:styleId="Referincomentariu">
    <w:name w:val="annotation reference"/>
    <w:basedOn w:val="Fontdeparagrafimplicit"/>
    <w:uiPriority w:val="99"/>
    <w:semiHidden/>
    <w:unhideWhenUsed/>
    <w:rsid w:val="00466E7F"/>
    <w:rPr>
      <w:sz w:val="16"/>
      <w:szCs w:val="16"/>
    </w:rPr>
  </w:style>
  <w:style w:type="paragraph" w:styleId="Textcomentariu">
    <w:name w:val="annotation text"/>
    <w:basedOn w:val="Normal"/>
    <w:link w:val="TextcomentariuCaracter"/>
    <w:uiPriority w:val="99"/>
    <w:semiHidden/>
    <w:unhideWhenUsed/>
    <w:rsid w:val="00466E7F"/>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466E7F"/>
    <w:rPr>
      <w:sz w:val="20"/>
      <w:szCs w:val="20"/>
    </w:rPr>
  </w:style>
  <w:style w:type="paragraph" w:styleId="SubiectComentariu">
    <w:name w:val="annotation subject"/>
    <w:basedOn w:val="Textcomentariu"/>
    <w:next w:val="Textcomentariu"/>
    <w:link w:val="SubiectComentariuCaracter"/>
    <w:uiPriority w:val="99"/>
    <w:semiHidden/>
    <w:unhideWhenUsed/>
    <w:rsid w:val="00466E7F"/>
    <w:rPr>
      <w:b/>
      <w:bCs/>
    </w:rPr>
  </w:style>
  <w:style w:type="character" w:customStyle="1" w:styleId="SubiectComentariuCaracter">
    <w:name w:val="Subiect Comentariu Caracter"/>
    <w:basedOn w:val="TextcomentariuCaracter"/>
    <w:link w:val="SubiectComentariu"/>
    <w:uiPriority w:val="99"/>
    <w:semiHidden/>
    <w:rsid w:val="00466E7F"/>
    <w:rPr>
      <w:b/>
      <w:bCs/>
      <w:sz w:val="20"/>
      <w:szCs w:val="20"/>
    </w:rPr>
  </w:style>
  <w:style w:type="table" w:customStyle="1" w:styleId="a7">
    <w:basedOn w:val="TabelNormal"/>
    <w:tblPr>
      <w:tblStyleRowBandSize w:val="1"/>
      <w:tblStyleColBandSize w:val="1"/>
      <w:tblCellMar>
        <w:top w:w="100" w:type="dxa"/>
        <w:left w:w="100" w:type="dxa"/>
        <w:bottom w:w="100" w:type="dxa"/>
        <w:right w:w="100" w:type="dxa"/>
      </w:tblCellMar>
    </w:tblPr>
  </w:style>
  <w:style w:type="table" w:customStyle="1" w:styleId="a8">
    <w:basedOn w:val="TabelNormal"/>
    <w:tblPr>
      <w:tblStyleRowBandSize w:val="1"/>
      <w:tblStyleColBandSize w:val="1"/>
      <w:tblCellMar>
        <w:top w:w="100" w:type="dxa"/>
        <w:left w:w="100" w:type="dxa"/>
        <w:bottom w:w="100" w:type="dxa"/>
        <w:right w:w="100" w:type="dxa"/>
      </w:tblCellMar>
    </w:tblPr>
  </w:style>
  <w:style w:type="table" w:customStyle="1" w:styleId="a9">
    <w:basedOn w:val="TabelNormal"/>
    <w:tblPr>
      <w:tblStyleRowBandSize w:val="1"/>
      <w:tblStyleColBandSize w:val="1"/>
      <w:tblCellMar>
        <w:top w:w="100" w:type="dxa"/>
        <w:left w:w="100" w:type="dxa"/>
        <w:bottom w:w="100" w:type="dxa"/>
        <w:right w:w="100" w:type="dxa"/>
      </w:tblCellMar>
    </w:tblPr>
  </w:style>
  <w:style w:type="table" w:customStyle="1" w:styleId="aa">
    <w:basedOn w:val="TabelNormal"/>
    <w:tblPr>
      <w:tblStyleRowBandSize w:val="1"/>
      <w:tblStyleColBandSize w:val="1"/>
      <w:tblCellMar>
        <w:top w:w="100" w:type="dxa"/>
        <w:left w:w="100" w:type="dxa"/>
        <w:bottom w:w="100" w:type="dxa"/>
        <w:right w:w="100" w:type="dxa"/>
      </w:tblCellMar>
    </w:tblPr>
  </w:style>
  <w:style w:type="table" w:customStyle="1" w:styleId="ab">
    <w:basedOn w:val="TabelNormal"/>
    <w:tblPr>
      <w:tblStyleRowBandSize w:val="1"/>
      <w:tblStyleColBandSize w:val="1"/>
      <w:tblCellMar>
        <w:top w:w="100" w:type="dxa"/>
        <w:left w:w="100" w:type="dxa"/>
        <w:bottom w:w="100" w:type="dxa"/>
        <w:right w:w="100" w:type="dxa"/>
      </w:tblCellMar>
    </w:tblPr>
  </w:style>
  <w:style w:type="table" w:customStyle="1" w:styleId="ac">
    <w:basedOn w:val="TabelNormal"/>
    <w:tblPr>
      <w:tblStyleRowBandSize w:val="1"/>
      <w:tblStyleColBandSize w:val="1"/>
      <w:tblCellMar>
        <w:top w:w="100" w:type="dxa"/>
        <w:left w:w="100" w:type="dxa"/>
        <w:bottom w:w="100" w:type="dxa"/>
        <w:right w:w="100" w:type="dxa"/>
      </w:tblCellMar>
    </w:tblPr>
  </w:style>
  <w:style w:type="table" w:customStyle="1" w:styleId="ad">
    <w:basedOn w:val="TabelNormal"/>
    <w:tblPr>
      <w:tblStyleRowBandSize w:val="1"/>
      <w:tblStyleColBandSize w:val="1"/>
      <w:tblCellMar>
        <w:top w:w="100" w:type="dxa"/>
        <w:left w:w="100" w:type="dxa"/>
        <w:bottom w:w="100" w:type="dxa"/>
        <w:right w:w="100" w:type="dxa"/>
      </w:tblCellMar>
    </w:tblPr>
  </w:style>
  <w:style w:type="table" w:customStyle="1" w:styleId="ae">
    <w:basedOn w:val="TabelNormal"/>
    <w:tblPr>
      <w:tblStyleRowBandSize w:val="1"/>
      <w:tblStyleColBandSize w:val="1"/>
      <w:tblCellMar>
        <w:top w:w="100" w:type="dxa"/>
        <w:left w:w="100" w:type="dxa"/>
        <w:bottom w:w="100" w:type="dxa"/>
        <w:right w:w="100" w:type="dxa"/>
      </w:tblCellMar>
    </w:tblPr>
  </w:style>
  <w:style w:type="paragraph" w:styleId="Subtitlu">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Pr>
  </w:style>
  <w:style w:type="table" w:customStyle="1" w:styleId="af5">
    <w:basedOn w:val="TableNormal0"/>
    <w:tblPr>
      <w:tblStyleRowBandSize w:val="1"/>
      <w:tblStyleColBandSize w:val="1"/>
    </w:tblPr>
  </w:style>
  <w:style w:type="table" w:customStyle="1" w:styleId="af6">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reports.investors.vodafone.com/view/897876789"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yperlink" Target="https://www.sciencedirect.com/science/article/pii/S0148296323004629" TargetMode="External"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pmc.ncbi.nlm.nih.gov/articles/PMC1140133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VIZgKeSbvVKIKBgFgYGD2P5yzw==">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5842</Words>
  <Characters>33887</Characters>
  <Application>Microsoft Office Word</Application>
  <DocSecurity>0</DocSecurity>
  <Lines>282</Lines>
  <Paragraphs>79</Paragraphs>
  <ScaleCrop>false</ScaleCrop>
  <Company/>
  <LinksUpToDate>false</LinksUpToDate>
  <CharactersWithSpaces>39650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Busu</cp:lastModifiedBy>
  <cp:revision>2</cp:revision>
  <dcterms:created xsi:type="dcterms:W3CDTF">2025-10-25T15:42:00Z</dcterms:created>
  <dcterms:modified xsi:type="dcterms:W3CDTF">2025-10-25T15:42:00Z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be5ceec7-90d8-4dd6-bf57-9759772a8697</vt:lpwstr>
  </property>
</Properties>
</file>