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F9A486" w14:textId="2CBDEECB" w:rsidR="00D81BEF" w:rsidRPr="00D81BEF" w:rsidRDefault="00D81BEF" w:rsidP="00D81BEF">
      <w:bookmarkStart w:id="0" w:name="_Toc99372828"/>
      <w:bookmarkStart w:id="1" w:name="_Toc98850425"/>
      <w:r w:rsidRPr="00D81BEF">
        <w:rPr>
          <w:noProof/>
        </w:rPr>
        <w:drawing>
          <wp:inline distT="0" distB="0" distL="0" distR="0" wp14:anchorId="0B0C8FE9" wp14:editId="5E0CD115">
            <wp:extent cx="3714750" cy="1228725"/>
            <wp:effectExtent l="0" t="0" r="0" b="9525"/>
            <wp:docPr id="207514895"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bookmarkEnd w:id="0"/>
      <w:bookmarkEnd w:id="1"/>
    </w:p>
    <w:p w14:paraId="3329A270" w14:textId="77777777" w:rsidR="00D81BEF" w:rsidRPr="00D81BEF" w:rsidRDefault="00D81BEF" w:rsidP="00D81BEF"/>
    <w:p w14:paraId="5F4982F8" w14:textId="77777777" w:rsidR="00D81BEF" w:rsidRPr="00D81BEF" w:rsidRDefault="00D81BEF" w:rsidP="00D81BEF"/>
    <w:p w14:paraId="22324D98" w14:textId="77777777" w:rsidR="00D81BEF" w:rsidRPr="00D81BEF" w:rsidRDefault="00D81BEF" w:rsidP="00D81BEF"/>
    <w:p w14:paraId="7ED79077" w14:textId="77777777" w:rsidR="00D81BEF" w:rsidRPr="00D81BEF" w:rsidRDefault="00D81BEF" w:rsidP="00D81BEF"/>
    <w:p w14:paraId="2ECE13AD" w14:textId="77777777" w:rsidR="00D81BEF" w:rsidRPr="00D81BEF" w:rsidRDefault="00D81BEF" w:rsidP="00D81BEF"/>
    <w:p w14:paraId="32D5A3CC" w14:textId="0B5817DD" w:rsidR="00D81BEF" w:rsidRPr="00764C54" w:rsidRDefault="00D81BEF" w:rsidP="00764C54">
      <w:pPr>
        <w:pStyle w:val="Title"/>
        <w:jc w:val="center"/>
        <w:rPr>
          <w:sz w:val="96"/>
          <w:szCs w:val="96"/>
        </w:rPr>
      </w:pPr>
      <w:bookmarkStart w:id="2" w:name="_Learning_in_the"/>
      <w:bookmarkStart w:id="3" w:name="_Toc213418542"/>
      <w:bookmarkEnd w:id="2"/>
      <w:r w:rsidRPr="00764C54">
        <w:rPr>
          <w:sz w:val="96"/>
          <w:szCs w:val="96"/>
        </w:rPr>
        <w:t>Usability Engineering</w:t>
      </w:r>
      <w:bookmarkEnd w:id="3"/>
    </w:p>
    <w:p w14:paraId="48F99BAE" w14:textId="77777777" w:rsidR="00D81BEF" w:rsidRPr="00D81BEF" w:rsidRDefault="00D81BEF" w:rsidP="00D81BEF"/>
    <w:p w14:paraId="2AD6427F" w14:textId="77777777" w:rsidR="00D81BEF" w:rsidRPr="00D81BEF" w:rsidRDefault="00D81BEF" w:rsidP="00D81BEF">
      <w:r w:rsidRPr="00D81BEF">
        <w:tab/>
      </w:r>
      <w:r w:rsidRPr="00D81BEF">
        <w:tab/>
      </w:r>
      <w:r w:rsidRPr="00D81BEF">
        <w:tab/>
      </w:r>
    </w:p>
    <w:p w14:paraId="78C1C545" w14:textId="77777777" w:rsidR="00D81BEF" w:rsidRPr="00D81BEF" w:rsidRDefault="00D81BEF" w:rsidP="00D81BEF"/>
    <w:p w14:paraId="3CB9DEAE" w14:textId="3BEC4D14" w:rsidR="00D81BEF" w:rsidRPr="00D81BEF" w:rsidRDefault="00D81BEF" w:rsidP="00D81BEF">
      <w:r w:rsidRPr="00D81BEF">
        <w:t xml:space="preserve">ASSIGMENT </w:t>
      </w:r>
      <w:r>
        <w:t>2</w:t>
      </w:r>
    </w:p>
    <w:p w14:paraId="41A0815E" w14:textId="77777777" w:rsidR="00D81BEF" w:rsidRPr="00D81BEF" w:rsidRDefault="00D81BEF" w:rsidP="00D81BEF"/>
    <w:p w14:paraId="458FC9EA" w14:textId="77777777" w:rsidR="00D81BEF" w:rsidRPr="00D81BEF" w:rsidRDefault="00D81BEF" w:rsidP="00D81BEF">
      <w:r w:rsidRPr="00D81BEF">
        <w:tab/>
      </w:r>
    </w:p>
    <w:p w14:paraId="3841FCE3" w14:textId="77777777" w:rsidR="00D81BEF" w:rsidRPr="00D81BEF" w:rsidRDefault="00D81BEF" w:rsidP="00D81BEF"/>
    <w:p w14:paraId="568F5300" w14:textId="77777777" w:rsidR="00D81BEF" w:rsidRPr="00D81BEF" w:rsidRDefault="00D81BEF" w:rsidP="00D81BEF"/>
    <w:p w14:paraId="53700C3A" w14:textId="77777777" w:rsidR="00D81BEF" w:rsidRPr="00D81BEF" w:rsidRDefault="00D81BEF" w:rsidP="00D81BEF"/>
    <w:p w14:paraId="0C91F620" w14:textId="77777777" w:rsidR="00D81BEF" w:rsidRPr="00D81BEF" w:rsidRDefault="00D81BEF" w:rsidP="00D81BEF"/>
    <w:p w14:paraId="569BD010" w14:textId="77777777" w:rsidR="00D81BEF" w:rsidRPr="00D81BEF" w:rsidRDefault="00D81BEF" w:rsidP="00D81BEF"/>
    <w:p w14:paraId="3289D69F" w14:textId="77777777" w:rsidR="00D81BEF" w:rsidRPr="00D81BEF" w:rsidRDefault="00D81BEF" w:rsidP="00D81BEF"/>
    <w:p w14:paraId="6CFB5F4F" w14:textId="77777777" w:rsidR="00D81BEF" w:rsidRPr="00D81BEF" w:rsidRDefault="00D81BEF" w:rsidP="00D81BEF"/>
    <w:p w14:paraId="028459D5" w14:textId="77777777" w:rsidR="00D81BEF" w:rsidRPr="00D81BEF" w:rsidRDefault="00D81BEF" w:rsidP="00D81BEF"/>
    <w:p w14:paraId="2A76E4DF" w14:textId="77777777" w:rsidR="00D81BEF" w:rsidRPr="00D81BEF" w:rsidRDefault="00D81BEF" w:rsidP="00D81BEF"/>
    <w:p w14:paraId="2E370419" w14:textId="503AB2A9" w:rsidR="00D81BEF" w:rsidRPr="00D81BEF" w:rsidRDefault="00D81BEF" w:rsidP="00D81BEF">
      <w:r w:rsidRPr="00D81BEF">
        <w:t>Modak Kushik, Usability Engineering 2</w:t>
      </w:r>
      <w:r>
        <w:t>1</w:t>
      </w:r>
      <w:r w:rsidRPr="00D81BEF">
        <w:t>.1</w:t>
      </w:r>
      <w:r>
        <w:t>2</w:t>
      </w:r>
      <w:r w:rsidRPr="00D81BEF">
        <w:t>.2025</w:t>
      </w:r>
    </w:p>
    <w:p w14:paraId="0FA50FB2" w14:textId="77777777" w:rsidR="00D81BEF" w:rsidRPr="00D81BEF" w:rsidRDefault="00D81BEF" w:rsidP="00D81BEF">
      <w:r w:rsidRPr="00D81BEF">
        <w:t>Tünde Debreczeni (2115195)</w:t>
      </w:r>
    </w:p>
    <w:p w14:paraId="37F0BB67" w14:textId="77777777" w:rsidR="00E603BE" w:rsidRDefault="00E603BE"/>
    <w:p w14:paraId="45699BBA" w14:textId="77777777" w:rsidR="00D81BEF" w:rsidRDefault="00D81BEF"/>
    <w:p w14:paraId="1F3C06E4" w14:textId="77777777" w:rsidR="00D81BEF" w:rsidRDefault="00D81BEF"/>
    <w:sdt>
      <w:sdtPr>
        <w:rPr>
          <w:rFonts w:asciiTheme="minorHAnsi" w:eastAsiaTheme="minorHAnsi" w:hAnsiTheme="minorHAnsi" w:cstheme="minorBidi"/>
          <w:color w:val="auto"/>
          <w:kern w:val="2"/>
          <w:sz w:val="22"/>
          <w:szCs w:val="22"/>
          <w:lang w:eastAsia="en-US"/>
          <w14:ligatures w14:val="standardContextual"/>
        </w:rPr>
        <w:id w:val="-1925260404"/>
        <w:docPartObj>
          <w:docPartGallery w:val="Table of Contents"/>
          <w:docPartUnique/>
        </w:docPartObj>
      </w:sdtPr>
      <w:sdtEndPr>
        <w:rPr>
          <w:b/>
          <w:bCs/>
        </w:rPr>
      </w:sdtEndPr>
      <w:sdtContent>
        <w:p w14:paraId="497E229B" w14:textId="30D4CEF3" w:rsidR="00D81BEF" w:rsidRDefault="00D81BEF">
          <w:pPr>
            <w:pStyle w:val="TOCHeading"/>
          </w:pPr>
          <w:r>
            <w:t>Contents</w:t>
          </w:r>
        </w:p>
        <w:p w14:paraId="78AC6B64" w14:textId="514B8F63" w:rsidR="00610D92" w:rsidRDefault="00D81BE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7134668" w:history="1">
            <w:r w:rsidR="00610D92" w:rsidRPr="006647AE">
              <w:rPr>
                <w:rStyle w:val="Hyperlink"/>
                <w:noProof/>
              </w:rPr>
              <w:t>1. Introduction</w:t>
            </w:r>
            <w:r w:rsidR="00610D92">
              <w:rPr>
                <w:noProof/>
                <w:webHidden/>
              </w:rPr>
              <w:tab/>
            </w:r>
            <w:r w:rsidR="00610D92">
              <w:rPr>
                <w:noProof/>
                <w:webHidden/>
              </w:rPr>
              <w:fldChar w:fldCharType="begin"/>
            </w:r>
            <w:r w:rsidR="00610D92">
              <w:rPr>
                <w:noProof/>
                <w:webHidden/>
              </w:rPr>
              <w:instrText xml:space="preserve"> PAGEREF _Toc217134668 \h </w:instrText>
            </w:r>
            <w:r w:rsidR="00610D92">
              <w:rPr>
                <w:noProof/>
                <w:webHidden/>
              </w:rPr>
            </w:r>
            <w:r w:rsidR="00610D92">
              <w:rPr>
                <w:noProof/>
                <w:webHidden/>
              </w:rPr>
              <w:fldChar w:fldCharType="separate"/>
            </w:r>
            <w:r w:rsidR="00610D92">
              <w:rPr>
                <w:noProof/>
                <w:webHidden/>
              </w:rPr>
              <w:t>3</w:t>
            </w:r>
            <w:r w:rsidR="00610D92">
              <w:rPr>
                <w:noProof/>
                <w:webHidden/>
              </w:rPr>
              <w:fldChar w:fldCharType="end"/>
            </w:r>
          </w:hyperlink>
        </w:p>
        <w:p w14:paraId="09A0C31C" w14:textId="5E346958" w:rsidR="00610D92" w:rsidRDefault="00610D92">
          <w:pPr>
            <w:pStyle w:val="TOC1"/>
            <w:tabs>
              <w:tab w:val="right" w:leader="dot" w:pos="9016"/>
            </w:tabs>
            <w:rPr>
              <w:rFonts w:eastAsiaTheme="minorEastAsia"/>
              <w:noProof/>
              <w:sz w:val="24"/>
              <w:szCs w:val="24"/>
              <w:lang w:eastAsia="en-GB"/>
            </w:rPr>
          </w:pPr>
          <w:hyperlink w:anchor="_Toc217134669" w:history="1">
            <w:r w:rsidRPr="006647AE">
              <w:rPr>
                <w:rStyle w:val="Hyperlink"/>
                <w:noProof/>
              </w:rPr>
              <w:t>2.  High-Fidelity Design &amp; Visual Decisions</w:t>
            </w:r>
            <w:r>
              <w:rPr>
                <w:noProof/>
                <w:webHidden/>
              </w:rPr>
              <w:tab/>
            </w:r>
            <w:r>
              <w:rPr>
                <w:noProof/>
                <w:webHidden/>
              </w:rPr>
              <w:fldChar w:fldCharType="begin"/>
            </w:r>
            <w:r>
              <w:rPr>
                <w:noProof/>
                <w:webHidden/>
              </w:rPr>
              <w:instrText xml:space="preserve"> PAGEREF _Toc217134669 \h </w:instrText>
            </w:r>
            <w:r>
              <w:rPr>
                <w:noProof/>
                <w:webHidden/>
              </w:rPr>
            </w:r>
            <w:r>
              <w:rPr>
                <w:noProof/>
                <w:webHidden/>
              </w:rPr>
              <w:fldChar w:fldCharType="separate"/>
            </w:r>
            <w:r>
              <w:rPr>
                <w:noProof/>
                <w:webHidden/>
              </w:rPr>
              <w:t>3</w:t>
            </w:r>
            <w:r>
              <w:rPr>
                <w:noProof/>
                <w:webHidden/>
              </w:rPr>
              <w:fldChar w:fldCharType="end"/>
            </w:r>
          </w:hyperlink>
        </w:p>
        <w:p w14:paraId="7769AC4F" w14:textId="50C22B73" w:rsidR="00610D92" w:rsidRDefault="00610D92">
          <w:pPr>
            <w:pStyle w:val="TOC2"/>
            <w:tabs>
              <w:tab w:val="right" w:leader="dot" w:pos="9016"/>
            </w:tabs>
            <w:rPr>
              <w:rFonts w:eastAsiaTheme="minorEastAsia"/>
              <w:noProof/>
              <w:sz w:val="24"/>
              <w:szCs w:val="24"/>
              <w:lang w:eastAsia="en-GB"/>
            </w:rPr>
          </w:pPr>
          <w:hyperlink w:anchor="_Toc217134670" w:history="1">
            <w:r w:rsidRPr="006647AE">
              <w:rPr>
                <w:rStyle w:val="Hyperlink"/>
                <w:noProof/>
              </w:rPr>
              <w:t>2.1 Transition from Wireframes to High-Fidelity Desing</w:t>
            </w:r>
            <w:r>
              <w:rPr>
                <w:noProof/>
                <w:webHidden/>
              </w:rPr>
              <w:tab/>
            </w:r>
            <w:r>
              <w:rPr>
                <w:noProof/>
                <w:webHidden/>
              </w:rPr>
              <w:fldChar w:fldCharType="begin"/>
            </w:r>
            <w:r>
              <w:rPr>
                <w:noProof/>
                <w:webHidden/>
              </w:rPr>
              <w:instrText xml:space="preserve"> PAGEREF _Toc217134670 \h </w:instrText>
            </w:r>
            <w:r>
              <w:rPr>
                <w:noProof/>
                <w:webHidden/>
              </w:rPr>
            </w:r>
            <w:r>
              <w:rPr>
                <w:noProof/>
                <w:webHidden/>
              </w:rPr>
              <w:fldChar w:fldCharType="separate"/>
            </w:r>
            <w:r>
              <w:rPr>
                <w:noProof/>
                <w:webHidden/>
              </w:rPr>
              <w:t>3</w:t>
            </w:r>
            <w:r>
              <w:rPr>
                <w:noProof/>
                <w:webHidden/>
              </w:rPr>
              <w:fldChar w:fldCharType="end"/>
            </w:r>
          </w:hyperlink>
        </w:p>
        <w:p w14:paraId="2C045A2C" w14:textId="42464FE0" w:rsidR="00610D92" w:rsidRDefault="00610D92">
          <w:pPr>
            <w:pStyle w:val="TOC2"/>
            <w:tabs>
              <w:tab w:val="right" w:leader="dot" w:pos="9016"/>
            </w:tabs>
            <w:rPr>
              <w:rFonts w:eastAsiaTheme="minorEastAsia"/>
              <w:noProof/>
              <w:sz w:val="24"/>
              <w:szCs w:val="24"/>
              <w:lang w:eastAsia="en-GB"/>
            </w:rPr>
          </w:pPr>
          <w:hyperlink w:anchor="_Toc217134671" w:history="1">
            <w:r w:rsidRPr="006647AE">
              <w:rPr>
                <w:rStyle w:val="Hyperlink"/>
                <w:noProof/>
              </w:rPr>
              <w:t>2.2 Colour, Typology, and Visual Hierarchy</w:t>
            </w:r>
            <w:r>
              <w:rPr>
                <w:noProof/>
                <w:webHidden/>
              </w:rPr>
              <w:tab/>
            </w:r>
            <w:r>
              <w:rPr>
                <w:noProof/>
                <w:webHidden/>
              </w:rPr>
              <w:fldChar w:fldCharType="begin"/>
            </w:r>
            <w:r>
              <w:rPr>
                <w:noProof/>
                <w:webHidden/>
              </w:rPr>
              <w:instrText xml:space="preserve"> PAGEREF _Toc217134671 \h </w:instrText>
            </w:r>
            <w:r>
              <w:rPr>
                <w:noProof/>
                <w:webHidden/>
              </w:rPr>
            </w:r>
            <w:r>
              <w:rPr>
                <w:noProof/>
                <w:webHidden/>
              </w:rPr>
              <w:fldChar w:fldCharType="separate"/>
            </w:r>
            <w:r>
              <w:rPr>
                <w:noProof/>
                <w:webHidden/>
              </w:rPr>
              <w:t>4</w:t>
            </w:r>
            <w:r>
              <w:rPr>
                <w:noProof/>
                <w:webHidden/>
              </w:rPr>
              <w:fldChar w:fldCharType="end"/>
            </w:r>
          </w:hyperlink>
        </w:p>
        <w:p w14:paraId="3E040D0C" w14:textId="3F302E9D" w:rsidR="00610D92" w:rsidRDefault="00610D92">
          <w:pPr>
            <w:pStyle w:val="TOC2"/>
            <w:tabs>
              <w:tab w:val="right" w:leader="dot" w:pos="9016"/>
            </w:tabs>
            <w:rPr>
              <w:rFonts w:eastAsiaTheme="minorEastAsia"/>
              <w:noProof/>
              <w:sz w:val="24"/>
              <w:szCs w:val="24"/>
              <w:lang w:eastAsia="en-GB"/>
            </w:rPr>
          </w:pPr>
          <w:hyperlink w:anchor="_Toc217134672" w:history="1">
            <w:r w:rsidRPr="006647AE">
              <w:rPr>
                <w:rStyle w:val="Hyperlink"/>
                <w:noProof/>
              </w:rPr>
              <w:t>2.3 Key Screens Discussion</w:t>
            </w:r>
            <w:r>
              <w:rPr>
                <w:noProof/>
                <w:webHidden/>
              </w:rPr>
              <w:tab/>
            </w:r>
            <w:r>
              <w:rPr>
                <w:noProof/>
                <w:webHidden/>
              </w:rPr>
              <w:fldChar w:fldCharType="begin"/>
            </w:r>
            <w:r>
              <w:rPr>
                <w:noProof/>
                <w:webHidden/>
              </w:rPr>
              <w:instrText xml:space="preserve"> PAGEREF _Toc217134672 \h </w:instrText>
            </w:r>
            <w:r>
              <w:rPr>
                <w:noProof/>
                <w:webHidden/>
              </w:rPr>
            </w:r>
            <w:r>
              <w:rPr>
                <w:noProof/>
                <w:webHidden/>
              </w:rPr>
              <w:fldChar w:fldCharType="separate"/>
            </w:r>
            <w:r>
              <w:rPr>
                <w:noProof/>
                <w:webHidden/>
              </w:rPr>
              <w:t>5</w:t>
            </w:r>
            <w:r>
              <w:rPr>
                <w:noProof/>
                <w:webHidden/>
              </w:rPr>
              <w:fldChar w:fldCharType="end"/>
            </w:r>
          </w:hyperlink>
        </w:p>
        <w:p w14:paraId="3C754EA4" w14:textId="5CD4538A" w:rsidR="00610D92" w:rsidRDefault="00610D92">
          <w:pPr>
            <w:pStyle w:val="TOC1"/>
            <w:tabs>
              <w:tab w:val="right" w:leader="dot" w:pos="9016"/>
            </w:tabs>
            <w:rPr>
              <w:rFonts w:eastAsiaTheme="minorEastAsia"/>
              <w:noProof/>
              <w:sz w:val="24"/>
              <w:szCs w:val="24"/>
              <w:lang w:eastAsia="en-GB"/>
            </w:rPr>
          </w:pPr>
          <w:hyperlink w:anchor="_Toc217134673" w:history="1">
            <w:r w:rsidRPr="006647AE">
              <w:rPr>
                <w:rStyle w:val="Hyperlink"/>
                <w:noProof/>
              </w:rPr>
              <w:t>3. Prototype Testing &amp; Feedback</w:t>
            </w:r>
            <w:r>
              <w:rPr>
                <w:noProof/>
                <w:webHidden/>
              </w:rPr>
              <w:tab/>
            </w:r>
            <w:r>
              <w:rPr>
                <w:noProof/>
                <w:webHidden/>
              </w:rPr>
              <w:fldChar w:fldCharType="begin"/>
            </w:r>
            <w:r>
              <w:rPr>
                <w:noProof/>
                <w:webHidden/>
              </w:rPr>
              <w:instrText xml:space="preserve"> PAGEREF _Toc217134673 \h </w:instrText>
            </w:r>
            <w:r>
              <w:rPr>
                <w:noProof/>
                <w:webHidden/>
              </w:rPr>
            </w:r>
            <w:r>
              <w:rPr>
                <w:noProof/>
                <w:webHidden/>
              </w:rPr>
              <w:fldChar w:fldCharType="separate"/>
            </w:r>
            <w:r>
              <w:rPr>
                <w:noProof/>
                <w:webHidden/>
              </w:rPr>
              <w:t>8</w:t>
            </w:r>
            <w:r>
              <w:rPr>
                <w:noProof/>
                <w:webHidden/>
              </w:rPr>
              <w:fldChar w:fldCharType="end"/>
            </w:r>
          </w:hyperlink>
        </w:p>
        <w:p w14:paraId="7B56B5C7" w14:textId="0368E0FC" w:rsidR="00610D92" w:rsidRDefault="00610D92">
          <w:pPr>
            <w:pStyle w:val="TOC2"/>
            <w:tabs>
              <w:tab w:val="right" w:leader="dot" w:pos="9016"/>
            </w:tabs>
            <w:rPr>
              <w:rFonts w:eastAsiaTheme="minorEastAsia"/>
              <w:noProof/>
              <w:sz w:val="24"/>
              <w:szCs w:val="24"/>
              <w:lang w:eastAsia="en-GB"/>
            </w:rPr>
          </w:pPr>
          <w:hyperlink w:anchor="_Toc217134674" w:history="1">
            <w:r w:rsidRPr="006647AE">
              <w:rPr>
                <w:rStyle w:val="Hyperlink"/>
                <w:noProof/>
              </w:rPr>
              <w:t>3.1 Testing Method</w:t>
            </w:r>
            <w:r>
              <w:rPr>
                <w:noProof/>
                <w:webHidden/>
              </w:rPr>
              <w:tab/>
            </w:r>
            <w:r>
              <w:rPr>
                <w:noProof/>
                <w:webHidden/>
              </w:rPr>
              <w:fldChar w:fldCharType="begin"/>
            </w:r>
            <w:r>
              <w:rPr>
                <w:noProof/>
                <w:webHidden/>
              </w:rPr>
              <w:instrText xml:space="preserve"> PAGEREF _Toc217134674 \h </w:instrText>
            </w:r>
            <w:r>
              <w:rPr>
                <w:noProof/>
                <w:webHidden/>
              </w:rPr>
            </w:r>
            <w:r>
              <w:rPr>
                <w:noProof/>
                <w:webHidden/>
              </w:rPr>
              <w:fldChar w:fldCharType="separate"/>
            </w:r>
            <w:r>
              <w:rPr>
                <w:noProof/>
                <w:webHidden/>
              </w:rPr>
              <w:t>8</w:t>
            </w:r>
            <w:r>
              <w:rPr>
                <w:noProof/>
                <w:webHidden/>
              </w:rPr>
              <w:fldChar w:fldCharType="end"/>
            </w:r>
          </w:hyperlink>
        </w:p>
        <w:p w14:paraId="48888914" w14:textId="336342C2" w:rsidR="00610D92" w:rsidRDefault="00610D92">
          <w:pPr>
            <w:pStyle w:val="TOC2"/>
            <w:tabs>
              <w:tab w:val="right" w:leader="dot" w:pos="9016"/>
            </w:tabs>
            <w:rPr>
              <w:rFonts w:eastAsiaTheme="minorEastAsia"/>
              <w:noProof/>
              <w:sz w:val="24"/>
              <w:szCs w:val="24"/>
              <w:lang w:eastAsia="en-GB"/>
            </w:rPr>
          </w:pPr>
          <w:hyperlink w:anchor="_Toc217134675" w:history="1">
            <w:r w:rsidRPr="006647AE">
              <w:rPr>
                <w:rStyle w:val="Hyperlink"/>
                <w:noProof/>
              </w:rPr>
              <w:t>3.2 Feedback Summary</w:t>
            </w:r>
            <w:r>
              <w:rPr>
                <w:noProof/>
                <w:webHidden/>
              </w:rPr>
              <w:tab/>
            </w:r>
            <w:r>
              <w:rPr>
                <w:noProof/>
                <w:webHidden/>
              </w:rPr>
              <w:fldChar w:fldCharType="begin"/>
            </w:r>
            <w:r>
              <w:rPr>
                <w:noProof/>
                <w:webHidden/>
              </w:rPr>
              <w:instrText xml:space="preserve"> PAGEREF _Toc217134675 \h </w:instrText>
            </w:r>
            <w:r>
              <w:rPr>
                <w:noProof/>
                <w:webHidden/>
              </w:rPr>
            </w:r>
            <w:r>
              <w:rPr>
                <w:noProof/>
                <w:webHidden/>
              </w:rPr>
              <w:fldChar w:fldCharType="separate"/>
            </w:r>
            <w:r>
              <w:rPr>
                <w:noProof/>
                <w:webHidden/>
              </w:rPr>
              <w:t>9</w:t>
            </w:r>
            <w:r>
              <w:rPr>
                <w:noProof/>
                <w:webHidden/>
              </w:rPr>
              <w:fldChar w:fldCharType="end"/>
            </w:r>
          </w:hyperlink>
        </w:p>
        <w:p w14:paraId="38FFB2C9" w14:textId="122C95C8" w:rsidR="00610D92" w:rsidRDefault="00610D92">
          <w:pPr>
            <w:pStyle w:val="TOC2"/>
            <w:tabs>
              <w:tab w:val="right" w:leader="dot" w:pos="9016"/>
            </w:tabs>
            <w:rPr>
              <w:rFonts w:eastAsiaTheme="minorEastAsia"/>
              <w:noProof/>
              <w:sz w:val="24"/>
              <w:szCs w:val="24"/>
              <w:lang w:eastAsia="en-GB"/>
            </w:rPr>
          </w:pPr>
          <w:hyperlink w:anchor="_Toc217134676" w:history="1">
            <w:r w:rsidRPr="006647AE">
              <w:rPr>
                <w:rStyle w:val="Hyperlink"/>
                <w:noProof/>
              </w:rPr>
              <w:t>3.3 Design Changes Made</w:t>
            </w:r>
            <w:r>
              <w:rPr>
                <w:noProof/>
                <w:webHidden/>
              </w:rPr>
              <w:tab/>
            </w:r>
            <w:r>
              <w:rPr>
                <w:noProof/>
                <w:webHidden/>
              </w:rPr>
              <w:fldChar w:fldCharType="begin"/>
            </w:r>
            <w:r>
              <w:rPr>
                <w:noProof/>
                <w:webHidden/>
              </w:rPr>
              <w:instrText xml:space="preserve"> PAGEREF _Toc217134676 \h </w:instrText>
            </w:r>
            <w:r>
              <w:rPr>
                <w:noProof/>
                <w:webHidden/>
              </w:rPr>
            </w:r>
            <w:r>
              <w:rPr>
                <w:noProof/>
                <w:webHidden/>
              </w:rPr>
              <w:fldChar w:fldCharType="separate"/>
            </w:r>
            <w:r>
              <w:rPr>
                <w:noProof/>
                <w:webHidden/>
              </w:rPr>
              <w:t>9</w:t>
            </w:r>
            <w:r>
              <w:rPr>
                <w:noProof/>
                <w:webHidden/>
              </w:rPr>
              <w:fldChar w:fldCharType="end"/>
            </w:r>
          </w:hyperlink>
        </w:p>
        <w:p w14:paraId="447A9FC9" w14:textId="28AC5F12" w:rsidR="00610D92" w:rsidRDefault="00610D92">
          <w:pPr>
            <w:pStyle w:val="TOC1"/>
            <w:tabs>
              <w:tab w:val="right" w:leader="dot" w:pos="9016"/>
            </w:tabs>
            <w:rPr>
              <w:rFonts w:eastAsiaTheme="minorEastAsia"/>
              <w:noProof/>
              <w:sz w:val="24"/>
              <w:szCs w:val="24"/>
              <w:lang w:eastAsia="en-GB"/>
            </w:rPr>
          </w:pPr>
          <w:hyperlink w:anchor="_Toc217134677" w:history="1">
            <w:r w:rsidRPr="006647AE">
              <w:rPr>
                <w:rStyle w:val="Hyperlink"/>
                <w:noProof/>
              </w:rPr>
              <w:t>4. Data Collection Considerations</w:t>
            </w:r>
            <w:r>
              <w:rPr>
                <w:noProof/>
                <w:webHidden/>
              </w:rPr>
              <w:tab/>
            </w:r>
            <w:r>
              <w:rPr>
                <w:noProof/>
                <w:webHidden/>
              </w:rPr>
              <w:fldChar w:fldCharType="begin"/>
            </w:r>
            <w:r>
              <w:rPr>
                <w:noProof/>
                <w:webHidden/>
              </w:rPr>
              <w:instrText xml:space="preserve"> PAGEREF _Toc217134677 \h </w:instrText>
            </w:r>
            <w:r>
              <w:rPr>
                <w:noProof/>
                <w:webHidden/>
              </w:rPr>
            </w:r>
            <w:r>
              <w:rPr>
                <w:noProof/>
                <w:webHidden/>
              </w:rPr>
              <w:fldChar w:fldCharType="separate"/>
            </w:r>
            <w:r>
              <w:rPr>
                <w:noProof/>
                <w:webHidden/>
              </w:rPr>
              <w:t>9</w:t>
            </w:r>
            <w:r>
              <w:rPr>
                <w:noProof/>
                <w:webHidden/>
              </w:rPr>
              <w:fldChar w:fldCharType="end"/>
            </w:r>
          </w:hyperlink>
        </w:p>
        <w:p w14:paraId="2F50C8E6" w14:textId="50AC91CA" w:rsidR="00610D92" w:rsidRDefault="00610D92">
          <w:pPr>
            <w:pStyle w:val="TOC1"/>
            <w:tabs>
              <w:tab w:val="right" w:leader="dot" w:pos="9016"/>
            </w:tabs>
            <w:rPr>
              <w:rFonts w:eastAsiaTheme="minorEastAsia"/>
              <w:noProof/>
              <w:sz w:val="24"/>
              <w:szCs w:val="24"/>
              <w:lang w:eastAsia="en-GB"/>
            </w:rPr>
          </w:pPr>
          <w:hyperlink w:anchor="_Toc217134678" w:history="1">
            <w:r w:rsidRPr="006647AE">
              <w:rPr>
                <w:rStyle w:val="Hyperlink"/>
                <w:noProof/>
              </w:rPr>
              <w:t>5. Usability vs User Experience reflection</w:t>
            </w:r>
            <w:r>
              <w:rPr>
                <w:noProof/>
                <w:webHidden/>
              </w:rPr>
              <w:tab/>
            </w:r>
            <w:r>
              <w:rPr>
                <w:noProof/>
                <w:webHidden/>
              </w:rPr>
              <w:fldChar w:fldCharType="begin"/>
            </w:r>
            <w:r>
              <w:rPr>
                <w:noProof/>
                <w:webHidden/>
              </w:rPr>
              <w:instrText xml:space="preserve"> PAGEREF _Toc217134678 \h </w:instrText>
            </w:r>
            <w:r>
              <w:rPr>
                <w:noProof/>
                <w:webHidden/>
              </w:rPr>
            </w:r>
            <w:r>
              <w:rPr>
                <w:noProof/>
                <w:webHidden/>
              </w:rPr>
              <w:fldChar w:fldCharType="separate"/>
            </w:r>
            <w:r>
              <w:rPr>
                <w:noProof/>
                <w:webHidden/>
              </w:rPr>
              <w:t>10</w:t>
            </w:r>
            <w:r>
              <w:rPr>
                <w:noProof/>
                <w:webHidden/>
              </w:rPr>
              <w:fldChar w:fldCharType="end"/>
            </w:r>
          </w:hyperlink>
        </w:p>
        <w:p w14:paraId="4937E217" w14:textId="4F1AEA69" w:rsidR="00610D92" w:rsidRDefault="00610D92">
          <w:pPr>
            <w:pStyle w:val="TOC1"/>
            <w:tabs>
              <w:tab w:val="right" w:leader="dot" w:pos="9016"/>
            </w:tabs>
            <w:rPr>
              <w:rFonts w:eastAsiaTheme="minorEastAsia"/>
              <w:noProof/>
              <w:sz w:val="24"/>
              <w:szCs w:val="24"/>
              <w:lang w:eastAsia="en-GB"/>
            </w:rPr>
          </w:pPr>
          <w:hyperlink w:anchor="_Toc217134679" w:history="1">
            <w:r w:rsidRPr="006647AE">
              <w:rPr>
                <w:rStyle w:val="Hyperlink"/>
                <w:noProof/>
              </w:rPr>
              <w:t>6. Conclusion</w:t>
            </w:r>
            <w:r>
              <w:rPr>
                <w:noProof/>
                <w:webHidden/>
              </w:rPr>
              <w:tab/>
            </w:r>
            <w:r>
              <w:rPr>
                <w:noProof/>
                <w:webHidden/>
              </w:rPr>
              <w:fldChar w:fldCharType="begin"/>
            </w:r>
            <w:r>
              <w:rPr>
                <w:noProof/>
                <w:webHidden/>
              </w:rPr>
              <w:instrText xml:space="preserve"> PAGEREF _Toc217134679 \h </w:instrText>
            </w:r>
            <w:r>
              <w:rPr>
                <w:noProof/>
                <w:webHidden/>
              </w:rPr>
            </w:r>
            <w:r>
              <w:rPr>
                <w:noProof/>
                <w:webHidden/>
              </w:rPr>
              <w:fldChar w:fldCharType="separate"/>
            </w:r>
            <w:r>
              <w:rPr>
                <w:noProof/>
                <w:webHidden/>
              </w:rPr>
              <w:t>11</w:t>
            </w:r>
            <w:r>
              <w:rPr>
                <w:noProof/>
                <w:webHidden/>
              </w:rPr>
              <w:fldChar w:fldCharType="end"/>
            </w:r>
          </w:hyperlink>
        </w:p>
        <w:p w14:paraId="7FE97194" w14:textId="45CF969D" w:rsidR="00610D92" w:rsidRDefault="00610D92">
          <w:pPr>
            <w:pStyle w:val="TOC1"/>
            <w:tabs>
              <w:tab w:val="right" w:leader="dot" w:pos="9016"/>
            </w:tabs>
            <w:rPr>
              <w:rFonts w:eastAsiaTheme="minorEastAsia"/>
              <w:noProof/>
              <w:sz w:val="24"/>
              <w:szCs w:val="24"/>
              <w:lang w:eastAsia="en-GB"/>
            </w:rPr>
          </w:pPr>
          <w:hyperlink w:anchor="_Toc217134680" w:history="1">
            <w:r w:rsidRPr="006647AE">
              <w:rPr>
                <w:rStyle w:val="Hyperlink"/>
                <w:noProof/>
              </w:rPr>
              <w:t>References</w:t>
            </w:r>
            <w:r>
              <w:rPr>
                <w:noProof/>
                <w:webHidden/>
              </w:rPr>
              <w:tab/>
            </w:r>
            <w:r>
              <w:rPr>
                <w:noProof/>
                <w:webHidden/>
              </w:rPr>
              <w:fldChar w:fldCharType="begin"/>
            </w:r>
            <w:r>
              <w:rPr>
                <w:noProof/>
                <w:webHidden/>
              </w:rPr>
              <w:instrText xml:space="preserve"> PAGEREF _Toc217134680 \h </w:instrText>
            </w:r>
            <w:r>
              <w:rPr>
                <w:noProof/>
                <w:webHidden/>
              </w:rPr>
            </w:r>
            <w:r>
              <w:rPr>
                <w:noProof/>
                <w:webHidden/>
              </w:rPr>
              <w:fldChar w:fldCharType="separate"/>
            </w:r>
            <w:r>
              <w:rPr>
                <w:noProof/>
                <w:webHidden/>
              </w:rPr>
              <w:t>12</w:t>
            </w:r>
            <w:r>
              <w:rPr>
                <w:noProof/>
                <w:webHidden/>
              </w:rPr>
              <w:fldChar w:fldCharType="end"/>
            </w:r>
          </w:hyperlink>
        </w:p>
        <w:p w14:paraId="39B74A2E" w14:textId="57C21BAB" w:rsidR="00610D92" w:rsidRDefault="00610D92">
          <w:pPr>
            <w:pStyle w:val="TOC1"/>
            <w:tabs>
              <w:tab w:val="right" w:leader="dot" w:pos="9016"/>
            </w:tabs>
            <w:rPr>
              <w:rFonts w:eastAsiaTheme="minorEastAsia"/>
              <w:noProof/>
              <w:sz w:val="24"/>
              <w:szCs w:val="24"/>
              <w:lang w:eastAsia="en-GB"/>
            </w:rPr>
          </w:pPr>
          <w:hyperlink w:anchor="_Toc217134681" w:history="1">
            <w:r w:rsidRPr="006647AE">
              <w:rPr>
                <w:rStyle w:val="Hyperlink"/>
                <w:noProof/>
              </w:rPr>
              <w:t>Appendix- High-Fidelity Interface Design</w:t>
            </w:r>
            <w:r>
              <w:rPr>
                <w:noProof/>
                <w:webHidden/>
              </w:rPr>
              <w:tab/>
            </w:r>
            <w:r>
              <w:rPr>
                <w:noProof/>
                <w:webHidden/>
              </w:rPr>
              <w:fldChar w:fldCharType="begin"/>
            </w:r>
            <w:r>
              <w:rPr>
                <w:noProof/>
                <w:webHidden/>
              </w:rPr>
              <w:instrText xml:space="preserve"> PAGEREF _Toc217134681 \h </w:instrText>
            </w:r>
            <w:r>
              <w:rPr>
                <w:noProof/>
                <w:webHidden/>
              </w:rPr>
            </w:r>
            <w:r>
              <w:rPr>
                <w:noProof/>
                <w:webHidden/>
              </w:rPr>
              <w:fldChar w:fldCharType="separate"/>
            </w:r>
            <w:r>
              <w:rPr>
                <w:noProof/>
                <w:webHidden/>
              </w:rPr>
              <w:t>14</w:t>
            </w:r>
            <w:r>
              <w:rPr>
                <w:noProof/>
                <w:webHidden/>
              </w:rPr>
              <w:fldChar w:fldCharType="end"/>
            </w:r>
          </w:hyperlink>
        </w:p>
        <w:p w14:paraId="07026563" w14:textId="47A593AA" w:rsidR="00D81BEF" w:rsidRDefault="00D81BEF">
          <w:r>
            <w:rPr>
              <w:b/>
              <w:bCs/>
            </w:rPr>
            <w:fldChar w:fldCharType="end"/>
          </w:r>
        </w:p>
      </w:sdtContent>
    </w:sdt>
    <w:p w14:paraId="419ED2A1" w14:textId="77777777" w:rsidR="00D81BEF" w:rsidRDefault="00D81BEF"/>
    <w:p w14:paraId="66B4FAF7" w14:textId="77777777" w:rsidR="00D81BEF" w:rsidRDefault="00D81BEF"/>
    <w:p w14:paraId="2CE8A0FC" w14:textId="77777777" w:rsidR="00D81BEF" w:rsidRDefault="00D81BEF"/>
    <w:p w14:paraId="5D95B309" w14:textId="77777777" w:rsidR="00D81BEF" w:rsidRDefault="00D81BEF"/>
    <w:p w14:paraId="1AB7F09A" w14:textId="77777777" w:rsidR="00D81BEF" w:rsidRDefault="00D81BEF"/>
    <w:p w14:paraId="1D8C788C" w14:textId="77777777" w:rsidR="00D81BEF" w:rsidRDefault="00D81BEF"/>
    <w:p w14:paraId="672B95FB" w14:textId="77777777" w:rsidR="00D81BEF" w:rsidRDefault="00D81BEF"/>
    <w:p w14:paraId="54B01F8E" w14:textId="77777777" w:rsidR="00D81BEF" w:rsidRDefault="00D81BEF"/>
    <w:p w14:paraId="302F5D44" w14:textId="77777777" w:rsidR="00D81BEF" w:rsidRDefault="00D81BEF"/>
    <w:p w14:paraId="0E3708C6" w14:textId="77777777" w:rsidR="00D81BEF" w:rsidRDefault="00D81BEF"/>
    <w:p w14:paraId="07A69C36" w14:textId="77777777" w:rsidR="00D81BEF" w:rsidRDefault="00D81BEF"/>
    <w:p w14:paraId="71B3833F" w14:textId="77777777" w:rsidR="00D81BEF" w:rsidRDefault="00D81BEF"/>
    <w:p w14:paraId="4F8404AC" w14:textId="77777777" w:rsidR="00D81BEF" w:rsidRDefault="00D81BEF"/>
    <w:p w14:paraId="18D23F6B" w14:textId="77777777" w:rsidR="00D81BEF" w:rsidRDefault="00D81BEF"/>
    <w:p w14:paraId="6F848571" w14:textId="77777777" w:rsidR="00D81BEF" w:rsidRDefault="00D81BEF"/>
    <w:p w14:paraId="030D5910" w14:textId="77777777" w:rsidR="00D81BEF" w:rsidRDefault="00D81BEF"/>
    <w:p w14:paraId="52AB1361" w14:textId="77777777" w:rsidR="00D81BEF" w:rsidRDefault="00D81BEF"/>
    <w:p w14:paraId="66613AB2" w14:textId="77777777" w:rsidR="00D81BEF" w:rsidRDefault="00D81BEF"/>
    <w:p w14:paraId="2DB97431" w14:textId="77777777" w:rsidR="00D81BEF" w:rsidRDefault="00D81BEF"/>
    <w:p w14:paraId="4AC56B7F" w14:textId="1BDAFEAB" w:rsidR="00D81BEF" w:rsidRDefault="00D81BEF" w:rsidP="00D81BEF">
      <w:pPr>
        <w:pStyle w:val="Heading1"/>
      </w:pPr>
      <w:bookmarkStart w:id="4" w:name="_Toc217134668"/>
      <w:r>
        <w:t>1. Introduction</w:t>
      </w:r>
      <w:bookmarkEnd w:id="4"/>
    </w:p>
    <w:p w14:paraId="26C5D1DB" w14:textId="77777777" w:rsidR="00D81BEF" w:rsidRDefault="00D81BEF"/>
    <w:p w14:paraId="1F6C9352" w14:textId="77777777" w:rsidR="00AF3B04" w:rsidRPr="009F05EB" w:rsidRDefault="00AF3B04" w:rsidP="00AF3B04">
      <w:pPr>
        <w:ind w:firstLine="720"/>
        <w:rPr>
          <w:rFonts w:ascii="Arial" w:hAnsi="Arial" w:cs="Arial"/>
        </w:rPr>
      </w:pPr>
      <w:r w:rsidRPr="009F05EB">
        <w:rPr>
          <w:rFonts w:ascii="Arial" w:hAnsi="Arial" w:cs="Arial"/>
        </w:rPr>
        <w:t xml:space="preserve">This report represents the second stage of the </w:t>
      </w:r>
      <w:r w:rsidRPr="009F05EB">
        <w:rPr>
          <w:rFonts w:ascii="Arial" w:hAnsi="Arial" w:cs="Arial"/>
          <w:i/>
          <w:iCs/>
        </w:rPr>
        <w:t>Vice-Chancellor Mystery</w:t>
      </w:r>
      <w:r w:rsidRPr="009F05EB">
        <w:rPr>
          <w:rFonts w:ascii="Arial" w:hAnsi="Arial" w:cs="Arial"/>
        </w:rPr>
        <w:t xml:space="preserve"> design project and builds directly on the outcomes of the first assignment. In Part 1, the focus was placed on understanding users through persona development, identifying usability and experience requirements, and designing low-fidelity monochrome wireframes. These activities established a strong user-centred foundation for the project. The purpose of this second assignment is to refine and extend that work through visual design, usability testing, and critical reflection.</w:t>
      </w:r>
    </w:p>
    <w:p w14:paraId="235C79FF" w14:textId="406DE8A2" w:rsidR="00AF3B04" w:rsidRPr="009F05EB" w:rsidRDefault="00AF3B04" w:rsidP="00AF3B04">
      <w:pPr>
        <w:ind w:firstLine="720"/>
        <w:rPr>
          <w:rFonts w:ascii="Arial" w:hAnsi="Arial" w:cs="Arial"/>
        </w:rPr>
      </w:pPr>
      <w:r w:rsidRPr="009F05EB">
        <w:rPr>
          <w:rFonts w:ascii="Arial" w:hAnsi="Arial" w:cs="Arial"/>
        </w:rPr>
        <w:t xml:space="preserve">At this stage, the original wireframes have been developed into high-fidelity, full-colour interface designs that more closely resemble </w:t>
      </w:r>
      <w:r w:rsidR="00900485" w:rsidRPr="009F05EB">
        <w:rPr>
          <w:rFonts w:ascii="Arial" w:hAnsi="Arial" w:cs="Arial"/>
        </w:rPr>
        <w:t>a mobile</w:t>
      </w:r>
      <w:r w:rsidRPr="009F05EB">
        <w:rPr>
          <w:rFonts w:ascii="Arial" w:hAnsi="Arial" w:cs="Arial"/>
        </w:rPr>
        <w:t xml:space="preserve"> application. The emphasis shifts from structure alone to the quality of interaction, visual clarity, and emotional engagement. Design decisions related to colour, typography, layout, and feedback are explored in relation to accessibility and user experience. Informal usability testing was conducted to evaluate the updated designs and to identify areas for improvement.</w:t>
      </w:r>
    </w:p>
    <w:p w14:paraId="3FE70379" w14:textId="206C3A03" w:rsidR="00D81BEF" w:rsidRDefault="00AF3B04">
      <w:pPr>
        <w:rPr>
          <w:rFonts w:ascii="Arial" w:hAnsi="Arial" w:cs="Arial"/>
        </w:rPr>
      </w:pPr>
      <w:r w:rsidRPr="009F05EB">
        <w:rPr>
          <w:rFonts w:ascii="Arial" w:hAnsi="Arial" w:cs="Arial"/>
        </w:rPr>
        <w:t>This report documents the design changes made in response to user feedback and reflects on the balance between usability and user experience within a game-based interface. It also considers the types of data the application could collect if deployed. Overall, the assignment demonstrates an iterative and reflective approach to usability engineering and interaction design.</w:t>
      </w:r>
    </w:p>
    <w:p w14:paraId="415F4433" w14:textId="77777777" w:rsidR="00AA51AD" w:rsidRPr="009159EB" w:rsidRDefault="00AA51AD">
      <w:pPr>
        <w:rPr>
          <w:rFonts w:ascii="Arial" w:hAnsi="Arial" w:cs="Arial"/>
        </w:rPr>
      </w:pPr>
    </w:p>
    <w:p w14:paraId="04301A54" w14:textId="0A94B6E0" w:rsidR="00D81BEF" w:rsidRDefault="00D81BEF" w:rsidP="00D81BEF">
      <w:pPr>
        <w:pStyle w:val="Heading1"/>
      </w:pPr>
      <w:bookmarkStart w:id="5" w:name="_Toc217134669"/>
      <w:r>
        <w:t>2.  High-Fidelity Design &amp; Visual Decisions</w:t>
      </w:r>
      <w:bookmarkEnd w:id="5"/>
      <w:r>
        <w:t xml:space="preserve"> </w:t>
      </w:r>
    </w:p>
    <w:p w14:paraId="53F2E3C9" w14:textId="77777777" w:rsidR="00AA51AD" w:rsidRPr="00AA51AD" w:rsidRDefault="00AA51AD" w:rsidP="00AA51AD"/>
    <w:p w14:paraId="68398B94" w14:textId="6843EE26" w:rsidR="00AA51AD" w:rsidRPr="00AA51AD" w:rsidRDefault="00AA51AD" w:rsidP="00AA51AD">
      <w:pPr>
        <w:pStyle w:val="Heading2"/>
      </w:pPr>
      <w:bookmarkStart w:id="6" w:name="_Toc217134670"/>
      <w:r>
        <w:t xml:space="preserve">2.1 Transition from Wireframes to High-Fidelity </w:t>
      </w:r>
      <w:bookmarkEnd w:id="6"/>
      <w:r w:rsidR="00610D92">
        <w:t>Design</w:t>
      </w:r>
    </w:p>
    <w:p w14:paraId="711CF964" w14:textId="77777777" w:rsidR="009159EB" w:rsidRDefault="009159EB" w:rsidP="009159EB"/>
    <w:p w14:paraId="55CB4D68" w14:textId="2B873C77" w:rsidR="00AA51AD" w:rsidRPr="0005305B" w:rsidRDefault="00AA51AD" w:rsidP="00AA51AD">
      <w:pPr>
        <w:ind w:firstLine="720"/>
        <w:rPr>
          <w:rFonts w:ascii="Arial" w:hAnsi="Arial" w:cs="Arial"/>
        </w:rPr>
      </w:pPr>
      <w:r w:rsidRPr="0005305B">
        <w:rPr>
          <w:rFonts w:ascii="Arial" w:hAnsi="Arial" w:cs="Arial"/>
        </w:rPr>
        <w:t xml:space="preserve">The high-fidelity stage of the </w:t>
      </w:r>
      <w:r w:rsidRPr="0005305B">
        <w:rPr>
          <w:rFonts w:ascii="Arial" w:hAnsi="Arial" w:cs="Arial"/>
          <w:i/>
          <w:iCs/>
        </w:rPr>
        <w:t>Vice-Chancellor Mystery</w:t>
      </w:r>
      <w:r w:rsidRPr="0005305B">
        <w:rPr>
          <w:rFonts w:ascii="Arial" w:hAnsi="Arial" w:cs="Arial"/>
        </w:rPr>
        <w:t xml:space="preserve"> project focused on translating the low-fidelity wireframes from Part 1 into visually refined, realistic mobile interface designs. While the original wireframes prioritised structure and interaction flow, this phase introduced colour, typography, and visual hierarchy to enhance both usability and user experience. The aim was not to change the underlying functionality, but to improve clarity, engagement, and emotional response during gameplay.</w:t>
      </w:r>
      <w:r w:rsidR="00493F4F">
        <w:rPr>
          <w:rFonts w:ascii="Arial" w:hAnsi="Arial" w:cs="Arial"/>
        </w:rPr>
        <w:t>[1]</w:t>
      </w:r>
    </w:p>
    <w:p w14:paraId="73657AE6" w14:textId="2770E451" w:rsidR="00AA51AD" w:rsidRPr="0005305B" w:rsidRDefault="00AA51AD" w:rsidP="00AA51AD">
      <w:pPr>
        <w:ind w:firstLine="720"/>
        <w:rPr>
          <w:rFonts w:ascii="Arial" w:hAnsi="Arial" w:cs="Arial"/>
        </w:rPr>
      </w:pPr>
      <w:r w:rsidRPr="0005305B">
        <w:rPr>
          <w:rFonts w:ascii="Arial" w:hAnsi="Arial" w:cs="Arial"/>
        </w:rPr>
        <w:t>A restrained colour palette was adopted to maintain an academic and accessible tone while supporting the game’s narrative. Blue was selected as the primary interface colour and is used for key navigation elements and primary actions.</w:t>
      </w:r>
      <w:r w:rsidR="00493F4F">
        <w:rPr>
          <w:rFonts w:ascii="Arial" w:hAnsi="Arial" w:cs="Arial"/>
        </w:rPr>
        <w:t>[2]</w:t>
      </w:r>
      <w:r w:rsidRPr="0005305B">
        <w:rPr>
          <w:rFonts w:ascii="Arial" w:hAnsi="Arial" w:cs="Arial"/>
        </w:rPr>
        <w:t xml:space="preserve"> This choice reflects </w:t>
      </w:r>
      <w:r w:rsidRPr="0005305B">
        <w:rPr>
          <w:rFonts w:ascii="Arial" w:hAnsi="Arial" w:cs="Arial"/>
        </w:rPr>
        <w:lastRenderedPageBreak/>
        <w:t xml:space="preserve">blue’s association with trust, calmness, and institutional contexts, making it appropriate for a university-based setting. Neutral colours, including white and light grey, are used extensively for backgrounds and panels </w:t>
      </w:r>
      <w:r>
        <w:rPr>
          <w:rFonts w:ascii="Arial" w:hAnsi="Arial" w:cs="Arial"/>
        </w:rPr>
        <w:t>to</w:t>
      </w:r>
      <w:r w:rsidRPr="0005305B">
        <w:rPr>
          <w:rFonts w:ascii="Arial" w:hAnsi="Arial" w:cs="Arial"/>
        </w:rPr>
        <w:t xml:space="preserve"> reduce visual clutter and improve readability.</w:t>
      </w:r>
    </w:p>
    <w:p w14:paraId="1728CDE2" w14:textId="430D8734" w:rsidR="00AA51AD" w:rsidRPr="0005305B" w:rsidRDefault="00AA51AD" w:rsidP="00AA51AD">
      <w:pPr>
        <w:ind w:firstLine="720"/>
        <w:rPr>
          <w:rFonts w:ascii="Arial" w:hAnsi="Arial" w:cs="Arial"/>
        </w:rPr>
      </w:pPr>
      <w:r w:rsidRPr="0005305B">
        <w:rPr>
          <w:rFonts w:ascii="Arial" w:hAnsi="Arial" w:cs="Arial"/>
        </w:rPr>
        <w:t>Red is used sparingly and only in situations where player actions involve risk or irreversible consequences, such as making an accusation. This deliberate limitation reinforces the seriousness of these moments and helps prevent accidental errors. Green is used to indicate positive outcomes, including correct accusations and successful actions, while amber highlights important but non-critical information, such as turn indicators or dice roll feedback.</w:t>
      </w:r>
      <w:r w:rsidR="00493F4F">
        <w:rPr>
          <w:rFonts w:ascii="Arial" w:hAnsi="Arial" w:cs="Arial"/>
        </w:rPr>
        <w:t>[4]</w:t>
      </w:r>
    </w:p>
    <w:p w14:paraId="136F0230" w14:textId="77777777" w:rsidR="00AA51AD" w:rsidRDefault="00AA51AD" w:rsidP="00AA51AD">
      <w:pPr>
        <w:rPr>
          <w:rFonts w:ascii="Arial" w:hAnsi="Arial" w:cs="Arial"/>
        </w:rPr>
      </w:pPr>
      <w:r w:rsidRPr="0005305B">
        <w:rPr>
          <w:rFonts w:ascii="Arial" w:hAnsi="Arial" w:cs="Arial"/>
        </w:rPr>
        <w:t>These visual decisions were applied consistently across key screens, including the Home Screen, Game Board, Notes Sheet, and End Game Screen. The result is an interface that feels cohesive, readable, and emotionally balanced, while remaining accessible and appropriate for a diverse university audience.</w:t>
      </w:r>
    </w:p>
    <w:p w14:paraId="522C09C2" w14:textId="77777777" w:rsidR="00AA51AD" w:rsidRDefault="00AA51AD" w:rsidP="00AA51AD">
      <w:pPr>
        <w:rPr>
          <w:rFonts w:ascii="Arial" w:hAnsi="Arial" w:cs="Arial"/>
        </w:rPr>
      </w:pPr>
    </w:p>
    <w:p w14:paraId="432F3B89" w14:textId="77777777" w:rsidR="00AA51AD" w:rsidRPr="0005305B" w:rsidRDefault="00AA51AD" w:rsidP="00AA51AD">
      <w:pPr>
        <w:rPr>
          <w:rFonts w:ascii="Arial" w:hAnsi="Arial" w:cs="Arial"/>
        </w:rPr>
      </w:pPr>
    </w:p>
    <w:p w14:paraId="5AE300EC" w14:textId="1DFF46F5" w:rsidR="00D81BEF" w:rsidRDefault="00D81BEF" w:rsidP="00AA51AD">
      <w:pPr>
        <w:pStyle w:val="Heading2"/>
      </w:pPr>
      <w:bookmarkStart w:id="7" w:name="_Toc217134671"/>
      <w:r>
        <w:t>2.2 Colour, Typology, and Visual Hierarchy</w:t>
      </w:r>
      <w:bookmarkEnd w:id="7"/>
    </w:p>
    <w:p w14:paraId="5AA4FBA5" w14:textId="77777777" w:rsidR="00AA51AD" w:rsidRDefault="00AA51AD" w:rsidP="00AA51AD"/>
    <w:p w14:paraId="03AFEE2F" w14:textId="22864021" w:rsidR="00AA51AD" w:rsidRPr="00EC6D41" w:rsidRDefault="00AA51AD" w:rsidP="00AA51AD">
      <w:pPr>
        <w:ind w:firstLine="720"/>
        <w:rPr>
          <w:rFonts w:ascii="Arial" w:hAnsi="Arial" w:cs="Arial"/>
        </w:rPr>
      </w:pPr>
      <w:r w:rsidRPr="00EC6D41">
        <w:rPr>
          <w:rFonts w:ascii="Arial" w:hAnsi="Arial" w:cs="Arial"/>
        </w:rPr>
        <w:t xml:space="preserve">The introduction of colour and typography played a central role in improving the clarity and usability of the high-fidelity interface. These elements were applied carefully to support interaction rather than decoration. The overall goal was to guide users’ attention, reduce cognitive effort, and reinforce the meaning of different </w:t>
      </w:r>
      <w:r w:rsidR="00493F4F" w:rsidRPr="00EC6D41">
        <w:rPr>
          <w:rFonts w:ascii="Arial" w:hAnsi="Arial" w:cs="Arial"/>
        </w:rPr>
        <w:t>factions</w:t>
      </w:r>
      <w:r w:rsidRPr="00EC6D41">
        <w:rPr>
          <w:rFonts w:ascii="Arial" w:hAnsi="Arial" w:cs="Arial"/>
        </w:rPr>
        <w:t xml:space="preserve"> within the game.</w:t>
      </w:r>
      <w:r w:rsidR="00493F4F">
        <w:rPr>
          <w:rFonts w:ascii="Arial" w:hAnsi="Arial" w:cs="Arial"/>
        </w:rPr>
        <w:t>[1]</w:t>
      </w:r>
    </w:p>
    <w:p w14:paraId="0F5131EE" w14:textId="77777777" w:rsidR="00AA51AD" w:rsidRPr="00EC6D41" w:rsidRDefault="00AA51AD" w:rsidP="00AA51AD">
      <w:pPr>
        <w:ind w:firstLine="720"/>
        <w:rPr>
          <w:rFonts w:ascii="Arial" w:hAnsi="Arial" w:cs="Arial"/>
        </w:rPr>
      </w:pPr>
      <w:r w:rsidRPr="00EC6D41">
        <w:rPr>
          <w:rFonts w:ascii="Arial" w:hAnsi="Arial" w:cs="Arial"/>
        </w:rPr>
        <w:t>Colour was used semantically to communicate function and consequence. Blue was selected as the primary colour for navigation bars, headings, and main action buttons. Its consistent use across screens helps users quickly recognise interactive elements and supports a calm, trustworthy visual tone appropriate for a university-based setting. Neutral colours, including white and light grey, were used for backgrounds and containers to prevent visual overload and to ensure that foreground elements remain prominent.</w:t>
      </w:r>
    </w:p>
    <w:p w14:paraId="38F53B6C" w14:textId="77777777" w:rsidR="00AA51AD" w:rsidRPr="00EC6D41" w:rsidRDefault="00AA51AD" w:rsidP="00AA51AD">
      <w:pPr>
        <w:ind w:firstLine="720"/>
        <w:rPr>
          <w:rFonts w:ascii="Arial" w:hAnsi="Arial" w:cs="Arial"/>
        </w:rPr>
      </w:pPr>
      <w:r w:rsidRPr="00EC6D41">
        <w:rPr>
          <w:rFonts w:ascii="Arial" w:hAnsi="Arial" w:cs="Arial"/>
        </w:rPr>
        <w:t>Red was reserved exclusively for actions involving risk or irreversible decisions, such as making an accusation. This limited use increases its impact and helps prevent accidental errors by clearly signalling danger. Green was applied to indicate success and correct outcomes, particularly on the end-game screen, while amber was used to highlight important but non-critical information, such as turn indicators. Together, these colours create a clear and predictable visual language across the application.</w:t>
      </w:r>
    </w:p>
    <w:p w14:paraId="32F56E69" w14:textId="027BB295" w:rsidR="00AA51AD" w:rsidRPr="00EC6D41" w:rsidRDefault="00AA51AD" w:rsidP="00AA51AD">
      <w:pPr>
        <w:ind w:firstLine="720"/>
        <w:rPr>
          <w:rFonts w:ascii="Arial" w:hAnsi="Arial" w:cs="Arial"/>
        </w:rPr>
      </w:pPr>
      <w:r w:rsidRPr="00EC6D41">
        <w:rPr>
          <w:rFonts w:ascii="Arial" w:hAnsi="Arial" w:cs="Arial"/>
        </w:rPr>
        <w:t xml:space="preserve">Typography choices were guided by readability and consistency. A clean, sans-serif font was used throughout the interface to support legibility on small mobile screens. Variations in font size and weight were used to establish hierarchy, with headings clearly distinguished from body text and labels. This hierarchy </w:t>
      </w:r>
      <w:r w:rsidR="00493F4F">
        <w:rPr>
          <w:rFonts w:ascii="Arial" w:hAnsi="Arial" w:cs="Arial"/>
        </w:rPr>
        <w:t xml:space="preserve">enables users to quickly scan screens and understand available actions without requiring </w:t>
      </w:r>
      <w:r w:rsidRPr="00EC6D41">
        <w:rPr>
          <w:rFonts w:ascii="Arial" w:hAnsi="Arial" w:cs="Arial"/>
        </w:rPr>
        <w:t>extensive instruction.</w:t>
      </w:r>
      <w:r w:rsidR="00493F4F">
        <w:rPr>
          <w:rFonts w:ascii="Arial" w:hAnsi="Arial" w:cs="Arial"/>
        </w:rPr>
        <w:t>[12]</w:t>
      </w:r>
    </w:p>
    <w:p w14:paraId="0C997343" w14:textId="21D23CCF" w:rsidR="00AA51AD" w:rsidRPr="00EC6D41" w:rsidRDefault="00AA51AD" w:rsidP="00AA51AD">
      <w:pPr>
        <w:ind w:firstLine="720"/>
        <w:rPr>
          <w:rFonts w:ascii="Arial" w:hAnsi="Arial" w:cs="Arial"/>
        </w:rPr>
      </w:pPr>
      <w:r w:rsidRPr="00EC6D41">
        <w:rPr>
          <w:rFonts w:ascii="Arial" w:hAnsi="Arial" w:cs="Arial"/>
        </w:rPr>
        <w:t>Button design and spacing further reinforce visual hierarchy. Primary actions are visually larger and more prominent, while secondary options are styled more subtly. Consistent alignment, padding, and spacing were maintained across screens to support familiarity and reduce learning effort. Overall, the combined use of colour, typography, and layout contributes to an interface that is clear, accessible, and visually cohesive.</w:t>
      </w:r>
      <w:r w:rsidR="00493F4F">
        <w:rPr>
          <w:rFonts w:ascii="Arial" w:hAnsi="Arial" w:cs="Arial"/>
        </w:rPr>
        <w:t>[5]</w:t>
      </w:r>
    </w:p>
    <w:p w14:paraId="2C383758" w14:textId="77777777" w:rsidR="00AA51AD" w:rsidRDefault="00AA51AD" w:rsidP="00AA51AD"/>
    <w:p w14:paraId="4A8C580B" w14:textId="3640EA44" w:rsidR="00AA51AD" w:rsidRPr="00AA51AD" w:rsidRDefault="00AA51AD" w:rsidP="00AA51AD"/>
    <w:p w14:paraId="59A55D10" w14:textId="37F01324" w:rsidR="00AA51AD" w:rsidRPr="00AA51AD" w:rsidRDefault="00D81BEF" w:rsidP="00AA51AD">
      <w:pPr>
        <w:pStyle w:val="Heading2"/>
      </w:pPr>
      <w:bookmarkStart w:id="8" w:name="_Toc217134672"/>
      <w:r>
        <w:t>2.3 Key Screens Discussion</w:t>
      </w:r>
      <w:bookmarkEnd w:id="8"/>
    </w:p>
    <w:p w14:paraId="62CE1BE9" w14:textId="6F4C2B91" w:rsidR="00AA51AD" w:rsidRPr="00EC6D41" w:rsidRDefault="00AA51AD" w:rsidP="00AA51AD">
      <w:pPr>
        <w:ind w:firstLine="720"/>
        <w:rPr>
          <w:rFonts w:ascii="Arial" w:hAnsi="Arial" w:cs="Arial"/>
        </w:rPr>
      </w:pPr>
      <w:r w:rsidRPr="00EC6D41">
        <w:rPr>
          <w:rFonts w:ascii="Arial" w:hAnsi="Arial" w:cs="Arial"/>
        </w:rPr>
        <w:t>The high-fidelity design decisions discussed above are illustrated through four key screens that represent the core user journey of the application: the Home Screen, Game Board Screen, Notes Sheet, and End Game Screen. Together, these screens demonstrate how visual design, usability principles, and user experience considerations were integrated into the refined interface.</w:t>
      </w:r>
      <w:r w:rsidR="00493F4F">
        <w:rPr>
          <w:rFonts w:ascii="Arial" w:hAnsi="Arial" w:cs="Arial"/>
        </w:rPr>
        <w:t>[6]</w:t>
      </w:r>
    </w:p>
    <w:p w14:paraId="181198E2" w14:textId="20E7E54C" w:rsidR="00AA51AD" w:rsidRDefault="00AA51AD" w:rsidP="00AA51AD">
      <w:pPr>
        <w:ind w:firstLine="720"/>
        <w:rPr>
          <w:rFonts w:ascii="Arial" w:hAnsi="Arial" w:cs="Arial"/>
        </w:rPr>
      </w:pPr>
      <w:r w:rsidRPr="00EC6D41">
        <w:rPr>
          <w:rFonts w:ascii="Arial" w:hAnsi="Arial" w:cs="Arial"/>
        </w:rPr>
        <w:t xml:space="preserve">The </w:t>
      </w:r>
      <w:r w:rsidRPr="00EC6D41">
        <w:rPr>
          <w:rFonts w:ascii="Arial" w:hAnsi="Arial" w:cs="Arial"/>
          <w:b/>
          <w:bCs/>
        </w:rPr>
        <w:t>Home Screen</w:t>
      </w:r>
      <w:r w:rsidRPr="00EC6D41">
        <w:rPr>
          <w:rFonts w:ascii="Arial" w:hAnsi="Arial" w:cs="Arial"/>
        </w:rPr>
        <w:t xml:space="preserve"> functions as the primary entry point to the application and establishes the visual language used throughout the game. The layout prioritises clarity and ease of navigation, with large, clearly labelled buttons that allow users to quickly start or join a game. The use of the primary blue colour for main actions helps users immediately identify interactive elements, while neutral backgrounds reduce distraction. Compared to the low-fidelity version, spacing and visual hierarchy were refined to improve </w:t>
      </w:r>
      <w:r w:rsidR="00900485" w:rsidRPr="00EC6D41">
        <w:rPr>
          <w:rFonts w:ascii="Arial" w:hAnsi="Arial" w:cs="Arial"/>
        </w:rPr>
        <w:t>scan ability</w:t>
      </w:r>
      <w:r w:rsidRPr="00EC6D41">
        <w:rPr>
          <w:rFonts w:ascii="Arial" w:hAnsi="Arial" w:cs="Arial"/>
        </w:rPr>
        <w:t xml:space="preserve"> and reduce decision effort.</w:t>
      </w:r>
    </w:p>
    <w:p w14:paraId="178FE997" w14:textId="4EAB9E0C" w:rsidR="00E72679" w:rsidRDefault="00E72679" w:rsidP="00E72679">
      <w:pPr>
        <w:ind w:firstLine="720"/>
        <w:jc w:val="center"/>
        <w:rPr>
          <w:rFonts w:ascii="Arial" w:hAnsi="Arial" w:cs="Arial"/>
        </w:rPr>
      </w:pPr>
      <w:r>
        <w:rPr>
          <w:rFonts w:ascii="Arial" w:hAnsi="Arial" w:cs="Arial"/>
          <w:noProof/>
        </w:rPr>
        <w:drawing>
          <wp:inline distT="0" distB="0" distL="0" distR="0" wp14:anchorId="28DB05E8" wp14:editId="77A13A5D">
            <wp:extent cx="2981325" cy="4229100"/>
            <wp:effectExtent l="0" t="0" r="9525" b="0"/>
            <wp:docPr id="893160132" name="Picture 3"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160132" name="Picture 3" descr="A screen shot of a phone&#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981751" cy="4229705"/>
                    </a:xfrm>
                    <a:prstGeom prst="rect">
                      <a:avLst/>
                    </a:prstGeom>
                  </pic:spPr>
                </pic:pic>
              </a:graphicData>
            </a:graphic>
          </wp:inline>
        </w:drawing>
      </w:r>
    </w:p>
    <w:p w14:paraId="09FA0280" w14:textId="77777777" w:rsidR="00E72679" w:rsidRDefault="00E72679" w:rsidP="00E72679">
      <w:pPr>
        <w:ind w:firstLine="720"/>
        <w:jc w:val="center"/>
        <w:rPr>
          <w:rFonts w:ascii="Arial" w:hAnsi="Arial" w:cs="Arial"/>
        </w:rPr>
      </w:pPr>
    </w:p>
    <w:p w14:paraId="1E18A7B5" w14:textId="190C4AD2" w:rsidR="00E72679" w:rsidRPr="00EC6D41" w:rsidRDefault="00E72679" w:rsidP="00E72679">
      <w:pPr>
        <w:ind w:firstLine="720"/>
        <w:jc w:val="center"/>
        <w:rPr>
          <w:rFonts w:ascii="Arial" w:hAnsi="Arial" w:cs="Arial"/>
        </w:rPr>
      </w:pPr>
      <w:r>
        <w:rPr>
          <w:rFonts w:ascii="Arial" w:hAnsi="Arial" w:cs="Arial"/>
        </w:rPr>
        <w:t>Pic 1 Home Screen</w:t>
      </w:r>
    </w:p>
    <w:p w14:paraId="7622C467" w14:textId="570DF447" w:rsidR="00AA51AD" w:rsidRDefault="00AA51AD" w:rsidP="00AA51AD">
      <w:pPr>
        <w:ind w:firstLine="720"/>
        <w:rPr>
          <w:rFonts w:ascii="Arial" w:hAnsi="Arial" w:cs="Arial"/>
        </w:rPr>
      </w:pPr>
      <w:r w:rsidRPr="00EC6D41">
        <w:rPr>
          <w:rFonts w:ascii="Arial" w:hAnsi="Arial" w:cs="Arial"/>
        </w:rPr>
        <w:t xml:space="preserve">The </w:t>
      </w:r>
      <w:r w:rsidRPr="00EC6D41">
        <w:rPr>
          <w:rFonts w:ascii="Arial" w:hAnsi="Arial" w:cs="Arial"/>
          <w:b/>
          <w:bCs/>
        </w:rPr>
        <w:t>Game Board Screen</w:t>
      </w:r>
      <w:r w:rsidRPr="00EC6D41">
        <w:rPr>
          <w:rFonts w:ascii="Arial" w:hAnsi="Arial" w:cs="Arial"/>
        </w:rPr>
        <w:t xml:space="preserve"> represents the core gameplay environment. Campus locations are presented in a structured grid that mirrors the logic of the original board game while remaining suitable for mobile interaction. Action buttons such as </w:t>
      </w:r>
      <w:r w:rsidRPr="00EC6D41">
        <w:rPr>
          <w:rFonts w:ascii="Arial" w:hAnsi="Arial" w:cs="Arial"/>
          <w:i/>
          <w:iCs/>
        </w:rPr>
        <w:t>Roll</w:t>
      </w:r>
      <w:r w:rsidRPr="00EC6D41">
        <w:rPr>
          <w:rFonts w:ascii="Arial" w:hAnsi="Arial" w:cs="Arial"/>
        </w:rPr>
        <w:t xml:space="preserve">, </w:t>
      </w:r>
      <w:r w:rsidRPr="00EC6D41">
        <w:rPr>
          <w:rFonts w:ascii="Arial" w:hAnsi="Arial" w:cs="Arial"/>
          <w:i/>
          <w:iCs/>
        </w:rPr>
        <w:t>Suggest</w:t>
      </w:r>
      <w:r w:rsidRPr="00EC6D41">
        <w:rPr>
          <w:rFonts w:ascii="Arial" w:hAnsi="Arial" w:cs="Arial"/>
        </w:rPr>
        <w:t xml:space="preserve">, and </w:t>
      </w:r>
      <w:r w:rsidRPr="00EC6D41">
        <w:rPr>
          <w:rFonts w:ascii="Arial" w:hAnsi="Arial" w:cs="Arial"/>
          <w:i/>
          <w:iCs/>
        </w:rPr>
        <w:t>Accuse</w:t>
      </w:r>
      <w:r w:rsidRPr="00EC6D41">
        <w:rPr>
          <w:rFonts w:ascii="Arial" w:hAnsi="Arial" w:cs="Arial"/>
        </w:rPr>
        <w:t xml:space="preserve"> are visually separated from the board and positioned consistently across screens.</w:t>
      </w:r>
      <w:r w:rsidR="00493F4F">
        <w:rPr>
          <w:rFonts w:ascii="Arial" w:hAnsi="Arial" w:cs="Arial"/>
        </w:rPr>
        <w:t>[7]</w:t>
      </w:r>
      <w:r w:rsidRPr="00EC6D41">
        <w:rPr>
          <w:rFonts w:ascii="Arial" w:hAnsi="Arial" w:cs="Arial"/>
        </w:rPr>
        <w:t xml:space="preserve"> </w:t>
      </w:r>
      <w:r w:rsidRPr="00EC6D41">
        <w:rPr>
          <w:rFonts w:ascii="Arial" w:hAnsi="Arial" w:cs="Arial"/>
        </w:rPr>
        <w:lastRenderedPageBreak/>
        <w:t xml:space="preserve">Colour is used carefully to reinforce meaning, with the </w:t>
      </w:r>
      <w:r w:rsidRPr="00EC6D41">
        <w:rPr>
          <w:rFonts w:ascii="Arial" w:hAnsi="Arial" w:cs="Arial"/>
          <w:i/>
          <w:iCs/>
        </w:rPr>
        <w:t>Accuse</w:t>
      </w:r>
      <w:r w:rsidRPr="00EC6D41">
        <w:rPr>
          <w:rFonts w:ascii="Arial" w:hAnsi="Arial" w:cs="Arial"/>
        </w:rPr>
        <w:t xml:space="preserve"> action visually distinguished to indicate risk. These refinements improve both usability and emotional engagement during play.</w:t>
      </w:r>
    </w:p>
    <w:p w14:paraId="057BC6BD" w14:textId="77777777" w:rsidR="00E72679" w:rsidRDefault="00E72679" w:rsidP="00AA51AD">
      <w:pPr>
        <w:ind w:firstLine="720"/>
        <w:rPr>
          <w:rFonts w:ascii="Arial" w:hAnsi="Arial" w:cs="Arial"/>
        </w:rPr>
      </w:pPr>
    </w:p>
    <w:p w14:paraId="653C2500" w14:textId="77777777" w:rsidR="00E72679" w:rsidRDefault="00E72679" w:rsidP="00AA51AD">
      <w:pPr>
        <w:ind w:firstLine="720"/>
        <w:rPr>
          <w:rFonts w:ascii="Arial" w:hAnsi="Arial" w:cs="Arial"/>
        </w:rPr>
      </w:pPr>
    </w:p>
    <w:p w14:paraId="559925D6" w14:textId="071923F7" w:rsidR="00E72679" w:rsidRDefault="00E72679" w:rsidP="00E72679">
      <w:pPr>
        <w:ind w:firstLine="720"/>
        <w:jc w:val="center"/>
        <w:rPr>
          <w:rFonts w:ascii="Arial" w:hAnsi="Arial" w:cs="Arial"/>
        </w:rPr>
      </w:pPr>
      <w:r>
        <w:rPr>
          <w:rFonts w:ascii="Arial" w:hAnsi="Arial" w:cs="Arial"/>
          <w:noProof/>
        </w:rPr>
        <w:drawing>
          <wp:inline distT="0" distB="0" distL="0" distR="0" wp14:anchorId="6A85813C" wp14:editId="44355DDE">
            <wp:extent cx="3267075" cy="4705350"/>
            <wp:effectExtent l="0" t="0" r="9525" b="0"/>
            <wp:docPr id="2126864172" name="Picture 4"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864172" name="Picture 4" descr="A screen shot of a cell phon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267540" cy="4706019"/>
                    </a:xfrm>
                    <a:prstGeom prst="rect">
                      <a:avLst/>
                    </a:prstGeom>
                  </pic:spPr>
                </pic:pic>
              </a:graphicData>
            </a:graphic>
          </wp:inline>
        </w:drawing>
      </w:r>
    </w:p>
    <w:p w14:paraId="3E03E710" w14:textId="3A508B1F" w:rsidR="00E72679" w:rsidRDefault="00E72679" w:rsidP="00E72679">
      <w:pPr>
        <w:ind w:firstLine="720"/>
        <w:jc w:val="center"/>
        <w:rPr>
          <w:rFonts w:ascii="Arial" w:hAnsi="Arial" w:cs="Arial"/>
        </w:rPr>
      </w:pPr>
      <w:r>
        <w:rPr>
          <w:rFonts w:ascii="Arial" w:hAnsi="Arial" w:cs="Arial"/>
        </w:rPr>
        <w:t>Pic 2 Game Board Screen</w:t>
      </w:r>
    </w:p>
    <w:p w14:paraId="43F08129" w14:textId="77777777" w:rsidR="00E72679" w:rsidRPr="00EC6D41" w:rsidRDefault="00E72679" w:rsidP="00E72679">
      <w:pPr>
        <w:ind w:firstLine="720"/>
        <w:jc w:val="center"/>
        <w:rPr>
          <w:rFonts w:ascii="Arial" w:hAnsi="Arial" w:cs="Arial"/>
        </w:rPr>
      </w:pPr>
    </w:p>
    <w:p w14:paraId="2ED5AD5D" w14:textId="77777777" w:rsidR="00AA51AD" w:rsidRDefault="00AA51AD" w:rsidP="00AA51AD">
      <w:pPr>
        <w:ind w:firstLine="720"/>
        <w:rPr>
          <w:rFonts w:ascii="Arial" w:hAnsi="Arial" w:cs="Arial"/>
        </w:rPr>
      </w:pPr>
      <w:r w:rsidRPr="00EC6D41">
        <w:rPr>
          <w:rFonts w:ascii="Arial" w:hAnsi="Arial" w:cs="Arial"/>
        </w:rPr>
        <w:t xml:space="preserve">The </w:t>
      </w:r>
      <w:r w:rsidRPr="00EC6D41">
        <w:rPr>
          <w:rFonts w:ascii="Arial" w:hAnsi="Arial" w:cs="Arial"/>
          <w:b/>
          <w:bCs/>
        </w:rPr>
        <w:t>Notes Sheet</w:t>
      </w:r>
      <w:r w:rsidRPr="00EC6D41">
        <w:rPr>
          <w:rFonts w:ascii="Arial" w:hAnsi="Arial" w:cs="Arial"/>
        </w:rPr>
        <w:t xml:space="preserve"> supports the deductive aspect of the game by allowing players to track suspects, weapons, and rooms. The design emphasises clarity and organisation, using alignment and spacing rather than colour alone to communicate structure. This screen was kept visually simple to reduce cognitive load, particularly during time-pressured gameplay.</w:t>
      </w:r>
    </w:p>
    <w:p w14:paraId="6AA17846" w14:textId="1CD18CD6" w:rsidR="00E72679" w:rsidRDefault="00E72679" w:rsidP="00E72679">
      <w:pPr>
        <w:ind w:firstLine="720"/>
        <w:jc w:val="center"/>
        <w:rPr>
          <w:rFonts w:ascii="Arial" w:hAnsi="Arial" w:cs="Arial"/>
        </w:rPr>
      </w:pPr>
      <w:r>
        <w:rPr>
          <w:rFonts w:ascii="Arial" w:hAnsi="Arial" w:cs="Arial"/>
          <w:noProof/>
        </w:rPr>
        <w:lastRenderedPageBreak/>
        <w:drawing>
          <wp:inline distT="0" distB="0" distL="0" distR="0" wp14:anchorId="2E14B4B3" wp14:editId="19A7ABE1">
            <wp:extent cx="3419475" cy="5048250"/>
            <wp:effectExtent l="0" t="0" r="9525" b="0"/>
            <wp:docPr id="604973137" name="Picture 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973137" name="Picture 5" descr="A screenshot of a phon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419956" cy="5048960"/>
                    </a:xfrm>
                    <a:prstGeom prst="rect">
                      <a:avLst/>
                    </a:prstGeom>
                  </pic:spPr>
                </pic:pic>
              </a:graphicData>
            </a:graphic>
          </wp:inline>
        </w:drawing>
      </w:r>
    </w:p>
    <w:p w14:paraId="4DC98B22" w14:textId="25B3AABA" w:rsidR="00E72679" w:rsidRPr="00EC6D41" w:rsidRDefault="00E72679" w:rsidP="00E72679">
      <w:pPr>
        <w:ind w:firstLine="720"/>
        <w:jc w:val="center"/>
        <w:rPr>
          <w:rFonts w:ascii="Arial" w:hAnsi="Arial" w:cs="Arial"/>
        </w:rPr>
      </w:pPr>
      <w:r>
        <w:rPr>
          <w:rFonts w:ascii="Arial" w:hAnsi="Arial" w:cs="Arial"/>
        </w:rPr>
        <w:t>Pic 3 Notes Sheet</w:t>
      </w:r>
    </w:p>
    <w:p w14:paraId="56688BB2" w14:textId="77777777" w:rsidR="00AA51AD" w:rsidRDefault="00AA51AD" w:rsidP="00AA51AD">
      <w:pPr>
        <w:ind w:firstLine="720"/>
        <w:rPr>
          <w:rFonts w:ascii="Arial" w:hAnsi="Arial" w:cs="Arial"/>
        </w:rPr>
      </w:pPr>
      <w:r w:rsidRPr="00EC6D41">
        <w:rPr>
          <w:rFonts w:ascii="Arial" w:hAnsi="Arial" w:cs="Arial"/>
        </w:rPr>
        <w:t xml:space="preserve">Finally, the </w:t>
      </w:r>
      <w:r w:rsidRPr="00EC6D41">
        <w:rPr>
          <w:rFonts w:ascii="Arial" w:hAnsi="Arial" w:cs="Arial"/>
          <w:b/>
          <w:bCs/>
        </w:rPr>
        <w:t>End Game Screen</w:t>
      </w:r>
      <w:r w:rsidRPr="00EC6D41">
        <w:rPr>
          <w:rFonts w:ascii="Arial" w:hAnsi="Arial" w:cs="Arial"/>
        </w:rPr>
        <w:t xml:space="preserve"> provides closure and feedback by clearly presenting the outcome of the investigation. Positive results are reinforced through the use of green and clear confirmation messaging, while a prominent call-to-action allows users to start a new game. This screen was designed to balance emotional satisfaction with functional clarity.</w:t>
      </w:r>
    </w:p>
    <w:p w14:paraId="73AE3889" w14:textId="29C039E6" w:rsidR="00E72679" w:rsidRDefault="00E72679" w:rsidP="00E72679">
      <w:pPr>
        <w:ind w:firstLine="720"/>
        <w:jc w:val="center"/>
        <w:rPr>
          <w:rFonts w:ascii="Arial" w:hAnsi="Arial" w:cs="Arial"/>
        </w:rPr>
      </w:pPr>
      <w:r>
        <w:rPr>
          <w:rFonts w:ascii="Arial" w:hAnsi="Arial" w:cs="Arial"/>
          <w:noProof/>
        </w:rPr>
        <w:lastRenderedPageBreak/>
        <w:drawing>
          <wp:inline distT="0" distB="0" distL="0" distR="0" wp14:anchorId="4E79EDD1" wp14:editId="5323C510">
            <wp:extent cx="3505200" cy="4905375"/>
            <wp:effectExtent l="0" t="0" r="0" b="9525"/>
            <wp:docPr id="1674834879" name="Picture 6"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834879" name="Picture 6" descr="A screenshot of a gam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505695" cy="4906068"/>
                    </a:xfrm>
                    <a:prstGeom prst="rect">
                      <a:avLst/>
                    </a:prstGeom>
                  </pic:spPr>
                </pic:pic>
              </a:graphicData>
            </a:graphic>
          </wp:inline>
        </w:drawing>
      </w:r>
    </w:p>
    <w:p w14:paraId="04561D13" w14:textId="7DA812D6" w:rsidR="00E72679" w:rsidRPr="00EC6D41" w:rsidRDefault="00E72679" w:rsidP="00E72679">
      <w:pPr>
        <w:ind w:firstLine="720"/>
        <w:jc w:val="center"/>
        <w:rPr>
          <w:rFonts w:ascii="Arial" w:hAnsi="Arial" w:cs="Arial"/>
        </w:rPr>
      </w:pPr>
      <w:r>
        <w:rPr>
          <w:rFonts w:ascii="Arial" w:hAnsi="Arial" w:cs="Arial"/>
        </w:rPr>
        <w:t xml:space="preserve">Pic 4. </w:t>
      </w:r>
      <w:r w:rsidR="00493F4F">
        <w:rPr>
          <w:rFonts w:ascii="Arial" w:hAnsi="Arial" w:cs="Arial"/>
        </w:rPr>
        <w:t>Endgame</w:t>
      </w:r>
      <w:r>
        <w:rPr>
          <w:rFonts w:ascii="Arial" w:hAnsi="Arial" w:cs="Arial"/>
        </w:rPr>
        <w:t xml:space="preserve"> Screen</w:t>
      </w:r>
    </w:p>
    <w:p w14:paraId="56DF966E" w14:textId="4276E94A" w:rsidR="00D81BEF" w:rsidRDefault="00AA51AD" w:rsidP="00B421A0">
      <w:pPr>
        <w:rPr>
          <w:rFonts w:ascii="Arial" w:hAnsi="Arial" w:cs="Arial"/>
        </w:rPr>
      </w:pPr>
      <w:r w:rsidRPr="00EC6D41">
        <w:rPr>
          <w:rFonts w:ascii="Arial" w:hAnsi="Arial" w:cs="Arial"/>
        </w:rPr>
        <w:t>Together, these screens demonstrate how the high-fidelity design improves usability, consistency, and engagement while remaining accessible and appropriate for the intended university audience.</w:t>
      </w:r>
    </w:p>
    <w:p w14:paraId="53522F8E" w14:textId="77777777" w:rsidR="00B421A0" w:rsidRPr="00B421A0" w:rsidRDefault="00B421A0" w:rsidP="00B421A0">
      <w:pPr>
        <w:rPr>
          <w:rFonts w:ascii="Arial" w:hAnsi="Arial" w:cs="Arial"/>
        </w:rPr>
      </w:pPr>
    </w:p>
    <w:p w14:paraId="01C4A540" w14:textId="08EC0965" w:rsidR="00D81BEF" w:rsidRDefault="00D81BEF" w:rsidP="00D81BEF">
      <w:pPr>
        <w:pStyle w:val="Heading1"/>
      </w:pPr>
      <w:bookmarkStart w:id="9" w:name="_Toc217134673"/>
      <w:r>
        <w:t>3. Prototype Testing &amp; Feedback</w:t>
      </w:r>
      <w:bookmarkEnd w:id="9"/>
      <w:r>
        <w:t xml:space="preserve"> </w:t>
      </w:r>
    </w:p>
    <w:p w14:paraId="1E7F3447" w14:textId="458D0C05" w:rsidR="00D81BEF" w:rsidRDefault="00D81BEF" w:rsidP="00AA51AD">
      <w:pPr>
        <w:pStyle w:val="Heading2"/>
      </w:pPr>
      <w:bookmarkStart w:id="10" w:name="_Toc217134674"/>
      <w:r>
        <w:t>3.1 Testing Method</w:t>
      </w:r>
      <w:bookmarkEnd w:id="10"/>
    </w:p>
    <w:p w14:paraId="6AD723DB" w14:textId="77777777" w:rsidR="00B421A0" w:rsidRDefault="00B421A0" w:rsidP="00B421A0"/>
    <w:p w14:paraId="294895AC" w14:textId="1DABC504" w:rsidR="00B421A0" w:rsidRPr="001A56AC" w:rsidRDefault="00B421A0" w:rsidP="00B421A0">
      <w:pPr>
        <w:ind w:firstLine="720"/>
        <w:rPr>
          <w:rFonts w:ascii="Arial" w:hAnsi="Arial" w:cs="Arial"/>
        </w:rPr>
      </w:pPr>
      <w:r w:rsidRPr="001A56AC">
        <w:rPr>
          <w:rFonts w:ascii="Arial" w:hAnsi="Arial" w:cs="Arial"/>
        </w:rPr>
        <w:t xml:space="preserve">Usability testing was conducted during this stage of the project to evaluate how effectively users could interact with the high-fidelity prototype. The purpose of this testing was exploratory rather than statistical, </w:t>
      </w:r>
      <w:r w:rsidR="00493F4F">
        <w:rPr>
          <w:rFonts w:ascii="Arial" w:hAnsi="Arial" w:cs="Arial"/>
        </w:rPr>
        <w:t>to identify usability issues and understand</w:t>
      </w:r>
      <w:r w:rsidRPr="001A56AC">
        <w:rPr>
          <w:rFonts w:ascii="Arial" w:hAnsi="Arial" w:cs="Arial"/>
        </w:rPr>
        <w:t xml:space="preserve"> users’ subjective experiences of the interface. This approach is appropriate for early-stage design evaluation, where feedback is used to guide iterative refinement.</w:t>
      </w:r>
      <w:r w:rsidR="00493F4F">
        <w:rPr>
          <w:rFonts w:ascii="Arial" w:hAnsi="Arial" w:cs="Arial"/>
        </w:rPr>
        <w:t>[7]</w:t>
      </w:r>
    </w:p>
    <w:p w14:paraId="60A29E41" w14:textId="2692A4A4" w:rsidR="00B421A0" w:rsidRPr="001A56AC" w:rsidRDefault="00B421A0" w:rsidP="00B421A0">
      <w:pPr>
        <w:ind w:firstLine="720"/>
        <w:rPr>
          <w:rFonts w:ascii="Arial" w:hAnsi="Arial" w:cs="Arial"/>
        </w:rPr>
      </w:pPr>
      <w:r w:rsidRPr="001A56AC">
        <w:rPr>
          <w:rFonts w:ascii="Arial" w:hAnsi="Arial" w:cs="Arial"/>
        </w:rPr>
        <w:t xml:space="preserve">Testing was </w:t>
      </w:r>
      <w:r w:rsidR="00900485" w:rsidRPr="001A56AC">
        <w:rPr>
          <w:rFonts w:ascii="Arial" w:hAnsi="Arial" w:cs="Arial"/>
        </w:rPr>
        <w:t>conducted</w:t>
      </w:r>
      <w:r w:rsidRPr="001A56AC">
        <w:rPr>
          <w:rFonts w:ascii="Arial" w:hAnsi="Arial" w:cs="Arial"/>
        </w:rPr>
        <w:t xml:space="preserve"> informally with participants who reflected the personas developed in Part 1. These included undergraduate and postgraduate students, as well as one staff member. Participants interacted with the prototype on a mobile device</w:t>
      </w:r>
      <w:r w:rsidR="00493F4F">
        <w:rPr>
          <w:rFonts w:ascii="Arial" w:hAnsi="Arial" w:cs="Arial"/>
        </w:rPr>
        <w:t>. They were</w:t>
      </w:r>
      <w:r w:rsidRPr="001A56AC">
        <w:rPr>
          <w:rFonts w:ascii="Arial" w:hAnsi="Arial" w:cs="Arial"/>
        </w:rPr>
        <w:t xml:space="preserve"> </w:t>
      </w:r>
      <w:r w:rsidRPr="001A56AC">
        <w:rPr>
          <w:rFonts w:ascii="Arial" w:hAnsi="Arial" w:cs="Arial"/>
        </w:rPr>
        <w:lastRenderedPageBreak/>
        <w:t>asked to complete representative tasks, such as navigating from the Home Screen, interpreting the Game Board, using the Notes Sheet, and understanding the End Game outcome.</w:t>
      </w:r>
      <w:r w:rsidR="00493F4F">
        <w:rPr>
          <w:rFonts w:ascii="Arial" w:hAnsi="Arial" w:cs="Arial"/>
        </w:rPr>
        <w:t>[8]</w:t>
      </w:r>
      <w:r w:rsidRPr="001A56AC">
        <w:rPr>
          <w:rFonts w:ascii="Arial" w:hAnsi="Arial" w:cs="Arial"/>
        </w:rPr>
        <w:t xml:space="preserve"> A think-aloud technique was encouraged, allowing participants to verbalise their thoughts, expectations, and points of confusion while interacting with the design.</w:t>
      </w:r>
      <w:r w:rsidR="00493F4F">
        <w:rPr>
          <w:rFonts w:ascii="Arial" w:hAnsi="Arial" w:cs="Arial"/>
        </w:rPr>
        <w:t>[6]</w:t>
      </w:r>
    </w:p>
    <w:p w14:paraId="78773BDE" w14:textId="77777777" w:rsidR="00B421A0" w:rsidRPr="00B421A0" w:rsidRDefault="00B421A0" w:rsidP="00B421A0"/>
    <w:p w14:paraId="255000BD" w14:textId="28FB3FF2" w:rsidR="00D81BEF" w:rsidRDefault="00D81BEF" w:rsidP="00AA51AD">
      <w:pPr>
        <w:pStyle w:val="Heading2"/>
      </w:pPr>
      <w:bookmarkStart w:id="11" w:name="_Toc217134675"/>
      <w:r>
        <w:t>3.2 Feedback Summary</w:t>
      </w:r>
      <w:bookmarkEnd w:id="11"/>
      <w:r>
        <w:t xml:space="preserve"> </w:t>
      </w:r>
    </w:p>
    <w:p w14:paraId="00D6ADD1" w14:textId="77777777" w:rsidR="00B421A0" w:rsidRPr="00B421A0" w:rsidRDefault="00B421A0" w:rsidP="00B421A0"/>
    <w:p w14:paraId="4CC72B9D" w14:textId="77777777" w:rsidR="00B421A0" w:rsidRPr="001A56AC" w:rsidRDefault="00B421A0" w:rsidP="00B421A0">
      <w:pPr>
        <w:ind w:firstLine="720"/>
        <w:rPr>
          <w:rFonts w:ascii="Arial" w:hAnsi="Arial" w:cs="Arial"/>
        </w:rPr>
      </w:pPr>
      <w:r w:rsidRPr="001A56AC">
        <w:rPr>
          <w:rFonts w:ascii="Arial" w:hAnsi="Arial" w:cs="Arial"/>
        </w:rPr>
        <w:t>Overall feedback from participants was positive, particularly regarding the clarity and consistency of the visual design. Users reported that the colour scheme made it easier to distinguish between different types of actions and that the interface felt more engaging and realistic than the earlier monochrome wireframes. The Home Screen was widely described as intuitive, with clear navigation options, while the Notes Sheet was seen as a helpful tool that supported deductive reasoning without increasing cognitive load.</w:t>
      </w:r>
    </w:p>
    <w:p w14:paraId="1A86DC7F" w14:textId="66FF0865" w:rsidR="00B421A0" w:rsidRPr="00B421A0" w:rsidRDefault="00B421A0" w:rsidP="00B421A0">
      <w:pPr>
        <w:ind w:firstLine="720"/>
        <w:rPr>
          <w:rFonts w:ascii="Arial" w:hAnsi="Arial" w:cs="Arial"/>
        </w:rPr>
      </w:pPr>
      <w:r w:rsidRPr="001A56AC">
        <w:rPr>
          <w:rFonts w:ascii="Arial" w:hAnsi="Arial" w:cs="Arial"/>
        </w:rPr>
        <w:t xml:space="preserve">Some usability issues were also identified. Several participants hesitated before selecting the </w:t>
      </w:r>
      <w:r w:rsidRPr="001A56AC">
        <w:rPr>
          <w:rFonts w:ascii="Arial" w:hAnsi="Arial" w:cs="Arial"/>
          <w:i/>
          <w:iCs/>
        </w:rPr>
        <w:t>Accuse</w:t>
      </w:r>
      <w:r w:rsidRPr="001A56AC">
        <w:rPr>
          <w:rFonts w:ascii="Arial" w:hAnsi="Arial" w:cs="Arial"/>
        </w:rPr>
        <w:t xml:space="preserve"> button, indicating that the visual emphasis successfully communicated risk but may require additional explanatory cues. Others noted that certain icons on the Game Board were not immediately clear during their first interaction, suggesting a need for improved onboarding or clearer visual affordances. These issues were most evident among first-time users.</w:t>
      </w:r>
    </w:p>
    <w:p w14:paraId="358ACEE3" w14:textId="77777777" w:rsidR="00B421A0" w:rsidRPr="00B421A0" w:rsidRDefault="00B421A0" w:rsidP="00B421A0"/>
    <w:p w14:paraId="6E28AB0C" w14:textId="79575B40" w:rsidR="00D81BEF" w:rsidRDefault="00D81BEF" w:rsidP="00AA51AD">
      <w:pPr>
        <w:pStyle w:val="Heading2"/>
      </w:pPr>
      <w:bookmarkStart w:id="12" w:name="_Toc217134676"/>
      <w:r>
        <w:t>3.3 Design Changes Made</w:t>
      </w:r>
      <w:bookmarkEnd w:id="12"/>
    </w:p>
    <w:p w14:paraId="6297036C" w14:textId="54FEEB09" w:rsidR="00B421A0" w:rsidRPr="001A56AC" w:rsidRDefault="00B421A0" w:rsidP="00B421A0">
      <w:pPr>
        <w:ind w:firstLine="720"/>
        <w:rPr>
          <w:rFonts w:ascii="Arial" w:hAnsi="Arial" w:cs="Arial"/>
        </w:rPr>
      </w:pPr>
      <w:r w:rsidRPr="001A56AC">
        <w:rPr>
          <w:rFonts w:ascii="Arial" w:hAnsi="Arial" w:cs="Arial"/>
        </w:rPr>
        <w:t>In response to the feedback gathered, several refinements were made to the high-fidelity design. Button labels were adjusted to improve clarity, particularly for actions with significant consequences. Spacing between critical controls was increased to reduce the likelihood of accidental input, and visual cues were strengthened to guide users during early interactions with the interface.</w:t>
      </w:r>
      <w:r w:rsidR="00493F4F">
        <w:rPr>
          <w:rFonts w:ascii="Arial" w:hAnsi="Arial" w:cs="Arial"/>
        </w:rPr>
        <w:t>[9]</w:t>
      </w:r>
    </w:p>
    <w:p w14:paraId="566B3F3E" w14:textId="77777777" w:rsidR="00B421A0" w:rsidRPr="001A56AC" w:rsidRDefault="00B421A0" w:rsidP="00B421A0">
      <w:pPr>
        <w:ind w:firstLine="720"/>
        <w:rPr>
          <w:rFonts w:ascii="Arial" w:hAnsi="Arial" w:cs="Arial"/>
        </w:rPr>
      </w:pPr>
      <w:r w:rsidRPr="001A56AC">
        <w:rPr>
          <w:rFonts w:ascii="Arial" w:hAnsi="Arial" w:cs="Arial"/>
        </w:rPr>
        <w:t>Additional emphasis was placed on improving first-time user understanding, including clearer differentiation between primary and secondary actions. These changes demonstrate how usability testing informed the iterative design process and contributed to a more accessible and user-centred interface. The refinement process highlights the value of early feedback in improving both usability and overall user experience before further development.</w:t>
      </w:r>
    </w:p>
    <w:p w14:paraId="74323117" w14:textId="77777777" w:rsidR="00D81BEF" w:rsidRDefault="00D81BEF" w:rsidP="00D81BEF">
      <w:pPr>
        <w:pStyle w:val="Heading1"/>
      </w:pPr>
    </w:p>
    <w:p w14:paraId="39274813" w14:textId="54C7F0CF" w:rsidR="00D81BEF" w:rsidRDefault="00D81BEF" w:rsidP="00D81BEF">
      <w:pPr>
        <w:pStyle w:val="Heading1"/>
      </w:pPr>
      <w:bookmarkStart w:id="13" w:name="_Toc217134677"/>
      <w:r>
        <w:t>4. Data Collection Considerations</w:t>
      </w:r>
      <w:bookmarkEnd w:id="13"/>
      <w:r>
        <w:t xml:space="preserve"> </w:t>
      </w:r>
    </w:p>
    <w:p w14:paraId="051112D3" w14:textId="77777777" w:rsidR="00DD2EF0" w:rsidRDefault="00DD2EF0" w:rsidP="00DD2EF0"/>
    <w:p w14:paraId="6E4505CC" w14:textId="775F4184" w:rsidR="00DD2EF0" w:rsidRPr="00702B98" w:rsidRDefault="00DD2EF0" w:rsidP="00DD2EF0">
      <w:pPr>
        <w:ind w:firstLine="720"/>
        <w:rPr>
          <w:rFonts w:ascii="Arial" w:hAnsi="Arial" w:cs="Arial"/>
        </w:rPr>
      </w:pPr>
      <w:r w:rsidRPr="00702B98">
        <w:rPr>
          <w:rFonts w:ascii="Arial" w:hAnsi="Arial" w:cs="Arial"/>
        </w:rPr>
        <w:t xml:space="preserve">If </w:t>
      </w:r>
      <w:r w:rsidRPr="00702B98">
        <w:rPr>
          <w:rFonts w:ascii="Arial" w:hAnsi="Arial" w:cs="Arial"/>
          <w:i/>
          <w:iCs/>
        </w:rPr>
        <w:t>Vice-Chancellor Mystery</w:t>
      </w:r>
      <w:r w:rsidRPr="00702B98">
        <w:rPr>
          <w:rFonts w:ascii="Arial" w:hAnsi="Arial" w:cs="Arial"/>
        </w:rPr>
        <w:t xml:space="preserve"> were developed as a fully deployed mobile application, a range of user data could be collected to support ongoing evaluation and improvement of the design. At this stage, the discussion remains hypothetical and focuses on the types of data that would be appropriate, useful, and ethically acceptable within a university context.</w:t>
      </w:r>
      <w:r w:rsidR="00493F4F">
        <w:rPr>
          <w:rFonts w:ascii="Arial" w:hAnsi="Arial" w:cs="Arial"/>
        </w:rPr>
        <w:t>[10]</w:t>
      </w:r>
    </w:p>
    <w:p w14:paraId="68FC676E" w14:textId="2D4AD21B" w:rsidR="00DD2EF0" w:rsidRPr="00702B98" w:rsidRDefault="00DD2EF0" w:rsidP="00DD2EF0">
      <w:pPr>
        <w:ind w:firstLine="720"/>
        <w:rPr>
          <w:rFonts w:ascii="Arial" w:hAnsi="Arial" w:cs="Arial"/>
        </w:rPr>
      </w:pPr>
      <w:r w:rsidRPr="00702B98">
        <w:rPr>
          <w:rFonts w:ascii="Arial" w:hAnsi="Arial" w:cs="Arial"/>
        </w:rPr>
        <w:lastRenderedPageBreak/>
        <w:t xml:space="preserve">One important category of data would be </w:t>
      </w:r>
      <w:r w:rsidRPr="00702B98">
        <w:rPr>
          <w:rFonts w:ascii="Arial" w:hAnsi="Arial" w:cs="Arial"/>
          <w:b/>
          <w:bCs/>
        </w:rPr>
        <w:t>usage data</w:t>
      </w:r>
      <w:r w:rsidRPr="00702B98">
        <w:rPr>
          <w:rFonts w:ascii="Arial" w:hAnsi="Arial" w:cs="Arial"/>
        </w:rPr>
        <w:t>, which describes how users interact with the application. This could include information such as how often games are started, which screens are visited most frequently, and how long users spend on different parts of the game. Such data would help identify patterns in user behaviour and reveal which features are most engaging or where users may encounter difficulties. For example, repeated abandonment at a particular stage could indicate a usability issue that requires further investigation.</w:t>
      </w:r>
      <w:r w:rsidR="00493F4F">
        <w:rPr>
          <w:rFonts w:ascii="Arial" w:hAnsi="Arial" w:cs="Arial"/>
        </w:rPr>
        <w:t>[11]</w:t>
      </w:r>
    </w:p>
    <w:p w14:paraId="3618DEC6" w14:textId="77777777" w:rsidR="00DD2EF0" w:rsidRPr="00702B98" w:rsidRDefault="00DD2EF0" w:rsidP="00DD2EF0">
      <w:pPr>
        <w:ind w:firstLine="720"/>
        <w:rPr>
          <w:rFonts w:ascii="Arial" w:hAnsi="Arial" w:cs="Arial"/>
        </w:rPr>
      </w:pPr>
      <w:r w:rsidRPr="00702B98">
        <w:rPr>
          <w:rFonts w:ascii="Arial" w:hAnsi="Arial" w:cs="Arial"/>
        </w:rPr>
        <w:t xml:space="preserve">A second category is </w:t>
      </w:r>
      <w:r w:rsidRPr="00702B98">
        <w:rPr>
          <w:rFonts w:ascii="Arial" w:hAnsi="Arial" w:cs="Arial"/>
          <w:b/>
          <w:bCs/>
        </w:rPr>
        <w:t>performance-related data</w:t>
      </w:r>
      <w:r w:rsidRPr="00702B98">
        <w:rPr>
          <w:rFonts w:ascii="Arial" w:hAnsi="Arial" w:cs="Arial"/>
        </w:rPr>
        <w:t>, such as incomplete games, repeated incorrect actions, or frequent hesitation before certain decisions. This type of data could help designers understand where users experience uncertainty or confusion. In the context of this game, analysing interactions with high-risk actions, such as making an accusation, could provide insight into whether the interface communicates consequences effectively.</w:t>
      </w:r>
    </w:p>
    <w:p w14:paraId="73271669" w14:textId="77777777" w:rsidR="00DD2EF0" w:rsidRPr="00702B98" w:rsidRDefault="00DD2EF0" w:rsidP="00DD2EF0">
      <w:pPr>
        <w:ind w:firstLine="720"/>
        <w:rPr>
          <w:rFonts w:ascii="Arial" w:hAnsi="Arial" w:cs="Arial"/>
        </w:rPr>
      </w:pPr>
      <w:r w:rsidRPr="00702B98">
        <w:rPr>
          <w:rFonts w:ascii="Arial" w:hAnsi="Arial" w:cs="Arial"/>
        </w:rPr>
        <w:t xml:space="preserve">In addition to automatically collected data, </w:t>
      </w:r>
      <w:r w:rsidRPr="00702B98">
        <w:rPr>
          <w:rFonts w:ascii="Arial" w:hAnsi="Arial" w:cs="Arial"/>
          <w:b/>
          <w:bCs/>
        </w:rPr>
        <w:t>user-reported experience data</w:t>
      </w:r>
      <w:r w:rsidRPr="00702B98">
        <w:rPr>
          <w:rFonts w:ascii="Arial" w:hAnsi="Arial" w:cs="Arial"/>
        </w:rPr>
        <w:t xml:space="preserve"> could also be valuable. This may include optional in-app feedback, short satisfaction ratings after a game, or qualitative comments about enjoyment and frustration. While more subjective, this data provides insight into emotional responses and overall user experience, which cannot be fully captured through usage statistics alone.</w:t>
      </w:r>
    </w:p>
    <w:p w14:paraId="3D93BB19" w14:textId="7646957B" w:rsidR="00DD2EF0" w:rsidRPr="00702B98" w:rsidRDefault="00DD2EF0" w:rsidP="00DD2EF0">
      <w:pPr>
        <w:ind w:firstLine="720"/>
        <w:rPr>
          <w:rFonts w:ascii="Arial" w:hAnsi="Arial" w:cs="Arial"/>
        </w:rPr>
      </w:pPr>
      <w:r w:rsidRPr="00702B98">
        <w:rPr>
          <w:rFonts w:ascii="Arial" w:hAnsi="Arial" w:cs="Arial"/>
        </w:rPr>
        <w:t xml:space="preserve">Ethical considerations are central to any data collection strategy. Users would need to be clearly informed about what data is collected and for what purpose. Consent should be explicit, and all data should be anonymised to protect user privacy. Given the academic setting, it would be particularly important to ensure that participation is </w:t>
      </w:r>
      <w:r w:rsidR="00900485" w:rsidRPr="00702B98">
        <w:rPr>
          <w:rFonts w:ascii="Arial" w:hAnsi="Arial" w:cs="Arial"/>
        </w:rPr>
        <w:t>voluntary</w:t>
      </w:r>
      <w:r w:rsidRPr="00702B98">
        <w:rPr>
          <w:rFonts w:ascii="Arial" w:hAnsi="Arial" w:cs="Arial"/>
        </w:rPr>
        <w:t xml:space="preserve"> and that no personally identifiable information is stored unnecessarily.</w:t>
      </w:r>
    </w:p>
    <w:p w14:paraId="677D78C9" w14:textId="3ED6678A" w:rsidR="00DD2EF0" w:rsidRPr="00702B98" w:rsidRDefault="00DD2EF0" w:rsidP="00DD2EF0">
      <w:pPr>
        <w:rPr>
          <w:rFonts w:ascii="Arial" w:hAnsi="Arial" w:cs="Arial"/>
        </w:rPr>
      </w:pPr>
      <w:r w:rsidRPr="00702B98">
        <w:rPr>
          <w:rFonts w:ascii="Arial" w:hAnsi="Arial" w:cs="Arial"/>
        </w:rPr>
        <w:t>Together, these forms of data could support future design iterations by providing evidence-based insight into both usability and user experience, while respecting ethical and privacy considerations.</w:t>
      </w:r>
      <w:r w:rsidR="00493F4F">
        <w:rPr>
          <w:rFonts w:ascii="Arial" w:hAnsi="Arial" w:cs="Arial"/>
        </w:rPr>
        <w:t>[13]</w:t>
      </w:r>
    </w:p>
    <w:p w14:paraId="0EC9C987" w14:textId="77777777" w:rsidR="00DD2EF0" w:rsidRPr="00DD2EF0" w:rsidRDefault="00DD2EF0" w:rsidP="00DD2EF0"/>
    <w:p w14:paraId="3BB6939F" w14:textId="77777777" w:rsidR="00D81BEF" w:rsidRDefault="00D81BEF" w:rsidP="00D81BEF">
      <w:pPr>
        <w:pStyle w:val="Heading1"/>
      </w:pPr>
    </w:p>
    <w:p w14:paraId="43C5C0F4" w14:textId="3E704B2F" w:rsidR="00D81BEF" w:rsidRDefault="00D81BEF" w:rsidP="00D81BEF">
      <w:pPr>
        <w:pStyle w:val="Heading1"/>
      </w:pPr>
      <w:bookmarkStart w:id="14" w:name="_Toc217134678"/>
      <w:r>
        <w:t>5. Usability vs User Experience reflection</w:t>
      </w:r>
      <w:bookmarkEnd w:id="14"/>
      <w:r>
        <w:t xml:space="preserve"> </w:t>
      </w:r>
    </w:p>
    <w:p w14:paraId="1D39E999" w14:textId="77777777" w:rsidR="00DD2EF0" w:rsidRDefault="00DD2EF0" w:rsidP="00DD2EF0"/>
    <w:p w14:paraId="47B61B9B" w14:textId="5E117DAB" w:rsidR="00DD2EF0" w:rsidRPr="00702B98" w:rsidRDefault="00DD2EF0" w:rsidP="00DD2EF0">
      <w:pPr>
        <w:ind w:firstLine="720"/>
        <w:rPr>
          <w:rFonts w:ascii="Arial" w:hAnsi="Arial" w:cs="Arial"/>
        </w:rPr>
      </w:pPr>
      <w:r w:rsidRPr="00702B98">
        <w:rPr>
          <w:rFonts w:ascii="Arial" w:hAnsi="Arial" w:cs="Arial"/>
        </w:rPr>
        <w:t xml:space="preserve">Usability and user experience are closely related but represent different design priorities. Usability focuses on efficiency, clarity, and error prevention, while user experience emphasises engagement, enjoyment, and emotional response. Designing </w:t>
      </w:r>
      <w:r w:rsidRPr="00702B98">
        <w:rPr>
          <w:rFonts w:ascii="Arial" w:hAnsi="Arial" w:cs="Arial"/>
          <w:i/>
          <w:iCs/>
        </w:rPr>
        <w:t>Vice-Chancellor Mystery</w:t>
      </w:r>
      <w:r w:rsidRPr="00702B98">
        <w:rPr>
          <w:rFonts w:ascii="Arial" w:hAnsi="Arial" w:cs="Arial"/>
        </w:rPr>
        <w:t xml:space="preserve"> required balancing these two perspectives, particularly because the application is a game rather than a purely functional tool.</w:t>
      </w:r>
      <w:r w:rsidR="00493F4F">
        <w:rPr>
          <w:rFonts w:ascii="Arial" w:hAnsi="Arial" w:cs="Arial"/>
        </w:rPr>
        <w:t>[19][20]</w:t>
      </w:r>
    </w:p>
    <w:p w14:paraId="304DD6B6" w14:textId="70696E2A" w:rsidR="00DD2EF0" w:rsidRPr="00702B98" w:rsidRDefault="00DD2EF0" w:rsidP="00DD2EF0">
      <w:pPr>
        <w:ind w:firstLine="720"/>
        <w:rPr>
          <w:rFonts w:ascii="Arial" w:hAnsi="Arial" w:cs="Arial"/>
        </w:rPr>
      </w:pPr>
      <w:r w:rsidRPr="00702B98">
        <w:rPr>
          <w:rFonts w:ascii="Arial" w:hAnsi="Arial" w:cs="Arial"/>
        </w:rPr>
        <w:t>From a usability perspective, the interface was designed to be predictable and easy to understand. Navigation is consistent across screens, button labels are explicit, and interactions follow familiar mobile patterns. For example, the Notes Sheet prioritises structure and simplicity, allowing users to record information quickly without distraction. These decisions reduce cognitive load but risk making the experience feel overly functional if applied too rigidly.</w:t>
      </w:r>
      <w:r w:rsidR="00493F4F">
        <w:rPr>
          <w:rFonts w:ascii="Arial" w:hAnsi="Arial" w:cs="Arial"/>
        </w:rPr>
        <w:t>[14]</w:t>
      </w:r>
    </w:p>
    <w:p w14:paraId="3532CFF2" w14:textId="4733EF49" w:rsidR="00DD2EF0" w:rsidRPr="00702B98" w:rsidRDefault="00DD2EF0" w:rsidP="00DD2EF0">
      <w:pPr>
        <w:ind w:firstLine="720"/>
        <w:rPr>
          <w:rFonts w:ascii="Arial" w:hAnsi="Arial" w:cs="Arial"/>
        </w:rPr>
      </w:pPr>
      <w:r w:rsidRPr="00702B98">
        <w:rPr>
          <w:rFonts w:ascii="Arial" w:hAnsi="Arial" w:cs="Arial"/>
        </w:rPr>
        <w:lastRenderedPageBreak/>
        <w:t>User experience considerations introduced more expressive elements, particularly through colour and feedback. Visual emphasis on high-risk actions, such as making an accusation, adds tension and supports the game narrative. However, usability testing showed that this emphasis can also cause hesitation, demonstrating a trade-off between emotional impact and efficiency.</w:t>
      </w:r>
      <w:r w:rsidR="00493F4F">
        <w:rPr>
          <w:rFonts w:ascii="Arial" w:hAnsi="Arial" w:cs="Arial"/>
        </w:rPr>
        <w:t>[15][16]</w:t>
      </w:r>
    </w:p>
    <w:p w14:paraId="796049DB" w14:textId="0BBA3937" w:rsidR="00DD2EF0" w:rsidRPr="00702B98" w:rsidRDefault="00DD2EF0" w:rsidP="00DD2EF0">
      <w:pPr>
        <w:rPr>
          <w:rFonts w:ascii="Arial" w:hAnsi="Arial" w:cs="Arial"/>
        </w:rPr>
      </w:pPr>
      <w:r w:rsidRPr="00702B98">
        <w:rPr>
          <w:rFonts w:ascii="Arial" w:hAnsi="Arial" w:cs="Arial"/>
        </w:rPr>
        <w:t>The final design reflects a compromise between these approaches. Core interactions remain clear and accessible, while selective visual cues enhance engagement. This balance highlights that effective interaction design involves integrating usability and user experience in a way that suits the purpose and context of the application.</w:t>
      </w:r>
      <w:r w:rsidR="00493F4F">
        <w:rPr>
          <w:rFonts w:ascii="Arial" w:hAnsi="Arial" w:cs="Arial"/>
        </w:rPr>
        <w:t>[17][18]</w:t>
      </w:r>
    </w:p>
    <w:p w14:paraId="22CD393D" w14:textId="77777777" w:rsidR="00D81BEF" w:rsidRDefault="00D81BEF" w:rsidP="00D81BEF">
      <w:pPr>
        <w:pStyle w:val="Heading1"/>
      </w:pPr>
    </w:p>
    <w:p w14:paraId="3F5ADCF2" w14:textId="27E3A986" w:rsidR="00D81BEF" w:rsidRDefault="00D81BEF" w:rsidP="00D81BEF">
      <w:pPr>
        <w:pStyle w:val="Heading1"/>
      </w:pPr>
      <w:bookmarkStart w:id="15" w:name="_Toc217134679"/>
      <w:r>
        <w:t>6. Conclusion</w:t>
      </w:r>
      <w:bookmarkEnd w:id="15"/>
    </w:p>
    <w:p w14:paraId="1F086A3F" w14:textId="77777777" w:rsidR="00DD2EF0" w:rsidRPr="00702B98" w:rsidRDefault="00DD2EF0" w:rsidP="00DD2EF0">
      <w:pPr>
        <w:ind w:firstLine="720"/>
        <w:rPr>
          <w:rFonts w:ascii="Arial" w:hAnsi="Arial" w:cs="Arial"/>
        </w:rPr>
      </w:pPr>
      <w:r w:rsidRPr="00702B98">
        <w:rPr>
          <w:rFonts w:ascii="Arial" w:hAnsi="Arial" w:cs="Arial"/>
        </w:rPr>
        <w:t xml:space="preserve">This report has presented the second stage of the </w:t>
      </w:r>
      <w:r w:rsidRPr="00702B98">
        <w:rPr>
          <w:rFonts w:ascii="Arial" w:hAnsi="Arial" w:cs="Arial"/>
          <w:i/>
          <w:iCs/>
        </w:rPr>
        <w:t>Vice-Chancellor Mystery</w:t>
      </w:r>
      <w:r w:rsidRPr="00702B98">
        <w:rPr>
          <w:rFonts w:ascii="Arial" w:hAnsi="Arial" w:cs="Arial"/>
        </w:rPr>
        <w:t xml:space="preserve"> design project, focusing on the refinement of the interface through high-fidelity visual design, usability testing, and critical reflection. Building on the personas and low-fidelity wireframes developed in the first assignment, this phase demonstrated how user-centred design principles can guide the transition from structural concepts to a realistic and engaging mobile application.</w:t>
      </w:r>
    </w:p>
    <w:p w14:paraId="20E0C22A" w14:textId="77777777" w:rsidR="00DD2EF0" w:rsidRPr="00702B98" w:rsidRDefault="00DD2EF0" w:rsidP="00DD2EF0">
      <w:pPr>
        <w:ind w:firstLine="720"/>
        <w:rPr>
          <w:rFonts w:ascii="Arial" w:hAnsi="Arial" w:cs="Arial"/>
        </w:rPr>
      </w:pPr>
      <w:r w:rsidRPr="00702B98">
        <w:rPr>
          <w:rFonts w:ascii="Arial" w:hAnsi="Arial" w:cs="Arial"/>
        </w:rPr>
        <w:t>The introduction of colour, typography, and visual hierarchy enhanced both usability and user experience, while maintaining accessibility and clarity for a diverse university audience. Informal usability testing provided valuable insight into how users interpreted and interacted with the design, allowing targeted refinements to be made in response to observed issues and feedback. The discussion of potential data collection further highlighted how future iterations of the application could be informed by evidence, while respecting ethical and privacy considerations.</w:t>
      </w:r>
    </w:p>
    <w:p w14:paraId="69857F7A" w14:textId="4A47D736" w:rsidR="00DD2EF0" w:rsidRPr="00702B98" w:rsidRDefault="00DD2EF0" w:rsidP="00DD2EF0">
      <w:pPr>
        <w:rPr>
          <w:rFonts w:ascii="Arial" w:hAnsi="Arial" w:cs="Arial"/>
        </w:rPr>
      </w:pPr>
      <w:r w:rsidRPr="00702B98">
        <w:rPr>
          <w:rFonts w:ascii="Arial" w:hAnsi="Arial" w:cs="Arial"/>
        </w:rPr>
        <w:t xml:space="preserve">The project also illustrated the importance of balancing usability with user experience, particularly within a game-based context. Overall, this assignment demonstrates an iterative and reflective approach to usability engineering and interaction </w:t>
      </w:r>
      <w:r w:rsidR="00900485" w:rsidRPr="00702B98">
        <w:rPr>
          <w:rFonts w:ascii="Arial" w:hAnsi="Arial" w:cs="Arial"/>
        </w:rPr>
        <w:t>design and</w:t>
      </w:r>
      <w:r w:rsidRPr="00702B98">
        <w:rPr>
          <w:rFonts w:ascii="Arial" w:hAnsi="Arial" w:cs="Arial"/>
        </w:rPr>
        <w:t xml:space="preserve"> provides a strong foundation for further development and evaluation of the application.</w:t>
      </w:r>
    </w:p>
    <w:p w14:paraId="3994DDA9" w14:textId="77777777" w:rsidR="00DD2EF0" w:rsidRDefault="00DD2EF0" w:rsidP="00DD2EF0"/>
    <w:p w14:paraId="08B9457A" w14:textId="77777777" w:rsidR="004732FA" w:rsidRDefault="004732FA" w:rsidP="00DD2EF0"/>
    <w:p w14:paraId="2BFF954F" w14:textId="77777777" w:rsidR="004732FA" w:rsidRDefault="004732FA" w:rsidP="00DD2EF0"/>
    <w:p w14:paraId="00CD3C03" w14:textId="77777777" w:rsidR="004732FA" w:rsidRDefault="004732FA" w:rsidP="00DD2EF0"/>
    <w:p w14:paraId="4E1FC949" w14:textId="77777777" w:rsidR="004732FA" w:rsidRDefault="004732FA" w:rsidP="00DD2EF0"/>
    <w:p w14:paraId="4298B120" w14:textId="77777777" w:rsidR="004732FA" w:rsidRDefault="004732FA" w:rsidP="00DD2EF0"/>
    <w:p w14:paraId="222855D2" w14:textId="77777777" w:rsidR="004732FA" w:rsidRDefault="004732FA" w:rsidP="00DD2EF0"/>
    <w:p w14:paraId="0C6B0839" w14:textId="77777777" w:rsidR="004732FA" w:rsidRDefault="004732FA" w:rsidP="00DD2EF0"/>
    <w:p w14:paraId="56A2EE3A" w14:textId="77777777" w:rsidR="004732FA" w:rsidRDefault="004732FA" w:rsidP="00DD2EF0"/>
    <w:p w14:paraId="199FEC38" w14:textId="77777777" w:rsidR="004732FA" w:rsidRDefault="004732FA" w:rsidP="00DD2EF0"/>
    <w:p w14:paraId="5659B8FA" w14:textId="48B98C67" w:rsidR="004732FA" w:rsidRPr="00DD2EF0" w:rsidRDefault="004732FA" w:rsidP="004732FA">
      <w:pPr>
        <w:pStyle w:val="Heading1"/>
      </w:pPr>
      <w:bookmarkStart w:id="16" w:name="_Toc217134680"/>
      <w:r>
        <w:lastRenderedPageBreak/>
        <w:t>References</w:t>
      </w:r>
      <w:bookmarkEnd w:id="16"/>
    </w:p>
    <w:p w14:paraId="4D77170D" w14:textId="77777777" w:rsidR="00DC4B61" w:rsidRDefault="004732FA" w:rsidP="004732FA">
      <w:pPr>
        <w:rPr>
          <w:rFonts w:ascii="Arial" w:hAnsi="Arial" w:cs="Arial"/>
        </w:rPr>
      </w:pPr>
      <w:r w:rsidRPr="00823C95">
        <w:rPr>
          <w:rFonts w:ascii="Arial" w:hAnsi="Arial" w:cs="Arial"/>
        </w:rPr>
        <w:t xml:space="preserve">[1] D. Benyon, </w:t>
      </w:r>
      <w:r w:rsidRPr="00823C95">
        <w:rPr>
          <w:rFonts w:ascii="Arial" w:hAnsi="Arial" w:cs="Arial"/>
          <w:i/>
          <w:iCs/>
        </w:rPr>
        <w:t>Designing Interactive Systems</w:t>
      </w:r>
      <w:r w:rsidRPr="00823C95">
        <w:rPr>
          <w:rFonts w:ascii="Arial" w:hAnsi="Arial" w:cs="Arial"/>
        </w:rPr>
        <w:t>, 4th ed. Harlow, U.K.: Pearson Education, 2019.</w:t>
      </w:r>
    </w:p>
    <w:p w14:paraId="65FF5FF0" w14:textId="0C7A5E0F" w:rsidR="004732FA" w:rsidRPr="00823C95" w:rsidRDefault="004732FA" w:rsidP="004732FA">
      <w:pPr>
        <w:rPr>
          <w:rFonts w:ascii="Arial" w:hAnsi="Arial" w:cs="Arial"/>
        </w:rPr>
      </w:pPr>
      <w:r w:rsidRPr="00823C95">
        <w:rPr>
          <w:rFonts w:ascii="Arial" w:hAnsi="Arial" w:cs="Arial"/>
        </w:rPr>
        <w:t xml:space="preserve">[2] J. Preece, Y. Rogers, and H. Sharp, </w:t>
      </w:r>
      <w:r w:rsidRPr="00823C95">
        <w:rPr>
          <w:rFonts w:ascii="Arial" w:hAnsi="Arial" w:cs="Arial"/>
          <w:i/>
          <w:iCs/>
        </w:rPr>
        <w:t>Interaction Design: Beyond Human–Computer Interaction</w:t>
      </w:r>
      <w:r w:rsidRPr="00823C95">
        <w:rPr>
          <w:rFonts w:ascii="Arial" w:hAnsi="Arial" w:cs="Arial"/>
        </w:rPr>
        <w:t>, 5th ed. Hoboken, NJ, USA: Wiley, 2019.</w:t>
      </w:r>
    </w:p>
    <w:p w14:paraId="111064AA" w14:textId="77777777" w:rsidR="004732FA" w:rsidRPr="00823C95" w:rsidRDefault="004732FA" w:rsidP="004732FA">
      <w:pPr>
        <w:rPr>
          <w:rFonts w:ascii="Arial" w:hAnsi="Arial" w:cs="Arial"/>
        </w:rPr>
      </w:pPr>
      <w:r w:rsidRPr="00823C95">
        <w:rPr>
          <w:rFonts w:ascii="Arial" w:hAnsi="Arial" w:cs="Arial"/>
        </w:rPr>
        <w:t xml:space="preserve">[3] BSI, </w:t>
      </w:r>
      <w:r w:rsidRPr="00823C95">
        <w:rPr>
          <w:rFonts w:ascii="Arial" w:hAnsi="Arial" w:cs="Arial"/>
          <w:i/>
          <w:iCs/>
        </w:rPr>
        <w:t>BS EN ISO 9241-11:2018 — Ergonomics of Human-System Interaction: Usability — Definitions and Concepts</w:t>
      </w:r>
      <w:r w:rsidRPr="00823C95">
        <w:rPr>
          <w:rFonts w:ascii="Arial" w:hAnsi="Arial" w:cs="Arial"/>
        </w:rPr>
        <w:t>. London, U.K.: British Standards Institution, 2018.</w:t>
      </w:r>
    </w:p>
    <w:p w14:paraId="3CF28581" w14:textId="77777777" w:rsidR="004732FA" w:rsidRPr="00823C95" w:rsidRDefault="004732FA" w:rsidP="004732FA">
      <w:pPr>
        <w:rPr>
          <w:rFonts w:ascii="Arial" w:hAnsi="Arial" w:cs="Arial"/>
        </w:rPr>
      </w:pPr>
      <w:r w:rsidRPr="00823C95">
        <w:rPr>
          <w:rFonts w:ascii="Arial" w:hAnsi="Arial" w:cs="Arial"/>
        </w:rPr>
        <w:t xml:space="preserve">[4] BSI, </w:t>
      </w:r>
      <w:r w:rsidRPr="00823C95">
        <w:rPr>
          <w:rFonts w:ascii="Arial" w:hAnsi="Arial" w:cs="Arial"/>
          <w:i/>
          <w:iCs/>
        </w:rPr>
        <w:t>BS EN ISO 9241-210:2019 — Human-Centred Design for Interactive Systems</w:t>
      </w:r>
      <w:r w:rsidRPr="00823C95">
        <w:rPr>
          <w:rFonts w:ascii="Arial" w:hAnsi="Arial" w:cs="Arial"/>
        </w:rPr>
        <w:t>. London, U.K.: British Standards Institution, 2019.</w:t>
      </w:r>
    </w:p>
    <w:p w14:paraId="3EF88519" w14:textId="77777777" w:rsidR="004732FA" w:rsidRPr="00823C95" w:rsidRDefault="004732FA" w:rsidP="004732FA">
      <w:pPr>
        <w:rPr>
          <w:rFonts w:ascii="Arial" w:hAnsi="Arial" w:cs="Arial"/>
        </w:rPr>
      </w:pPr>
      <w:r w:rsidRPr="00823C95">
        <w:rPr>
          <w:rFonts w:ascii="Arial" w:hAnsi="Arial" w:cs="Arial"/>
        </w:rPr>
        <w:t xml:space="preserve">[5] Government Digital Service, </w:t>
      </w:r>
      <w:r w:rsidRPr="00823C95">
        <w:rPr>
          <w:rFonts w:ascii="Arial" w:hAnsi="Arial" w:cs="Arial"/>
          <w:i/>
          <w:iCs/>
        </w:rPr>
        <w:t>GOV.UK Design Principles</w:t>
      </w:r>
      <w:r w:rsidRPr="00823C95">
        <w:rPr>
          <w:rFonts w:ascii="Arial" w:hAnsi="Arial" w:cs="Arial"/>
        </w:rPr>
        <w:t>. London, U.K.: Cabinet Office, 2023.</w:t>
      </w:r>
    </w:p>
    <w:p w14:paraId="5F16E4C0" w14:textId="77777777" w:rsidR="004732FA" w:rsidRPr="00823C95" w:rsidRDefault="004732FA" w:rsidP="004732FA">
      <w:pPr>
        <w:rPr>
          <w:rFonts w:ascii="Arial" w:hAnsi="Arial" w:cs="Arial"/>
        </w:rPr>
      </w:pPr>
      <w:r w:rsidRPr="00823C95">
        <w:rPr>
          <w:rFonts w:ascii="Arial" w:hAnsi="Arial" w:cs="Arial"/>
        </w:rPr>
        <w:t xml:space="preserve">[6] Government Digital Service, </w:t>
      </w:r>
      <w:r w:rsidRPr="00823C95">
        <w:rPr>
          <w:rFonts w:ascii="Arial" w:hAnsi="Arial" w:cs="Arial"/>
          <w:i/>
          <w:iCs/>
        </w:rPr>
        <w:t>Service Manual: Test Your Service with Users</w:t>
      </w:r>
      <w:r w:rsidRPr="00823C95">
        <w:rPr>
          <w:rFonts w:ascii="Arial" w:hAnsi="Arial" w:cs="Arial"/>
        </w:rPr>
        <w:t>. London, U.K.: Cabinet Office, 2023.</w:t>
      </w:r>
    </w:p>
    <w:p w14:paraId="0C527D55" w14:textId="77777777" w:rsidR="004732FA" w:rsidRPr="00823C95" w:rsidRDefault="004732FA" w:rsidP="004732FA">
      <w:pPr>
        <w:rPr>
          <w:rFonts w:ascii="Arial" w:hAnsi="Arial" w:cs="Arial"/>
        </w:rPr>
      </w:pPr>
      <w:r w:rsidRPr="00823C95">
        <w:rPr>
          <w:rFonts w:ascii="Arial" w:hAnsi="Arial" w:cs="Arial"/>
        </w:rPr>
        <w:t xml:space="preserve">[7] J. Brooke, “SUS: A ‘Quick and Dirty’ Usability Scale,” in </w:t>
      </w:r>
      <w:r w:rsidRPr="00823C95">
        <w:rPr>
          <w:rFonts w:ascii="Arial" w:hAnsi="Arial" w:cs="Arial"/>
          <w:i/>
          <w:iCs/>
        </w:rPr>
        <w:t>Usability Evaluation in Industry</w:t>
      </w:r>
      <w:r w:rsidRPr="00823C95">
        <w:rPr>
          <w:rFonts w:ascii="Arial" w:hAnsi="Arial" w:cs="Arial"/>
        </w:rPr>
        <w:t>, P. W. Jordan et al., Eds. London, U.K.: Taylor &amp; Francis, 1996, pp. 189–194.</w:t>
      </w:r>
    </w:p>
    <w:p w14:paraId="539EE8B7" w14:textId="77777777" w:rsidR="004732FA" w:rsidRPr="00823C95" w:rsidRDefault="004732FA" w:rsidP="004732FA">
      <w:pPr>
        <w:rPr>
          <w:rFonts w:ascii="Arial" w:hAnsi="Arial" w:cs="Arial"/>
        </w:rPr>
      </w:pPr>
      <w:r w:rsidRPr="00823C95">
        <w:rPr>
          <w:rFonts w:ascii="Arial" w:hAnsi="Arial" w:cs="Arial"/>
        </w:rPr>
        <w:t xml:space="preserve">[8] C. Barnum, </w:t>
      </w:r>
      <w:r w:rsidRPr="00823C95">
        <w:rPr>
          <w:rFonts w:ascii="Arial" w:hAnsi="Arial" w:cs="Arial"/>
          <w:i/>
          <w:iCs/>
        </w:rPr>
        <w:t>Usability Testing Essentials: Ready, Set…Test!</w:t>
      </w:r>
      <w:r w:rsidRPr="00823C95">
        <w:rPr>
          <w:rFonts w:ascii="Arial" w:hAnsi="Arial" w:cs="Arial"/>
        </w:rPr>
        <w:t>, 2nd ed. London, U.K.: Routledge, 2020.</w:t>
      </w:r>
    </w:p>
    <w:p w14:paraId="12528F39" w14:textId="77777777" w:rsidR="004732FA" w:rsidRPr="00823C95" w:rsidRDefault="004732FA" w:rsidP="004732FA">
      <w:pPr>
        <w:rPr>
          <w:rFonts w:ascii="Arial" w:hAnsi="Arial" w:cs="Arial"/>
        </w:rPr>
      </w:pPr>
      <w:r w:rsidRPr="00823C95">
        <w:rPr>
          <w:rFonts w:ascii="Arial" w:hAnsi="Arial" w:cs="Arial"/>
        </w:rPr>
        <w:t xml:space="preserve">[9] Jisc, </w:t>
      </w:r>
      <w:r w:rsidRPr="00823C95">
        <w:rPr>
          <w:rFonts w:ascii="Arial" w:hAnsi="Arial" w:cs="Arial"/>
          <w:i/>
          <w:iCs/>
        </w:rPr>
        <w:t>Digital Experience Insights: User-Centred Design in Higher Education</w:t>
      </w:r>
      <w:r w:rsidRPr="00823C95">
        <w:rPr>
          <w:rFonts w:ascii="Arial" w:hAnsi="Arial" w:cs="Arial"/>
        </w:rPr>
        <w:t>. Bristol, U.K.: Jisc, 2022.</w:t>
      </w:r>
    </w:p>
    <w:p w14:paraId="044D2FEA" w14:textId="77777777" w:rsidR="004732FA" w:rsidRPr="00823C95" w:rsidRDefault="004732FA" w:rsidP="004732FA">
      <w:pPr>
        <w:rPr>
          <w:rFonts w:ascii="Arial" w:hAnsi="Arial" w:cs="Arial"/>
        </w:rPr>
      </w:pPr>
      <w:r w:rsidRPr="00823C95">
        <w:rPr>
          <w:rFonts w:ascii="Arial" w:hAnsi="Arial" w:cs="Arial"/>
        </w:rPr>
        <w:t xml:space="preserve">[10] U.K. Government, </w:t>
      </w:r>
      <w:r w:rsidRPr="00823C95">
        <w:rPr>
          <w:rFonts w:ascii="Arial" w:hAnsi="Arial" w:cs="Arial"/>
          <w:i/>
          <w:iCs/>
        </w:rPr>
        <w:t>Public Sector Bodies (Websites and Mobile Applications) Accessibility Regulations 2018</w:t>
      </w:r>
      <w:r w:rsidRPr="00823C95">
        <w:rPr>
          <w:rFonts w:ascii="Arial" w:hAnsi="Arial" w:cs="Arial"/>
        </w:rPr>
        <w:t>. London, U.K.: The Stationery Office, 2018.</w:t>
      </w:r>
    </w:p>
    <w:p w14:paraId="2033CBF2" w14:textId="77777777" w:rsidR="004732FA" w:rsidRPr="00823C95" w:rsidRDefault="004732FA" w:rsidP="004732FA">
      <w:pPr>
        <w:rPr>
          <w:rFonts w:ascii="Arial" w:hAnsi="Arial" w:cs="Arial"/>
        </w:rPr>
      </w:pPr>
      <w:r w:rsidRPr="00823C95">
        <w:rPr>
          <w:rFonts w:ascii="Arial" w:hAnsi="Arial" w:cs="Arial"/>
        </w:rPr>
        <w:t xml:space="preserve">[11] W3C, </w:t>
      </w:r>
      <w:r w:rsidRPr="00823C95">
        <w:rPr>
          <w:rFonts w:ascii="Arial" w:hAnsi="Arial" w:cs="Arial"/>
          <w:i/>
          <w:iCs/>
        </w:rPr>
        <w:t>Web Content Accessibility Guidelines (WCAG) 2.2</w:t>
      </w:r>
      <w:r w:rsidRPr="00823C95">
        <w:rPr>
          <w:rFonts w:ascii="Arial" w:hAnsi="Arial" w:cs="Arial"/>
        </w:rPr>
        <w:t>. W3C Recommendation, 2023.</w:t>
      </w:r>
    </w:p>
    <w:p w14:paraId="7E23D5A2" w14:textId="77777777" w:rsidR="004732FA" w:rsidRPr="00823C95" w:rsidRDefault="004732FA" w:rsidP="004732FA">
      <w:pPr>
        <w:rPr>
          <w:rFonts w:ascii="Arial" w:hAnsi="Arial" w:cs="Arial"/>
        </w:rPr>
      </w:pPr>
      <w:r w:rsidRPr="00823C95">
        <w:rPr>
          <w:rFonts w:ascii="Arial" w:hAnsi="Arial" w:cs="Arial"/>
        </w:rPr>
        <w:t xml:space="preserve">[12] A. Cooper, R. Reimann, D. Cronin, and C. Noessel, </w:t>
      </w:r>
      <w:r w:rsidRPr="00823C95">
        <w:rPr>
          <w:rFonts w:ascii="Arial" w:hAnsi="Arial" w:cs="Arial"/>
          <w:i/>
          <w:iCs/>
        </w:rPr>
        <w:t>About Face: The Essentials of Interaction Design</w:t>
      </w:r>
      <w:r w:rsidRPr="00823C95">
        <w:rPr>
          <w:rFonts w:ascii="Arial" w:hAnsi="Arial" w:cs="Arial"/>
        </w:rPr>
        <w:t>, 4th ed. Hoboken, NJ, USA: Wiley, 2014.</w:t>
      </w:r>
    </w:p>
    <w:p w14:paraId="3FC79612" w14:textId="77777777" w:rsidR="004732FA" w:rsidRPr="00823C95" w:rsidRDefault="004732FA" w:rsidP="004732FA">
      <w:pPr>
        <w:rPr>
          <w:rFonts w:ascii="Arial" w:hAnsi="Arial" w:cs="Arial"/>
        </w:rPr>
      </w:pPr>
      <w:r w:rsidRPr="00823C95">
        <w:rPr>
          <w:rFonts w:ascii="Arial" w:hAnsi="Arial" w:cs="Arial"/>
        </w:rPr>
        <w:t xml:space="preserve">[13] University of Wales Trinity Saint David, </w:t>
      </w:r>
      <w:r w:rsidRPr="00823C95">
        <w:rPr>
          <w:rFonts w:ascii="Arial" w:hAnsi="Arial" w:cs="Arial"/>
          <w:i/>
          <w:iCs/>
        </w:rPr>
        <w:t>Digital Learning and Teaching Strategy 2022–2026</w:t>
      </w:r>
      <w:r w:rsidRPr="00823C95">
        <w:rPr>
          <w:rFonts w:ascii="Arial" w:hAnsi="Arial" w:cs="Arial"/>
        </w:rPr>
        <w:t>. London Campus, U.K., 2022.</w:t>
      </w:r>
    </w:p>
    <w:p w14:paraId="66D511DE" w14:textId="77777777" w:rsidR="004732FA" w:rsidRPr="00823C95" w:rsidRDefault="004732FA" w:rsidP="004732FA">
      <w:pPr>
        <w:rPr>
          <w:rFonts w:ascii="Arial" w:hAnsi="Arial" w:cs="Arial"/>
        </w:rPr>
      </w:pPr>
      <w:r w:rsidRPr="00823C95">
        <w:rPr>
          <w:rFonts w:ascii="Arial" w:hAnsi="Arial" w:cs="Arial"/>
        </w:rPr>
        <w:t xml:space="preserve">[14] University of Wales Trinity Saint David, </w:t>
      </w:r>
      <w:r w:rsidRPr="00823C95">
        <w:rPr>
          <w:rFonts w:ascii="Arial" w:hAnsi="Arial" w:cs="Arial"/>
          <w:i/>
          <w:iCs/>
        </w:rPr>
        <w:t>Research Ethics and Integrity Code of Practice</w:t>
      </w:r>
      <w:r w:rsidRPr="00823C95">
        <w:rPr>
          <w:rFonts w:ascii="Arial" w:hAnsi="Arial" w:cs="Arial"/>
        </w:rPr>
        <w:t>. U.K., 2022.</w:t>
      </w:r>
    </w:p>
    <w:p w14:paraId="171B6FFB" w14:textId="77777777" w:rsidR="004732FA" w:rsidRPr="00823C95" w:rsidRDefault="004732FA" w:rsidP="004732FA">
      <w:pPr>
        <w:rPr>
          <w:rFonts w:ascii="Arial" w:hAnsi="Arial" w:cs="Arial"/>
        </w:rPr>
      </w:pPr>
      <w:r w:rsidRPr="00823C95">
        <w:rPr>
          <w:rFonts w:ascii="Arial" w:hAnsi="Arial" w:cs="Arial"/>
        </w:rPr>
        <w:t xml:space="preserve">[15] J. Lazar, J. H. Feng, and H. Hochheiser, </w:t>
      </w:r>
      <w:r w:rsidRPr="00823C95">
        <w:rPr>
          <w:rFonts w:ascii="Arial" w:hAnsi="Arial" w:cs="Arial"/>
          <w:i/>
          <w:iCs/>
        </w:rPr>
        <w:t>Research Methods in Human–Computer Interaction</w:t>
      </w:r>
      <w:r w:rsidRPr="00823C95">
        <w:rPr>
          <w:rFonts w:ascii="Arial" w:hAnsi="Arial" w:cs="Arial"/>
        </w:rPr>
        <w:t>, 2nd ed. Cambridge, MA, USA: Morgan Kaufmann, 2017.</w:t>
      </w:r>
    </w:p>
    <w:p w14:paraId="12A3AD1A" w14:textId="77777777" w:rsidR="004732FA" w:rsidRPr="00823C95" w:rsidRDefault="004732FA" w:rsidP="004732FA">
      <w:pPr>
        <w:rPr>
          <w:rFonts w:ascii="Arial" w:hAnsi="Arial" w:cs="Arial"/>
        </w:rPr>
      </w:pPr>
      <w:r w:rsidRPr="00823C95">
        <w:rPr>
          <w:rFonts w:ascii="Arial" w:hAnsi="Arial" w:cs="Arial"/>
        </w:rPr>
        <w:t xml:space="preserve">[16] S. Krug, </w:t>
      </w:r>
      <w:r w:rsidRPr="00823C95">
        <w:rPr>
          <w:rFonts w:ascii="Arial" w:hAnsi="Arial" w:cs="Arial"/>
          <w:i/>
          <w:iCs/>
        </w:rPr>
        <w:t>Don’t Make Me Think: A Common Sense Approach to Web and Mobile Usability</w:t>
      </w:r>
      <w:r w:rsidRPr="00823C95">
        <w:rPr>
          <w:rFonts w:ascii="Arial" w:hAnsi="Arial" w:cs="Arial"/>
        </w:rPr>
        <w:t>, 3rd ed. Berkeley, CA, USA: New Riders, 2014.</w:t>
      </w:r>
    </w:p>
    <w:p w14:paraId="2C348BC6" w14:textId="77777777" w:rsidR="004732FA" w:rsidRPr="00823C95" w:rsidRDefault="004732FA" w:rsidP="004732FA">
      <w:pPr>
        <w:rPr>
          <w:rFonts w:ascii="Arial" w:hAnsi="Arial" w:cs="Arial"/>
        </w:rPr>
      </w:pPr>
      <w:r w:rsidRPr="00823C95">
        <w:rPr>
          <w:rFonts w:ascii="Arial" w:hAnsi="Arial" w:cs="Arial"/>
        </w:rPr>
        <w:t xml:space="preserve">[17] A. Dix, J. Finlay, G. Abowd, and R. Beale, </w:t>
      </w:r>
      <w:r w:rsidRPr="00823C95">
        <w:rPr>
          <w:rFonts w:ascii="Arial" w:hAnsi="Arial" w:cs="Arial"/>
          <w:i/>
          <w:iCs/>
        </w:rPr>
        <w:t>Human–Computer Interaction</w:t>
      </w:r>
      <w:r w:rsidRPr="00823C95">
        <w:rPr>
          <w:rFonts w:ascii="Arial" w:hAnsi="Arial" w:cs="Arial"/>
        </w:rPr>
        <w:t>, 3rd ed. Harlow, U.K.: Pearson Education, 2004.</w:t>
      </w:r>
    </w:p>
    <w:p w14:paraId="76E2EFC9" w14:textId="77777777" w:rsidR="004732FA" w:rsidRPr="00823C95" w:rsidRDefault="004732FA" w:rsidP="004732FA">
      <w:pPr>
        <w:rPr>
          <w:rFonts w:ascii="Arial" w:hAnsi="Arial" w:cs="Arial"/>
        </w:rPr>
      </w:pPr>
      <w:r w:rsidRPr="00823C95">
        <w:rPr>
          <w:rFonts w:ascii="Arial" w:hAnsi="Arial" w:cs="Arial"/>
        </w:rPr>
        <w:t xml:space="preserve">[18] P. Cairns and A. L. Cox, </w:t>
      </w:r>
      <w:r w:rsidRPr="00823C95">
        <w:rPr>
          <w:rFonts w:ascii="Arial" w:hAnsi="Arial" w:cs="Arial"/>
          <w:i/>
          <w:iCs/>
        </w:rPr>
        <w:t>Research Methods for Human–Computer Interaction</w:t>
      </w:r>
      <w:r w:rsidRPr="00823C95">
        <w:rPr>
          <w:rFonts w:ascii="Arial" w:hAnsi="Arial" w:cs="Arial"/>
        </w:rPr>
        <w:t>. Cambridge, U.K.: Cambridge University Press, 2008.</w:t>
      </w:r>
    </w:p>
    <w:p w14:paraId="16D09748" w14:textId="77777777" w:rsidR="004732FA" w:rsidRDefault="004732FA" w:rsidP="004732FA">
      <w:pPr>
        <w:rPr>
          <w:rFonts w:ascii="Arial" w:hAnsi="Arial" w:cs="Arial"/>
        </w:rPr>
      </w:pPr>
      <w:r w:rsidRPr="00823C95">
        <w:rPr>
          <w:rFonts w:ascii="Arial" w:hAnsi="Arial" w:cs="Arial"/>
        </w:rPr>
        <w:t xml:space="preserve">[19] N. Bevan, “Measuring usability as quality of use,” </w:t>
      </w:r>
      <w:r w:rsidRPr="00823C95">
        <w:rPr>
          <w:rFonts w:ascii="Arial" w:hAnsi="Arial" w:cs="Arial"/>
          <w:i/>
          <w:iCs/>
        </w:rPr>
        <w:t>Software Quality Journal</w:t>
      </w:r>
      <w:r w:rsidRPr="00823C95">
        <w:rPr>
          <w:rFonts w:ascii="Arial" w:hAnsi="Arial" w:cs="Arial"/>
        </w:rPr>
        <w:t>, vol. 4, no. 2, pp. 115–130, 1995.</w:t>
      </w:r>
    </w:p>
    <w:p w14:paraId="138FEB51" w14:textId="2413632E" w:rsidR="004732FA" w:rsidRPr="00823C95" w:rsidRDefault="004732FA" w:rsidP="004732FA">
      <w:pPr>
        <w:rPr>
          <w:rFonts w:ascii="Arial" w:hAnsi="Arial" w:cs="Arial"/>
        </w:rPr>
      </w:pPr>
      <w:r w:rsidRPr="00823C95">
        <w:rPr>
          <w:rFonts w:ascii="Arial" w:hAnsi="Arial" w:cs="Arial"/>
        </w:rPr>
        <w:lastRenderedPageBreak/>
        <w:t xml:space="preserve">[20] J. Nielsen, </w:t>
      </w:r>
      <w:r w:rsidRPr="00823C95">
        <w:rPr>
          <w:rFonts w:ascii="Arial" w:hAnsi="Arial" w:cs="Arial"/>
          <w:i/>
          <w:iCs/>
        </w:rPr>
        <w:t>Usability Engineering</w:t>
      </w:r>
      <w:r w:rsidRPr="00823C95">
        <w:rPr>
          <w:rFonts w:ascii="Arial" w:hAnsi="Arial" w:cs="Arial"/>
        </w:rPr>
        <w:t>. London, U.K.: Morgan Kaufmann, 1994.</w:t>
      </w:r>
    </w:p>
    <w:p w14:paraId="61356C38" w14:textId="77777777" w:rsidR="00D81BEF" w:rsidRDefault="00D81BEF"/>
    <w:p w14:paraId="0FD57D77" w14:textId="77777777" w:rsidR="00D81BEF" w:rsidRDefault="00D81BEF"/>
    <w:p w14:paraId="6A6847BF" w14:textId="77777777" w:rsidR="004732FA" w:rsidRDefault="004732FA"/>
    <w:p w14:paraId="23E8656A" w14:textId="77777777" w:rsidR="004732FA" w:rsidRDefault="004732FA"/>
    <w:p w14:paraId="5524DBE7" w14:textId="77777777" w:rsidR="004732FA" w:rsidRDefault="004732FA"/>
    <w:p w14:paraId="7D99BC29" w14:textId="77777777" w:rsidR="004732FA" w:rsidRDefault="004732FA"/>
    <w:p w14:paraId="287146DD" w14:textId="77777777" w:rsidR="004732FA" w:rsidRDefault="004732FA"/>
    <w:p w14:paraId="67FF1922" w14:textId="77777777" w:rsidR="004732FA" w:rsidRDefault="004732FA"/>
    <w:p w14:paraId="410AB488" w14:textId="77777777" w:rsidR="004732FA" w:rsidRDefault="004732FA"/>
    <w:p w14:paraId="261409A4" w14:textId="77777777" w:rsidR="004732FA" w:rsidRDefault="004732FA"/>
    <w:p w14:paraId="6D072742" w14:textId="77777777" w:rsidR="004732FA" w:rsidRDefault="004732FA"/>
    <w:p w14:paraId="4F4CBB6E" w14:textId="77777777" w:rsidR="004732FA" w:rsidRDefault="004732FA"/>
    <w:p w14:paraId="40F83907" w14:textId="77777777" w:rsidR="004732FA" w:rsidRDefault="004732FA"/>
    <w:p w14:paraId="4C2EA5CC" w14:textId="77777777" w:rsidR="004732FA" w:rsidRDefault="004732FA"/>
    <w:p w14:paraId="48F034F0" w14:textId="77777777" w:rsidR="004732FA" w:rsidRDefault="004732FA"/>
    <w:p w14:paraId="22EEF228" w14:textId="77777777" w:rsidR="004732FA" w:rsidRDefault="004732FA"/>
    <w:p w14:paraId="1C55E138" w14:textId="77777777" w:rsidR="004732FA" w:rsidRDefault="004732FA"/>
    <w:p w14:paraId="1ADE160A" w14:textId="77777777" w:rsidR="004732FA" w:rsidRDefault="004732FA"/>
    <w:p w14:paraId="04126938" w14:textId="77777777" w:rsidR="004732FA" w:rsidRDefault="004732FA"/>
    <w:p w14:paraId="32368D1D" w14:textId="77777777" w:rsidR="004732FA" w:rsidRDefault="004732FA"/>
    <w:p w14:paraId="5F336768" w14:textId="77777777" w:rsidR="004732FA" w:rsidRDefault="004732FA"/>
    <w:p w14:paraId="38BB930A" w14:textId="77777777" w:rsidR="004732FA" w:rsidRDefault="004732FA"/>
    <w:p w14:paraId="40875F9A" w14:textId="77777777" w:rsidR="004732FA" w:rsidRDefault="004732FA"/>
    <w:p w14:paraId="46040106" w14:textId="77777777" w:rsidR="004732FA" w:rsidRDefault="004732FA"/>
    <w:p w14:paraId="258824D6" w14:textId="77777777" w:rsidR="004732FA" w:rsidRDefault="004732FA"/>
    <w:p w14:paraId="7967A479" w14:textId="77777777" w:rsidR="004732FA" w:rsidRDefault="004732FA"/>
    <w:p w14:paraId="46BF9631" w14:textId="77777777" w:rsidR="004732FA" w:rsidRDefault="004732FA"/>
    <w:p w14:paraId="165DCEA9" w14:textId="77777777" w:rsidR="004732FA" w:rsidRDefault="004732FA"/>
    <w:p w14:paraId="23877BAE" w14:textId="77777777" w:rsidR="004732FA" w:rsidRDefault="004732FA"/>
    <w:p w14:paraId="4E8AE514" w14:textId="7A6AD332" w:rsidR="00D81BEF" w:rsidRDefault="004732FA" w:rsidP="004732FA">
      <w:pPr>
        <w:pStyle w:val="Heading1"/>
      </w:pPr>
      <w:bookmarkStart w:id="17" w:name="_Toc217134681"/>
      <w:r>
        <w:lastRenderedPageBreak/>
        <w:t>Appendix- High-Fidelity Interface Design</w:t>
      </w:r>
      <w:bookmarkEnd w:id="17"/>
    </w:p>
    <w:p w14:paraId="659F509E" w14:textId="77777777" w:rsidR="004732FA" w:rsidRDefault="004732FA" w:rsidP="004732FA"/>
    <w:tbl>
      <w:tblPr>
        <w:tblStyle w:val="TableGrid"/>
        <w:tblW w:w="0" w:type="auto"/>
        <w:tblLook w:val="04A0" w:firstRow="1" w:lastRow="0" w:firstColumn="1" w:lastColumn="0" w:noHBand="0" w:noVBand="1"/>
      </w:tblPr>
      <w:tblGrid>
        <w:gridCol w:w="4439"/>
        <w:gridCol w:w="4577"/>
      </w:tblGrid>
      <w:tr w:rsidR="006627C2" w14:paraId="2B036216" w14:textId="77777777" w:rsidTr="006627C2">
        <w:tc>
          <w:tcPr>
            <w:tcW w:w="4439" w:type="dxa"/>
          </w:tcPr>
          <w:p w14:paraId="7B9FC793" w14:textId="046A42F2" w:rsidR="004732FA" w:rsidRDefault="004732FA" w:rsidP="004732FA">
            <w:r>
              <w:rPr>
                <w:noProof/>
              </w:rPr>
              <w:drawing>
                <wp:inline distT="0" distB="0" distL="0" distR="0" wp14:anchorId="7B96F642" wp14:editId="55D62755">
                  <wp:extent cx="2729865" cy="4257675"/>
                  <wp:effectExtent l="0" t="0" r="0" b="9525"/>
                  <wp:docPr id="15710758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075895" name="Picture 1571075895"/>
                          <pic:cNvPicPr/>
                        </pic:nvPicPr>
                        <pic:blipFill>
                          <a:blip r:embed="rId10">
                            <a:extLst>
                              <a:ext uri="{28A0092B-C50C-407E-A947-70E740481C1C}">
                                <a14:useLocalDpi xmlns:a14="http://schemas.microsoft.com/office/drawing/2010/main" val="0"/>
                              </a:ext>
                            </a:extLst>
                          </a:blip>
                          <a:stretch>
                            <a:fillRect/>
                          </a:stretch>
                        </pic:blipFill>
                        <pic:spPr>
                          <a:xfrm>
                            <a:off x="0" y="0"/>
                            <a:ext cx="2730407" cy="4258521"/>
                          </a:xfrm>
                          <a:prstGeom prst="rect">
                            <a:avLst/>
                          </a:prstGeom>
                        </pic:spPr>
                      </pic:pic>
                    </a:graphicData>
                  </a:graphic>
                </wp:inline>
              </w:drawing>
            </w:r>
          </w:p>
        </w:tc>
        <w:tc>
          <w:tcPr>
            <w:tcW w:w="4577" w:type="dxa"/>
          </w:tcPr>
          <w:p w14:paraId="3BB85E38" w14:textId="6778C862" w:rsidR="004732FA" w:rsidRDefault="006627C2" w:rsidP="004732FA">
            <w:r>
              <w:rPr>
                <w:noProof/>
              </w:rPr>
              <w:drawing>
                <wp:inline distT="0" distB="0" distL="0" distR="0" wp14:anchorId="1FAC546F" wp14:editId="21DC52E9">
                  <wp:extent cx="2809875" cy="4248150"/>
                  <wp:effectExtent l="0" t="0" r="9525" b="0"/>
                  <wp:docPr id="1157021912" name="Picture 8"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021912" name="Picture 8" descr="A screen shot of a phone&#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810517" cy="4249120"/>
                          </a:xfrm>
                          <a:prstGeom prst="rect">
                            <a:avLst/>
                          </a:prstGeom>
                        </pic:spPr>
                      </pic:pic>
                    </a:graphicData>
                  </a:graphic>
                </wp:inline>
              </w:drawing>
            </w:r>
          </w:p>
        </w:tc>
      </w:tr>
      <w:tr w:rsidR="006627C2" w14:paraId="7078C19E" w14:textId="77777777" w:rsidTr="006627C2">
        <w:tc>
          <w:tcPr>
            <w:tcW w:w="4439" w:type="dxa"/>
          </w:tcPr>
          <w:p w14:paraId="5DEFC200" w14:textId="77777777" w:rsidR="006627C2" w:rsidRPr="004732FA" w:rsidRDefault="006627C2" w:rsidP="006627C2">
            <w:r>
              <w:t>Pic1. Splash Screen</w:t>
            </w:r>
          </w:p>
          <w:p w14:paraId="02A35466" w14:textId="77777777" w:rsidR="006627C2" w:rsidRDefault="006627C2" w:rsidP="004732FA">
            <w:pPr>
              <w:rPr>
                <w:noProof/>
              </w:rPr>
            </w:pPr>
          </w:p>
        </w:tc>
        <w:tc>
          <w:tcPr>
            <w:tcW w:w="4577" w:type="dxa"/>
          </w:tcPr>
          <w:p w14:paraId="7614CACF" w14:textId="4BFF759D" w:rsidR="006627C2" w:rsidRPr="004732FA" w:rsidRDefault="006627C2" w:rsidP="006627C2">
            <w:r>
              <w:t>Pic2. Home Screen</w:t>
            </w:r>
          </w:p>
          <w:p w14:paraId="4EE98AA5" w14:textId="77777777" w:rsidR="006627C2" w:rsidRDefault="006627C2" w:rsidP="004732FA">
            <w:pPr>
              <w:rPr>
                <w:noProof/>
              </w:rPr>
            </w:pPr>
          </w:p>
        </w:tc>
      </w:tr>
    </w:tbl>
    <w:p w14:paraId="7D3FBD2C" w14:textId="75E53AFC" w:rsidR="004732FA" w:rsidRDefault="004732FA" w:rsidP="006627C2"/>
    <w:p w14:paraId="6CAD6AA6" w14:textId="77777777" w:rsidR="006627C2" w:rsidRDefault="006627C2" w:rsidP="006627C2"/>
    <w:p w14:paraId="0761F46D" w14:textId="77777777" w:rsidR="006627C2" w:rsidRDefault="006627C2" w:rsidP="006627C2"/>
    <w:tbl>
      <w:tblPr>
        <w:tblStyle w:val="TableGrid"/>
        <w:tblW w:w="0" w:type="auto"/>
        <w:tblLook w:val="04A0" w:firstRow="1" w:lastRow="0" w:firstColumn="1" w:lastColumn="0" w:noHBand="0" w:noVBand="1"/>
      </w:tblPr>
      <w:tblGrid>
        <w:gridCol w:w="4508"/>
        <w:gridCol w:w="4508"/>
      </w:tblGrid>
      <w:tr w:rsidR="006627C2" w14:paraId="5CA48FBA" w14:textId="77777777" w:rsidTr="006627C2">
        <w:tc>
          <w:tcPr>
            <w:tcW w:w="4508" w:type="dxa"/>
          </w:tcPr>
          <w:p w14:paraId="086A14E8" w14:textId="16EE68AA" w:rsidR="006627C2" w:rsidRDefault="006627C2" w:rsidP="006627C2">
            <w:r>
              <w:rPr>
                <w:noProof/>
              </w:rPr>
              <w:lastRenderedPageBreak/>
              <w:drawing>
                <wp:inline distT="0" distB="0" distL="0" distR="0" wp14:anchorId="5331EEDD" wp14:editId="665E88DD">
                  <wp:extent cx="2700000" cy="4074113"/>
                  <wp:effectExtent l="0" t="0" r="5715" b="3175"/>
                  <wp:docPr id="141646538" name="Picture 9"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46538" name="Picture 9" descr="A screen shot of a phon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700000" cy="4074113"/>
                          </a:xfrm>
                          <a:prstGeom prst="rect">
                            <a:avLst/>
                          </a:prstGeom>
                        </pic:spPr>
                      </pic:pic>
                    </a:graphicData>
                  </a:graphic>
                </wp:inline>
              </w:drawing>
            </w:r>
          </w:p>
        </w:tc>
        <w:tc>
          <w:tcPr>
            <w:tcW w:w="4508" w:type="dxa"/>
          </w:tcPr>
          <w:p w14:paraId="68B0AB32" w14:textId="5150AAA6" w:rsidR="006627C2" w:rsidRDefault="006627C2" w:rsidP="006627C2">
            <w:r>
              <w:rPr>
                <w:noProof/>
              </w:rPr>
              <w:drawing>
                <wp:inline distT="0" distB="0" distL="0" distR="0" wp14:anchorId="1EAF8224" wp14:editId="6E9AB7A0">
                  <wp:extent cx="2700000" cy="4050000"/>
                  <wp:effectExtent l="0" t="0" r="5715" b="8255"/>
                  <wp:docPr id="1220670114" name="Picture 10"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670114" name="Picture 10" descr="A screen shot of a cell phon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700000" cy="4050000"/>
                          </a:xfrm>
                          <a:prstGeom prst="rect">
                            <a:avLst/>
                          </a:prstGeom>
                        </pic:spPr>
                      </pic:pic>
                    </a:graphicData>
                  </a:graphic>
                </wp:inline>
              </w:drawing>
            </w:r>
          </w:p>
        </w:tc>
      </w:tr>
      <w:tr w:rsidR="006627C2" w14:paraId="048EB989" w14:textId="77777777" w:rsidTr="006627C2">
        <w:tc>
          <w:tcPr>
            <w:tcW w:w="4508" w:type="dxa"/>
          </w:tcPr>
          <w:p w14:paraId="302AC85C" w14:textId="68C66BD1" w:rsidR="006627C2" w:rsidRDefault="006627C2" w:rsidP="006627C2">
            <w:r>
              <w:t>Pic 3. Create Lobby</w:t>
            </w:r>
          </w:p>
        </w:tc>
        <w:tc>
          <w:tcPr>
            <w:tcW w:w="4508" w:type="dxa"/>
          </w:tcPr>
          <w:p w14:paraId="74553993" w14:textId="73391646" w:rsidR="006627C2" w:rsidRDefault="006627C2" w:rsidP="006627C2">
            <w:r>
              <w:t>Pic 4. Lobby Waiting Room</w:t>
            </w:r>
          </w:p>
        </w:tc>
      </w:tr>
    </w:tbl>
    <w:p w14:paraId="6EF58CF1" w14:textId="77777777" w:rsidR="006627C2" w:rsidRDefault="006627C2" w:rsidP="006627C2"/>
    <w:tbl>
      <w:tblPr>
        <w:tblStyle w:val="TableGrid"/>
        <w:tblW w:w="0" w:type="auto"/>
        <w:tblLook w:val="04A0" w:firstRow="1" w:lastRow="0" w:firstColumn="1" w:lastColumn="0" w:noHBand="0" w:noVBand="1"/>
      </w:tblPr>
      <w:tblGrid>
        <w:gridCol w:w="4462"/>
        <w:gridCol w:w="26"/>
        <w:gridCol w:w="4528"/>
      </w:tblGrid>
      <w:tr w:rsidR="00B87790" w14:paraId="04583632" w14:textId="77777777" w:rsidTr="00B87790">
        <w:tc>
          <w:tcPr>
            <w:tcW w:w="4463" w:type="dxa"/>
          </w:tcPr>
          <w:p w14:paraId="3E604B4A" w14:textId="691AB6E1" w:rsidR="006627C2" w:rsidRDefault="006627C2" w:rsidP="006627C2">
            <w:r>
              <w:rPr>
                <w:noProof/>
              </w:rPr>
              <w:drawing>
                <wp:inline distT="0" distB="0" distL="0" distR="0" wp14:anchorId="40E6D711" wp14:editId="7B12F97F">
                  <wp:extent cx="2700000" cy="4064965"/>
                  <wp:effectExtent l="0" t="0" r="5715" b="0"/>
                  <wp:docPr id="1672483002" name="Picture 11"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483002" name="Picture 11" descr="A screen shot of a phon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700000" cy="4064965"/>
                          </a:xfrm>
                          <a:prstGeom prst="rect">
                            <a:avLst/>
                          </a:prstGeom>
                        </pic:spPr>
                      </pic:pic>
                    </a:graphicData>
                  </a:graphic>
                </wp:inline>
              </w:drawing>
            </w:r>
          </w:p>
        </w:tc>
        <w:tc>
          <w:tcPr>
            <w:tcW w:w="4553" w:type="dxa"/>
            <w:gridSpan w:val="2"/>
          </w:tcPr>
          <w:p w14:paraId="0F3521A3" w14:textId="52F7C5F4" w:rsidR="006627C2" w:rsidRDefault="006627C2" w:rsidP="006627C2">
            <w:r>
              <w:rPr>
                <w:noProof/>
              </w:rPr>
              <w:drawing>
                <wp:inline distT="0" distB="0" distL="0" distR="0" wp14:anchorId="067215DC" wp14:editId="6E50CB2F">
                  <wp:extent cx="2762250" cy="4078948"/>
                  <wp:effectExtent l="0" t="0" r="0" b="0"/>
                  <wp:docPr id="391758003" name="Picture 12"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758003" name="Picture 12" descr="A screen shot of a cell phon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763344" cy="4080563"/>
                          </a:xfrm>
                          <a:prstGeom prst="rect">
                            <a:avLst/>
                          </a:prstGeom>
                        </pic:spPr>
                      </pic:pic>
                    </a:graphicData>
                  </a:graphic>
                </wp:inline>
              </w:drawing>
            </w:r>
          </w:p>
        </w:tc>
      </w:tr>
      <w:tr w:rsidR="00B87790" w14:paraId="3E758A5D" w14:textId="77777777" w:rsidTr="00B87790">
        <w:tc>
          <w:tcPr>
            <w:tcW w:w="4463" w:type="dxa"/>
          </w:tcPr>
          <w:p w14:paraId="4723D6AF" w14:textId="4A41CFF4" w:rsidR="006627C2" w:rsidRDefault="006627C2" w:rsidP="006627C2">
            <w:r>
              <w:t>Pic 5. Character Select</w:t>
            </w:r>
          </w:p>
        </w:tc>
        <w:tc>
          <w:tcPr>
            <w:tcW w:w="4553" w:type="dxa"/>
            <w:gridSpan w:val="2"/>
          </w:tcPr>
          <w:p w14:paraId="44EFCC18" w14:textId="4DF96EB5" w:rsidR="006627C2" w:rsidRDefault="006627C2" w:rsidP="006627C2">
            <w:r>
              <w:t>Pic 6.</w:t>
            </w:r>
            <w:r w:rsidR="00B87790">
              <w:t xml:space="preserve"> Game Board</w:t>
            </w:r>
          </w:p>
        </w:tc>
      </w:tr>
      <w:tr w:rsidR="00B87790" w14:paraId="23F6E6B6" w14:textId="77777777" w:rsidTr="00B87790">
        <w:tc>
          <w:tcPr>
            <w:tcW w:w="4508" w:type="dxa"/>
            <w:gridSpan w:val="2"/>
          </w:tcPr>
          <w:p w14:paraId="77041FD0" w14:textId="24CD353C" w:rsidR="00B87790" w:rsidRDefault="00B87790" w:rsidP="006627C2">
            <w:r>
              <w:rPr>
                <w:noProof/>
              </w:rPr>
              <w:lastRenderedPageBreak/>
              <w:drawing>
                <wp:inline distT="0" distB="0" distL="0" distR="0" wp14:anchorId="6F800899" wp14:editId="5A97E865">
                  <wp:extent cx="2700000" cy="4073888"/>
                  <wp:effectExtent l="0" t="0" r="5715" b="3175"/>
                  <wp:docPr id="129553730" name="Picture 1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53730" name="Picture 13" descr="A screenshot of a phon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700000" cy="4073888"/>
                          </a:xfrm>
                          <a:prstGeom prst="rect">
                            <a:avLst/>
                          </a:prstGeom>
                        </pic:spPr>
                      </pic:pic>
                    </a:graphicData>
                  </a:graphic>
                </wp:inline>
              </w:drawing>
            </w:r>
          </w:p>
        </w:tc>
        <w:tc>
          <w:tcPr>
            <w:tcW w:w="4508" w:type="dxa"/>
          </w:tcPr>
          <w:p w14:paraId="74455C68" w14:textId="07C2CB9E" w:rsidR="00B87790" w:rsidRDefault="00B87790" w:rsidP="006627C2">
            <w:r>
              <w:rPr>
                <w:noProof/>
              </w:rPr>
              <w:drawing>
                <wp:inline distT="0" distB="0" distL="0" distR="0" wp14:anchorId="570A2B1D" wp14:editId="150FB954">
                  <wp:extent cx="2700000" cy="4035233"/>
                  <wp:effectExtent l="0" t="0" r="5715" b="3810"/>
                  <wp:docPr id="1090801181" name="Picture 14"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801181" name="Picture 14" descr="A screen shot of a cell phon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700000" cy="4035233"/>
                          </a:xfrm>
                          <a:prstGeom prst="rect">
                            <a:avLst/>
                          </a:prstGeom>
                        </pic:spPr>
                      </pic:pic>
                    </a:graphicData>
                  </a:graphic>
                </wp:inline>
              </w:drawing>
            </w:r>
          </w:p>
        </w:tc>
      </w:tr>
      <w:tr w:rsidR="00B87790" w14:paraId="3405859B" w14:textId="77777777" w:rsidTr="00B87790">
        <w:tc>
          <w:tcPr>
            <w:tcW w:w="4508" w:type="dxa"/>
            <w:gridSpan w:val="2"/>
          </w:tcPr>
          <w:p w14:paraId="51FDA15E" w14:textId="5CE70450" w:rsidR="00B87790" w:rsidRDefault="00B87790" w:rsidP="006627C2">
            <w:r>
              <w:t>Pic 7. Notes Sheet</w:t>
            </w:r>
          </w:p>
        </w:tc>
        <w:tc>
          <w:tcPr>
            <w:tcW w:w="4508" w:type="dxa"/>
          </w:tcPr>
          <w:p w14:paraId="0A247768" w14:textId="44A5670B" w:rsidR="00B87790" w:rsidRDefault="00B87790" w:rsidP="006627C2">
            <w:r>
              <w:t>Pic 8. Suggestion Modal</w:t>
            </w:r>
          </w:p>
        </w:tc>
      </w:tr>
    </w:tbl>
    <w:p w14:paraId="1A906508" w14:textId="77777777" w:rsidR="006627C2" w:rsidRDefault="006627C2" w:rsidP="006627C2"/>
    <w:tbl>
      <w:tblPr>
        <w:tblStyle w:val="TableGrid"/>
        <w:tblW w:w="0" w:type="auto"/>
        <w:tblLook w:val="04A0" w:firstRow="1" w:lastRow="0" w:firstColumn="1" w:lastColumn="0" w:noHBand="0" w:noVBand="1"/>
      </w:tblPr>
      <w:tblGrid>
        <w:gridCol w:w="4508"/>
        <w:gridCol w:w="4508"/>
      </w:tblGrid>
      <w:tr w:rsidR="00B87790" w14:paraId="43EAB29F" w14:textId="77777777" w:rsidTr="00B87790">
        <w:tc>
          <w:tcPr>
            <w:tcW w:w="4508" w:type="dxa"/>
          </w:tcPr>
          <w:p w14:paraId="0247467D" w14:textId="4DCAAFD9" w:rsidR="00B87790" w:rsidRDefault="00B87790" w:rsidP="006627C2">
            <w:r>
              <w:rPr>
                <w:noProof/>
              </w:rPr>
              <w:drawing>
                <wp:inline distT="0" distB="0" distL="0" distR="0" wp14:anchorId="73C8FB8F" wp14:editId="4608653C">
                  <wp:extent cx="2700000" cy="4029347"/>
                  <wp:effectExtent l="0" t="0" r="5715" b="0"/>
                  <wp:docPr id="386002901" name="Picture 15"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002901" name="Picture 15" descr="A screen shot of a cell phon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700000" cy="4029347"/>
                          </a:xfrm>
                          <a:prstGeom prst="rect">
                            <a:avLst/>
                          </a:prstGeom>
                        </pic:spPr>
                      </pic:pic>
                    </a:graphicData>
                  </a:graphic>
                </wp:inline>
              </w:drawing>
            </w:r>
          </w:p>
        </w:tc>
        <w:tc>
          <w:tcPr>
            <w:tcW w:w="4508" w:type="dxa"/>
          </w:tcPr>
          <w:p w14:paraId="0367E5E2" w14:textId="2912A73C" w:rsidR="00B87790" w:rsidRDefault="00B87790" w:rsidP="006627C2">
            <w:r>
              <w:rPr>
                <w:noProof/>
              </w:rPr>
              <w:drawing>
                <wp:inline distT="0" distB="0" distL="0" distR="0" wp14:anchorId="4BA67393" wp14:editId="2191FB26">
                  <wp:extent cx="2700000" cy="4079877"/>
                  <wp:effectExtent l="0" t="0" r="5715" b="0"/>
                  <wp:docPr id="1799557963" name="Picture 16"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557963" name="Picture 16" descr="A screenshot of a gam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700000" cy="4079877"/>
                          </a:xfrm>
                          <a:prstGeom prst="rect">
                            <a:avLst/>
                          </a:prstGeom>
                        </pic:spPr>
                      </pic:pic>
                    </a:graphicData>
                  </a:graphic>
                </wp:inline>
              </w:drawing>
            </w:r>
          </w:p>
        </w:tc>
      </w:tr>
      <w:tr w:rsidR="00B87790" w14:paraId="53EB088C" w14:textId="77777777" w:rsidTr="00B87790">
        <w:tc>
          <w:tcPr>
            <w:tcW w:w="4508" w:type="dxa"/>
          </w:tcPr>
          <w:p w14:paraId="1DD34BFB" w14:textId="349A51DD" w:rsidR="00B87790" w:rsidRDefault="00B87790" w:rsidP="006627C2">
            <w:r>
              <w:t>Pic 9. Accusation Modal</w:t>
            </w:r>
          </w:p>
        </w:tc>
        <w:tc>
          <w:tcPr>
            <w:tcW w:w="4508" w:type="dxa"/>
          </w:tcPr>
          <w:p w14:paraId="4E1698A6" w14:textId="0D0B7108" w:rsidR="00B87790" w:rsidRDefault="00B87790" w:rsidP="006627C2">
            <w:r>
              <w:t>Pic 10. End Game Screen</w:t>
            </w:r>
          </w:p>
        </w:tc>
      </w:tr>
    </w:tbl>
    <w:p w14:paraId="74387493" w14:textId="77777777" w:rsidR="00B87790" w:rsidRPr="004732FA" w:rsidRDefault="00B87790" w:rsidP="00764C54"/>
    <w:sectPr w:rsidR="00B87790" w:rsidRPr="004732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FE3"/>
    <w:rsid w:val="00410F14"/>
    <w:rsid w:val="004732FA"/>
    <w:rsid w:val="00493F4F"/>
    <w:rsid w:val="00514FE3"/>
    <w:rsid w:val="00610D92"/>
    <w:rsid w:val="006627C2"/>
    <w:rsid w:val="006C695B"/>
    <w:rsid w:val="00764C54"/>
    <w:rsid w:val="00900485"/>
    <w:rsid w:val="009159EB"/>
    <w:rsid w:val="00AA51AD"/>
    <w:rsid w:val="00AF3B04"/>
    <w:rsid w:val="00B04FB6"/>
    <w:rsid w:val="00B421A0"/>
    <w:rsid w:val="00B87790"/>
    <w:rsid w:val="00D81BEF"/>
    <w:rsid w:val="00DC4B61"/>
    <w:rsid w:val="00DD2EF0"/>
    <w:rsid w:val="00E603BE"/>
    <w:rsid w:val="00E72679"/>
    <w:rsid w:val="00EA6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B144E"/>
  <w15:chartTrackingRefBased/>
  <w15:docId w15:val="{3F8A9AEA-2F41-4648-9E8F-4B63EC9DC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7C2"/>
  </w:style>
  <w:style w:type="paragraph" w:styleId="Heading1">
    <w:name w:val="heading 1"/>
    <w:basedOn w:val="Normal"/>
    <w:next w:val="Normal"/>
    <w:link w:val="Heading1Char"/>
    <w:uiPriority w:val="9"/>
    <w:qFormat/>
    <w:rsid w:val="00514F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4F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4F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4F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4F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4F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4F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4F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4F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F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4F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4F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4F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4F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4F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4F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4F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4FE3"/>
    <w:rPr>
      <w:rFonts w:eastAsiaTheme="majorEastAsia" w:cstheme="majorBidi"/>
      <w:color w:val="272727" w:themeColor="text1" w:themeTint="D8"/>
    </w:rPr>
  </w:style>
  <w:style w:type="paragraph" w:styleId="Title">
    <w:name w:val="Title"/>
    <w:basedOn w:val="Normal"/>
    <w:next w:val="Normal"/>
    <w:link w:val="TitleChar"/>
    <w:uiPriority w:val="10"/>
    <w:qFormat/>
    <w:rsid w:val="00514F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4F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4F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4F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4FE3"/>
    <w:pPr>
      <w:spacing w:before="160"/>
      <w:jc w:val="center"/>
    </w:pPr>
    <w:rPr>
      <w:i/>
      <w:iCs/>
      <w:color w:val="404040" w:themeColor="text1" w:themeTint="BF"/>
    </w:rPr>
  </w:style>
  <w:style w:type="character" w:customStyle="1" w:styleId="QuoteChar">
    <w:name w:val="Quote Char"/>
    <w:basedOn w:val="DefaultParagraphFont"/>
    <w:link w:val="Quote"/>
    <w:uiPriority w:val="29"/>
    <w:rsid w:val="00514FE3"/>
    <w:rPr>
      <w:i/>
      <w:iCs/>
      <w:color w:val="404040" w:themeColor="text1" w:themeTint="BF"/>
    </w:rPr>
  </w:style>
  <w:style w:type="paragraph" w:styleId="ListParagraph">
    <w:name w:val="List Paragraph"/>
    <w:basedOn w:val="Normal"/>
    <w:uiPriority w:val="34"/>
    <w:qFormat/>
    <w:rsid w:val="00514FE3"/>
    <w:pPr>
      <w:ind w:left="720"/>
      <w:contextualSpacing/>
    </w:pPr>
  </w:style>
  <w:style w:type="character" w:styleId="IntenseEmphasis">
    <w:name w:val="Intense Emphasis"/>
    <w:basedOn w:val="DefaultParagraphFont"/>
    <w:uiPriority w:val="21"/>
    <w:qFormat/>
    <w:rsid w:val="00514FE3"/>
    <w:rPr>
      <w:i/>
      <w:iCs/>
      <w:color w:val="0F4761" w:themeColor="accent1" w:themeShade="BF"/>
    </w:rPr>
  </w:style>
  <w:style w:type="paragraph" w:styleId="IntenseQuote">
    <w:name w:val="Intense Quote"/>
    <w:basedOn w:val="Normal"/>
    <w:next w:val="Normal"/>
    <w:link w:val="IntenseQuoteChar"/>
    <w:uiPriority w:val="30"/>
    <w:qFormat/>
    <w:rsid w:val="00514F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4FE3"/>
    <w:rPr>
      <w:i/>
      <w:iCs/>
      <w:color w:val="0F4761" w:themeColor="accent1" w:themeShade="BF"/>
    </w:rPr>
  </w:style>
  <w:style w:type="character" w:styleId="IntenseReference">
    <w:name w:val="Intense Reference"/>
    <w:basedOn w:val="DefaultParagraphFont"/>
    <w:uiPriority w:val="32"/>
    <w:qFormat/>
    <w:rsid w:val="00514FE3"/>
    <w:rPr>
      <w:b/>
      <w:bCs/>
      <w:smallCaps/>
      <w:color w:val="0F4761" w:themeColor="accent1" w:themeShade="BF"/>
      <w:spacing w:val="5"/>
    </w:rPr>
  </w:style>
  <w:style w:type="paragraph" w:styleId="TOCHeading">
    <w:name w:val="TOC Heading"/>
    <w:basedOn w:val="Heading1"/>
    <w:next w:val="Normal"/>
    <w:uiPriority w:val="39"/>
    <w:unhideWhenUsed/>
    <w:qFormat/>
    <w:rsid w:val="00D81BE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81BEF"/>
    <w:pPr>
      <w:spacing w:after="100"/>
    </w:pPr>
  </w:style>
  <w:style w:type="character" w:styleId="Hyperlink">
    <w:name w:val="Hyperlink"/>
    <w:basedOn w:val="DefaultParagraphFont"/>
    <w:uiPriority w:val="99"/>
    <w:unhideWhenUsed/>
    <w:rsid w:val="00D81BEF"/>
    <w:rPr>
      <w:color w:val="467886" w:themeColor="hyperlink"/>
      <w:u w:val="single"/>
    </w:rPr>
  </w:style>
  <w:style w:type="paragraph" w:styleId="TOC2">
    <w:name w:val="toc 2"/>
    <w:basedOn w:val="Normal"/>
    <w:next w:val="Normal"/>
    <w:autoRedefine/>
    <w:uiPriority w:val="39"/>
    <w:unhideWhenUsed/>
    <w:rsid w:val="00AA51AD"/>
    <w:pPr>
      <w:spacing w:after="100"/>
      <w:ind w:left="220"/>
    </w:pPr>
  </w:style>
  <w:style w:type="table" w:styleId="TableGrid">
    <w:name w:val="Table Grid"/>
    <w:basedOn w:val="TableNormal"/>
    <w:uiPriority w:val="39"/>
    <w:rsid w:val="004732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568E39-64FE-4C94-85E9-386057BEC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TotalTime>
  <Pages>17</Pages>
  <Words>3116</Words>
  <Characters>17763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Tunde Debreczeni</dc:creator>
  <cp:keywords/>
  <dc:description/>
  <cp:lastModifiedBy>Tunde Debreczeni</cp:lastModifiedBy>
  <cp:revision>5</cp:revision>
  <dcterms:created xsi:type="dcterms:W3CDTF">2025-12-20T11:46:00Z</dcterms:created>
  <dcterms:modified xsi:type="dcterms:W3CDTF">2025-12-20T15:16:00Z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51224abd-a644-4a78-87e8-b1be2b92546b</vt:lpwstr>
  </property>
</Properties>
</file>