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E3659" w14:textId="7FB769B6" w:rsidR="002F0152" w:rsidRPr="007D5567" w:rsidRDefault="002F0152">
      <w:pPr>
        <w:rPr>
          <w:rFonts w:ascii="Arial" w:hAnsi="Arial" w:cs="Arial"/>
          <w:sz w:val="24"/>
          <w:szCs w:val="24"/>
        </w:rPr>
      </w:pPr>
    </w:p>
    <w:p w14:paraId="3A5F6A0C" w14:textId="0C40B337" w:rsidR="006022E1" w:rsidRPr="007D5567" w:rsidRDefault="00982290" w:rsidP="00D40516">
      <w:pPr>
        <w:jc w:val="center"/>
        <w:rPr>
          <w:rFonts w:ascii="Arial" w:hAnsi="Arial" w:cs="Arial"/>
          <w:b/>
          <w:bCs/>
          <w:sz w:val="30"/>
          <w:szCs w:val="30"/>
        </w:rPr>
      </w:pPr>
      <w:r w:rsidRPr="007D5567">
        <w:rPr>
          <w:rFonts w:ascii="Arial" w:hAnsi="Arial" w:cs="Arial"/>
          <w:b/>
          <w:bCs/>
          <w:sz w:val="30"/>
          <w:szCs w:val="30"/>
        </w:rPr>
        <w:t>University of Wales Trinity Saint David</w:t>
      </w:r>
    </w:p>
    <w:p w14:paraId="768211DB" w14:textId="5C901E5C" w:rsidR="006022E1" w:rsidRPr="009434E8" w:rsidRDefault="006022E1" w:rsidP="00D40516">
      <w:pPr>
        <w:jc w:val="center"/>
        <w:rPr>
          <w:rFonts w:ascii="Arial" w:hAnsi="Arial" w:cs="Arial"/>
          <w:b/>
          <w:bCs/>
          <w:sz w:val="30"/>
          <w:szCs w:val="30"/>
          <w:lang w:val="en-AS"/>
        </w:rPr>
      </w:pPr>
      <w:r w:rsidRPr="007D5567">
        <w:rPr>
          <w:rFonts w:ascii="Arial" w:hAnsi="Arial" w:cs="Arial"/>
          <w:b/>
          <w:bCs/>
          <w:sz w:val="30"/>
          <w:szCs w:val="30"/>
        </w:rPr>
        <w:t>Level 4 Assessment</w:t>
      </w:r>
      <w:r w:rsidR="009434E8">
        <w:rPr>
          <w:rFonts w:ascii="Arial" w:hAnsi="Arial" w:cs="Arial"/>
          <w:b/>
          <w:bCs/>
          <w:sz w:val="30"/>
          <w:szCs w:val="30"/>
          <w:lang w:val="en-AS"/>
        </w:rPr>
        <w:t xml:space="preserve"> 1</w:t>
      </w:r>
    </w:p>
    <w:p w14:paraId="77CB20A7" w14:textId="77777777" w:rsidR="00B0070F" w:rsidRPr="007D5567" w:rsidRDefault="00B0070F" w:rsidP="00D40516">
      <w:pPr>
        <w:jc w:val="center"/>
        <w:rPr>
          <w:rFonts w:ascii="Arial" w:hAnsi="Arial" w:cs="Arial"/>
          <w:b/>
          <w:bCs/>
          <w:sz w:val="30"/>
          <w:szCs w:val="30"/>
        </w:rPr>
      </w:pPr>
    </w:p>
    <w:p w14:paraId="017A50B6" w14:textId="77777777" w:rsidR="00B0070F" w:rsidRPr="007D5567" w:rsidRDefault="00B0070F" w:rsidP="00D40516">
      <w:pPr>
        <w:jc w:val="center"/>
        <w:rPr>
          <w:rFonts w:ascii="Arial" w:hAnsi="Arial" w:cs="Arial"/>
          <w:b/>
          <w:bCs/>
          <w:sz w:val="30"/>
          <w:szCs w:val="30"/>
        </w:rPr>
      </w:pPr>
    </w:p>
    <w:p w14:paraId="7C8D7C85" w14:textId="7F52942A" w:rsidR="00982290" w:rsidRPr="007D5567" w:rsidRDefault="00982290" w:rsidP="00D40516">
      <w:pPr>
        <w:jc w:val="center"/>
        <w:rPr>
          <w:rFonts w:ascii="Arial" w:hAnsi="Arial" w:cs="Arial"/>
          <w:b/>
          <w:bCs/>
          <w:sz w:val="30"/>
          <w:szCs w:val="30"/>
        </w:rPr>
      </w:pPr>
      <w:r w:rsidRPr="007D5567">
        <w:rPr>
          <w:rFonts w:ascii="Arial" w:hAnsi="Arial" w:cs="Arial"/>
          <w:b/>
          <w:bCs/>
          <w:sz w:val="30"/>
          <w:szCs w:val="30"/>
        </w:rPr>
        <w:t xml:space="preserve">Module: </w:t>
      </w:r>
      <w:r w:rsidR="00E865CF" w:rsidRPr="007D5567">
        <w:rPr>
          <w:rFonts w:ascii="Arial" w:hAnsi="Arial" w:cs="Arial"/>
          <w:b/>
          <w:bCs/>
          <w:sz w:val="30"/>
          <w:szCs w:val="30"/>
        </w:rPr>
        <w:t>Community Engagement</w:t>
      </w:r>
    </w:p>
    <w:p w14:paraId="683E3FEF" w14:textId="2962B35B" w:rsidR="00982290" w:rsidRPr="007D5567" w:rsidRDefault="00982290" w:rsidP="00D40516">
      <w:pPr>
        <w:jc w:val="center"/>
        <w:rPr>
          <w:rFonts w:ascii="Arial" w:hAnsi="Arial" w:cs="Arial"/>
          <w:b/>
          <w:bCs/>
          <w:sz w:val="30"/>
          <w:szCs w:val="30"/>
        </w:rPr>
      </w:pPr>
      <w:r w:rsidRPr="007D5567">
        <w:rPr>
          <w:rFonts w:ascii="Arial" w:hAnsi="Arial" w:cs="Arial"/>
          <w:b/>
          <w:bCs/>
          <w:sz w:val="30"/>
          <w:szCs w:val="30"/>
        </w:rPr>
        <w:t>Modul code: LCBB400</w:t>
      </w:r>
      <w:r w:rsidR="00E865CF" w:rsidRPr="007D5567">
        <w:rPr>
          <w:rFonts w:ascii="Arial" w:hAnsi="Arial" w:cs="Arial"/>
          <w:b/>
          <w:bCs/>
          <w:sz w:val="30"/>
          <w:szCs w:val="30"/>
        </w:rPr>
        <w:t>2</w:t>
      </w:r>
    </w:p>
    <w:p w14:paraId="4667CA2C" w14:textId="77777777" w:rsidR="00D40516" w:rsidRPr="007D5567" w:rsidRDefault="00D40516">
      <w:pPr>
        <w:rPr>
          <w:rFonts w:ascii="Arial" w:hAnsi="Arial" w:cs="Arial"/>
          <w:b/>
          <w:bCs/>
          <w:sz w:val="30"/>
          <w:szCs w:val="30"/>
        </w:rPr>
      </w:pPr>
    </w:p>
    <w:p w14:paraId="6FDECBA0" w14:textId="4455CE24" w:rsidR="00D40516" w:rsidRPr="007D5567" w:rsidRDefault="00D40516" w:rsidP="00D40516">
      <w:pPr>
        <w:jc w:val="center"/>
        <w:rPr>
          <w:rFonts w:ascii="Arial" w:hAnsi="Arial" w:cs="Arial"/>
          <w:b/>
          <w:bCs/>
          <w:sz w:val="30"/>
          <w:szCs w:val="30"/>
        </w:rPr>
      </w:pPr>
    </w:p>
    <w:p w14:paraId="2AD21B70" w14:textId="597361CA" w:rsidR="00B0070F" w:rsidRPr="007D5567" w:rsidRDefault="00B0070F" w:rsidP="00D40516">
      <w:pPr>
        <w:jc w:val="center"/>
        <w:rPr>
          <w:rFonts w:ascii="Arial" w:hAnsi="Arial" w:cs="Arial"/>
          <w:b/>
          <w:bCs/>
          <w:sz w:val="30"/>
          <w:szCs w:val="30"/>
        </w:rPr>
      </w:pPr>
    </w:p>
    <w:p w14:paraId="3A7B74E0" w14:textId="77777777" w:rsidR="00B0070F" w:rsidRPr="007D5567" w:rsidRDefault="00B0070F" w:rsidP="00D40516">
      <w:pPr>
        <w:jc w:val="center"/>
        <w:rPr>
          <w:rFonts w:ascii="Arial" w:hAnsi="Arial" w:cs="Arial"/>
          <w:b/>
          <w:bCs/>
          <w:sz w:val="30"/>
          <w:szCs w:val="30"/>
        </w:rPr>
      </w:pPr>
    </w:p>
    <w:p w14:paraId="5C6300B6" w14:textId="77777777" w:rsidR="00B0070F" w:rsidRPr="007D5567" w:rsidRDefault="00B0070F" w:rsidP="00D40516">
      <w:pPr>
        <w:jc w:val="center"/>
        <w:rPr>
          <w:rFonts w:ascii="Arial" w:hAnsi="Arial" w:cs="Arial"/>
          <w:b/>
          <w:bCs/>
          <w:sz w:val="30"/>
          <w:szCs w:val="30"/>
        </w:rPr>
      </w:pPr>
    </w:p>
    <w:p w14:paraId="2FBB81A1" w14:textId="77777777" w:rsidR="001A6D24" w:rsidRPr="007D5567" w:rsidRDefault="00497C5E" w:rsidP="001A6D24">
      <w:pPr>
        <w:jc w:val="center"/>
        <w:rPr>
          <w:rFonts w:ascii="Arial" w:hAnsi="Arial" w:cs="Arial"/>
          <w:b/>
          <w:bCs/>
          <w:sz w:val="30"/>
          <w:szCs w:val="30"/>
        </w:rPr>
      </w:pPr>
      <w:r w:rsidRPr="007D5567">
        <w:rPr>
          <w:rFonts w:ascii="Arial" w:hAnsi="Arial" w:cs="Arial"/>
          <w:b/>
          <w:bCs/>
          <w:sz w:val="30"/>
          <w:szCs w:val="30"/>
        </w:rPr>
        <w:t>Assessment task:</w:t>
      </w:r>
      <w:r w:rsidR="00D40516" w:rsidRPr="007D5567">
        <w:rPr>
          <w:rFonts w:ascii="Arial" w:hAnsi="Arial" w:cs="Arial"/>
          <w:b/>
          <w:bCs/>
          <w:sz w:val="30"/>
          <w:szCs w:val="30"/>
        </w:rPr>
        <w:t xml:space="preserve"> </w:t>
      </w:r>
    </w:p>
    <w:p w14:paraId="2BEE6123" w14:textId="778B229B" w:rsidR="001A6D24" w:rsidRPr="007D5567" w:rsidRDefault="001A6D24" w:rsidP="001A6D24">
      <w:pPr>
        <w:jc w:val="center"/>
        <w:rPr>
          <w:rFonts w:ascii="Arial" w:hAnsi="Arial" w:cs="Arial"/>
          <w:b/>
          <w:bCs/>
          <w:sz w:val="30"/>
          <w:szCs w:val="30"/>
        </w:rPr>
      </w:pPr>
      <w:r w:rsidRPr="007D5567">
        <w:rPr>
          <w:rFonts w:ascii="Arial" w:hAnsi="Arial" w:cs="Arial"/>
          <w:b/>
          <w:bCs/>
          <w:sz w:val="30"/>
          <w:szCs w:val="30"/>
        </w:rPr>
        <w:t>Part A:</w:t>
      </w:r>
    </w:p>
    <w:p w14:paraId="3EC07C00" w14:textId="73113E2C" w:rsidR="00497C5E" w:rsidRPr="007D5567" w:rsidRDefault="001A6D24" w:rsidP="001A6D24">
      <w:pPr>
        <w:jc w:val="center"/>
        <w:rPr>
          <w:rFonts w:ascii="Arial" w:hAnsi="Arial" w:cs="Arial"/>
          <w:b/>
          <w:bCs/>
          <w:sz w:val="30"/>
          <w:szCs w:val="30"/>
        </w:rPr>
      </w:pPr>
      <w:r w:rsidRPr="007D5567">
        <w:rPr>
          <w:rFonts w:ascii="Arial" w:hAnsi="Arial" w:cs="Arial"/>
          <w:b/>
          <w:bCs/>
          <w:sz w:val="30"/>
          <w:szCs w:val="30"/>
        </w:rPr>
        <w:t>Plan and Coordinate a Community Engagement Event</w:t>
      </w:r>
    </w:p>
    <w:p w14:paraId="4603DE2E" w14:textId="76D03DA0" w:rsidR="00497C5E" w:rsidRPr="007D5567" w:rsidRDefault="00D40516" w:rsidP="00D40516">
      <w:pPr>
        <w:jc w:val="center"/>
        <w:rPr>
          <w:rFonts w:ascii="Arial" w:hAnsi="Arial" w:cs="Arial"/>
          <w:b/>
          <w:bCs/>
          <w:sz w:val="30"/>
          <w:szCs w:val="30"/>
        </w:rPr>
      </w:pPr>
      <w:r w:rsidRPr="007D5567">
        <w:rPr>
          <w:rFonts w:ascii="Arial" w:hAnsi="Arial" w:cs="Arial"/>
          <w:b/>
          <w:bCs/>
          <w:sz w:val="30"/>
          <w:szCs w:val="30"/>
        </w:rPr>
        <w:t xml:space="preserve">Assessment type: </w:t>
      </w:r>
      <w:r w:rsidR="00C2753B" w:rsidRPr="007D5567">
        <w:rPr>
          <w:rFonts w:ascii="Arial" w:hAnsi="Arial" w:cs="Arial"/>
          <w:b/>
          <w:bCs/>
          <w:sz w:val="30"/>
          <w:szCs w:val="30"/>
        </w:rPr>
        <w:t>Report</w:t>
      </w:r>
    </w:p>
    <w:p w14:paraId="0598FD99" w14:textId="4B8EF4ED" w:rsidR="006022E1" w:rsidRPr="007D5567" w:rsidRDefault="006022E1" w:rsidP="00D40516">
      <w:pPr>
        <w:jc w:val="center"/>
        <w:rPr>
          <w:rFonts w:ascii="Arial" w:hAnsi="Arial" w:cs="Arial"/>
          <w:b/>
          <w:bCs/>
          <w:sz w:val="30"/>
          <w:szCs w:val="30"/>
        </w:rPr>
      </w:pPr>
    </w:p>
    <w:p w14:paraId="465712CC" w14:textId="1578E8C4" w:rsidR="00B0070F" w:rsidRPr="007D5567" w:rsidRDefault="00B0070F" w:rsidP="00D40516">
      <w:pPr>
        <w:jc w:val="center"/>
        <w:rPr>
          <w:rFonts w:ascii="Arial" w:hAnsi="Arial" w:cs="Arial"/>
          <w:b/>
          <w:bCs/>
          <w:sz w:val="30"/>
          <w:szCs w:val="30"/>
        </w:rPr>
      </w:pPr>
    </w:p>
    <w:p w14:paraId="5A8653B6" w14:textId="6E4642E8" w:rsidR="00B0070F" w:rsidRPr="007D5567" w:rsidRDefault="00B0070F" w:rsidP="00D40516">
      <w:pPr>
        <w:jc w:val="center"/>
        <w:rPr>
          <w:rFonts w:ascii="Arial" w:hAnsi="Arial" w:cs="Arial"/>
          <w:b/>
          <w:bCs/>
          <w:sz w:val="30"/>
          <w:szCs w:val="30"/>
        </w:rPr>
      </w:pPr>
    </w:p>
    <w:p w14:paraId="1881BDA9" w14:textId="77777777" w:rsidR="00B0070F" w:rsidRPr="007D5567" w:rsidRDefault="00B0070F" w:rsidP="00D40516">
      <w:pPr>
        <w:jc w:val="center"/>
        <w:rPr>
          <w:rFonts w:ascii="Arial" w:hAnsi="Arial" w:cs="Arial"/>
          <w:b/>
          <w:bCs/>
          <w:sz w:val="30"/>
          <w:szCs w:val="30"/>
        </w:rPr>
      </w:pPr>
    </w:p>
    <w:p w14:paraId="025FA07C" w14:textId="299C6FA4" w:rsidR="00D40516" w:rsidRPr="007D5567" w:rsidRDefault="00D40516" w:rsidP="00D40516">
      <w:pPr>
        <w:jc w:val="center"/>
        <w:rPr>
          <w:rFonts w:ascii="Arial" w:hAnsi="Arial" w:cs="Arial"/>
          <w:b/>
          <w:bCs/>
          <w:sz w:val="30"/>
          <w:szCs w:val="30"/>
        </w:rPr>
      </w:pPr>
    </w:p>
    <w:p w14:paraId="7173C211" w14:textId="3F7DEF3D" w:rsidR="00D40516" w:rsidRPr="007D5567" w:rsidRDefault="000E3CFC" w:rsidP="00D40516">
      <w:pPr>
        <w:jc w:val="center"/>
        <w:rPr>
          <w:rFonts w:ascii="Arial" w:hAnsi="Arial" w:cs="Arial"/>
          <w:b/>
          <w:bCs/>
          <w:sz w:val="30"/>
          <w:szCs w:val="30"/>
        </w:rPr>
      </w:pPr>
      <w:r w:rsidRPr="007D5567">
        <w:rPr>
          <w:rFonts w:ascii="Arial" w:hAnsi="Arial" w:cs="Arial"/>
          <w:b/>
          <w:bCs/>
          <w:sz w:val="30"/>
          <w:szCs w:val="30"/>
        </w:rPr>
        <w:t>2,</w:t>
      </w:r>
      <w:r w:rsidR="009E45A1">
        <w:rPr>
          <w:rFonts w:ascii="Arial" w:hAnsi="Arial" w:cs="Arial"/>
          <w:b/>
          <w:bCs/>
          <w:sz w:val="30"/>
          <w:szCs w:val="30"/>
          <w:lang w:val="bg-BG"/>
        </w:rPr>
        <w:t>151</w:t>
      </w:r>
      <w:r w:rsidR="00560568" w:rsidRPr="007D5567">
        <w:rPr>
          <w:rFonts w:ascii="Arial" w:hAnsi="Arial" w:cs="Arial"/>
          <w:b/>
          <w:bCs/>
          <w:sz w:val="30"/>
          <w:szCs w:val="30"/>
        </w:rPr>
        <w:t xml:space="preserve"> </w:t>
      </w:r>
      <w:r w:rsidR="00D40516" w:rsidRPr="007D5567">
        <w:rPr>
          <w:rFonts w:ascii="Arial" w:hAnsi="Arial" w:cs="Arial"/>
          <w:b/>
          <w:bCs/>
          <w:sz w:val="30"/>
          <w:szCs w:val="30"/>
        </w:rPr>
        <w:t>Words</w:t>
      </w:r>
    </w:p>
    <w:p w14:paraId="0AC2A483" w14:textId="72F68513" w:rsidR="00D40516" w:rsidRPr="007D5567" w:rsidRDefault="00D40516" w:rsidP="00D40516">
      <w:pPr>
        <w:jc w:val="center"/>
        <w:rPr>
          <w:rFonts w:ascii="Arial" w:hAnsi="Arial" w:cs="Arial"/>
          <w:b/>
          <w:bCs/>
          <w:sz w:val="30"/>
          <w:szCs w:val="30"/>
        </w:rPr>
      </w:pPr>
    </w:p>
    <w:p w14:paraId="4AAC8DFB" w14:textId="0EF441DA" w:rsidR="00D40516" w:rsidRPr="007D5567" w:rsidRDefault="00B0070F" w:rsidP="00D40516">
      <w:pPr>
        <w:jc w:val="center"/>
        <w:rPr>
          <w:rFonts w:ascii="Arial" w:hAnsi="Arial" w:cs="Arial"/>
          <w:b/>
          <w:bCs/>
          <w:sz w:val="30"/>
          <w:szCs w:val="30"/>
        </w:rPr>
      </w:pPr>
      <w:r w:rsidRPr="007D5567">
        <w:rPr>
          <w:rFonts w:ascii="Arial" w:hAnsi="Arial" w:cs="Arial"/>
          <w:b/>
          <w:bCs/>
          <w:sz w:val="30"/>
          <w:szCs w:val="30"/>
        </w:rPr>
        <w:t>July</w:t>
      </w:r>
      <w:r w:rsidR="00D40516" w:rsidRPr="007D5567">
        <w:rPr>
          <w:rFonts w:ascii="Arial" w:hAnsi="Arial" w:cs="Arial"/>
          <w:b/>
          <w:bCs/>
          <w:sz w:val="30"/>
          <w:szCs w:val="30"/>
        </w:rPr>
        <w:t xml:space="preserve"> 2021</w:t>
      </w:r>
    </w:p>
    <w:p w14:paraId="3320F763" w14:textId="77777777" w:rsidR="0087698C" w:rsidRPr="007D5567" w:rsidRDefault="00D40516" w:rsidP="00177959">
      <w:pPr>
        <w:pStyle w:val="Title"/>
        <w:jc w:val="center"/>
        <w:rPr>
          <w:rFonts w:ascii="Arial" w:hAnsi="Arial" w:cs="Arial"/>
          <w:sz w:val="24"/>
          <w:szCs w:val="24"/>
        </w:rPr>
      </w:pPr>
      <w:r w:rsidRPr="007D5567">
        <w:rPr>
          <w:rFonts w:ascii="Arial" w:hAnsi="Arial" w:cs="Arial"/>
          <w:sz w:val="24"/>
          <w:szCs w:val="24"/>
        </w:rPr>
        <w:br w:type="column"/>
      </w:r>
    </w:p>
    <w:sdt>
      <w:sdtPr>
        <w:rPr>
          <w:rFonts w:ascii="Arial" w:eastAsiaTheme="minorHAnsi" w:hAnsi="Arial" w:cs="Arial"/>
          <w:b/>
          <w:bCs/>
          <w:color w:val="auto"/>
          <w:sz w:val="22"/>
          <w:szCs w:val="22"/>
          <w:lang w:val="en-GB"/>
        </w:rPr>
        <w:id w:val="-1949772397"/>
        <w:docPartObj>
          <w:docPartGallery w:val="Table of Contents"/>
          <w:docPartUnique/>
        </w:docPartObj>
      </w:sdtPr>
      <w:sdtEndPr>
        <w:rPr>
          <w:noProof/>
        </w:rPr>
      </w:sdtEndPr>
      <w:sdtContent>
        <w:p w14:paraId="12BF5514" w14:textId="41175043" w:rsidR="0087698C" w:rsidRPr="007D5567" w:rsidRDefault="0087698C">
          <w:pPr>
            <w:pStyle w:val="TOCHeading"/>
            <w:rPr>
              <w:rFonts w:ascii="Arial" w:hAnsi="Arial" w:cs="Arial"/>
              <w:b/>
              <w:bCs/>
            </w:rPr>
          </w:pPr>
          <w:r w:rsidRPr="007D5567">
            <w:rPr>
              <w:rFonts w:ascii="Arial" w:hAnsi="Arial" w:cs="Arial"/>
              <w:b/>
              <w:bCs/>
            </w:rPr>
            <w:t>Table of Contents</w:t>
          </w:r>
        </w:p>
        <w:p w14:paraId="366EF501" w14:textId="3D13B548" w:rsidR="0087698C" w:rsidRPr="007D5567" w:rsidRDefault="0087698C" w:rsidP="0087698C">
          <w:pPr>
            <w:rPr>
              <w:rFonts w:ascii="Arial" w:hAnsi="Arial" w:cs="Arial"/>
              <w:lang w:val="en-US"/>
            </w:rPr>
          </w:pPr>
        </w:p>
        <w:p w14:paraId="381E4EF8" w14:textId="77777777" w:rsidR="0087698C" w:rsidRPr="007D5567" w:rsidRDefault="0087698C" w:rsidP="0087698C">
          <w:pPr>
            <w:rPr>
              <w:rFonts w:ascii="Arial" w:hAnsi="Arial" w:cs="Arial"/>
              <w:lang w:val="en-US"/>
            </w:rPr>
          </w:pPr>
        </w:p>
        <w:p w14:paraId="7FA00246" w14:textId="4C084963" w:rsidR="009E45A1" w:rsidRDefault="0087698C">
          <w:pPr>
            <w:pStyle w:val="TOC1"/>
            <w:tabs>
              <w:tab w:val="right" w:leader="dot" w:pos="9016"/>
            </w:tabs>
            <w:rPr>
              <w:rFonts w:eastAsiaTheme="minorEastAsia"/>
              <w:noProof/>
              <w:lang w:eastAsia="en-GB"/>
            </w:rPr>
          </w:pPr>
          <w:r w:rsidRPr="007D5567">
            <w:rPr>
              <w:rFonts w:ascii="Arial" w:hAnsi="Arial" w:cs="Arial"/>
            </w:rPr>
            <w:fldChar w:fldCharType="begin"/>
          </w:r>
          <w:r w:rsidRPr="007D5567">
            <w:rPr>
              <w:rFonts w:ascii="Arial" w:hAnsi="Arial" w:cs="Arial"/>
            </w:rPr>
            <w:instrText xml:space="preserve"> TOC \o "1-3" \h \z \u </w:instrText>
          </w:r>
          <w:r w:rsidRPr="007D5567">
            <w:rPr>
              <w:rFonts w:ascii="Arial" w:hAnsi="Arial" w:cs="Arial"/>
            </w:rPr>
            <w:fldChar w:fldCharType="separate"/>
          </w:r>
          <w:hyperlink w:anchor="_Toc77848809" w:history="1">
            <w:r w:rsidR="009E45A1" w:rsidRPr="00FD351A">
              <w:rPr>
                <w:rStyle w:val="Hyperlink"/>
                <w:rFonts w:ascii="Arial" w:hAnsi="Arial" w:cs="Arial"/>
                <w:b/>
                <w:bCs/>
                <w:noProof/>
              </w:rPr>
              <w:t>Introduction</w:t>
            </w:r>
            <w:r w:rsidR="009E45A1">
              <w:rPr>
                <w:noProof/>
                <w:webHidden/>
              </w:rPr>
              <w:tab/>
            </w:r>
            <w:r w:rsidR="009E45A1">
              <w:rPr>
                <w:noProof/>
                <w:webHidden/>
              </w:rPr>
              <w:fldChar w:fldCharType="begin"/>
            </w:r>
            <w:r w:rsidR="009E45A1">
              <w:rPr>
                <w:noProof/>
                <w:webHidden/>
              </w:rPr>
              <w:instrText xml:space="preserve"> PAGEREF _Toc77848809 \h </w:instrText>
            </w:r>
            <w:r w:rsidR="009E45A1">
              <w:rPr>
                <w:noProof/>
                <w:webHidden/>
              </w:rPr>
            </w:r>
            <w:r w:rsidR="009E45A1">
              <w:rPr>
                <w:noProof/>
                <w:webHidden/>
              </w:rPr>
              <w:fldChar w:fldCharType="separate"/>
            </w:r>
            <w:r w:rsidR="009E45A1">
              <w:rPr>
                <w:noProof/>
                <w:webHidden/>
              </w:rPr>
              <w:t>3</w:t>
            </w:r>
            <w:r w:rsidR="009E45A1">
              <w:rPr>
                <w:noProof/>
                <w:webHidden/>
              </w:rPr>
              <w:fldChar w:fldCharType="end"/>
            </w:r>
          </w:hyperlink>
        </w:p>
        <w:p w14:paraId="3884304A" w14:textId="0232FB15" w:rsidR="009E45A1" w:rsidRDefault="00BD38A2">
          <w:pPr>
            <w:pStyle w:val="TOC1"/>
            <w:tabs>
              <w:tab w:val="right" w:leader="dot" w:pos="9016"/>
            </w:tabs>
            <w:rPr>
              <w:rFonts w:eastAsiaTheme="minorEastAsia"/>
              <w:noProof/>
              <w:lang w:eastAsia="en-GB"/>
            </w:rPr>
          </w:pPr>
          <w:hyperlink w:anchor="_Toc77848810" w:history="1">
            <w:r w:rsidR="009E45A1" w:rsidRPr="00FD351A">
              <w:rPr>
                <w:rStyle w:val="Hyperlink"/>
                <w:rFonts w:ascii="Arial" w:hAnsi="Arial" w:cs="Arial"/>
                <w:b/>
                <w:bCs/>
                <w:noProof/>
              </w:rPr>
              <w:t>Body</w:t>
            </w:r>
            <w:r w:rsidR="009E45A1">
              <w:rPr>
                <w:noProof/>
                <w:webHidden/>
              </w:rPr>
              <w:tab/>
            </w:r>
            <w:r w:rsidR="009E45A1">
              <w:rPr>
                <w:noProof/>
                <w:webHidden/>
              </w:rPr>
              <w:fldChar w:fldCharType="begin"/>
            </w:r>
            <w:r w:rsidR="009E45A1">
              <w:rPr>
                <w:noProof/>
                <w:webHidden/>
              </w:rPr>
              <w:instrText xml:space="preserve"> PAGEREF _Toc77848810 \h </w:instrText>
            </w:r>
            <w:r w:rsidR="009E45A1">
              <w:rPr>
                <w:noProof/>
                <w:webHidden/>
              </w:rPr>
            </w:r>
            <w:r w:rsidR="009E45A1">
              <w:rPr>
                <w:noProof/>
                <w:webHidden/>
              </w:rPr>
              <w:fldChar w:fldCharType="separate"/>
            </w:r>
            <w:r w:rsidR="009E45A1">
              <w:rPr>
                <w:noProof/>
                <w:webHidden/>
              </w:rPr>
              <w:t>3</w:t>
            </w:r>
            <w:r w:rsidR="009E45A1">
              <w:rPr>
                <w:noProof/>
                <w:webHidden/>
              </w:rPr>
              <w:fldChar w:fldCharType="end"/>
            </w:r>
          </w:hyperlink>
        </w:p>
        <w:p w14:paraId="423D6046" w14:textId="776CBCF6" w:rsidR="009E45A1" w:rsidRDefault="00BD38A2">
          <w:pPr>
            <w:pStyle w:val="TOC1"/>
            <w:tabs>
              <w:tab w:val="right" w:leader="dot" w:pos="9016"/>
            </w:tabs>
            <w:rPr>
              <w:rFonts w:eastAsiaTheme="minorEastAsia"/>
              <w:noProof/>
              <w:lang w:eastAsia="en-GB"/>
            </w:rPr>
          </w:pPr>
          <w:hyperlink w:anchor="_Toc77848811" w:history="1">
            <w:r w:rsidR="009E45A1" w:rsidRPr="00FD351A">
              <w:rPr>
                <w:rStyle w:val="Hyperlink"/>
                <w:rFonts w:ascii="Arial" w:hAnsi="Arial" w:cs="Arial"/>
                <w:b/>
                <w:bCs/>
                <w:noProof/>
              </w:rPr>
              <w:t>Conclusion</w:t>
            </w:r>
            <w:r w:rsidR="009E45A1">
              <w:rPr>
                <w:noProof/>
                <w:webHidden/>
              </w:rPr>
              <w:tab/>
            </w:r>
            <w:r w:rsidR="009E45A1">
              <w:rPr>
                <w:noProof/>
                <w:webHidden/>
              </w:rPr>
              <w:fldChar w:fldCharType="begin"/>
            </w:r>
            <w:r w:rsidR="009E45A1">
              <w:rPr>
                <w:noProof/>
                <w:webHidden/>
              </w:rPr>
              <w:instrText xml:space="preserve"> PAGEREF _Toc77848811 \h </w:instrText>
            </w:r>
            <w:r w:rsidR="009E45A1">
              <w:rPr>
                <w:noProof/>
                <w:webHidden/>
              </w:rPr>
            </w:r>
            <w:r w:rsidR="009E45A1">
              <w:rPr>
                <w:noProof/>
                <w:webHidden/>
              </w:rPr>
              <w:fldChar w:fldCharType="separate"/>
            </w:r>
            <w:r w:rsidR="009E45A1">
              <w:rPr>
                <w:noProof/>
                <w:webHidden/>
              </w:rPr>
              <w:t>10</w:t>
            </w:r>
            <w:r w:rsidR="009E45A1">
              <w:rPr>
                <w:noProof/>
                <w:webHidden/>
              </w:rPr>
              <w:fldChar w:fldCharType="end"/>
            </w:r>
          </w:hyperlink>
        </w:p>
        <w:p w14:paraId="512F9803" w14:textId="47A32BA8" w:rsidR="0087698C" w:rsidRPr="007D5567" w:rsidRDefault="0087698C">
          <w:pPr>
            <w:rPr>
              <w:rFonts w:ascii="Arial" w:hAnsi="Arial" w:cs="Arial"/>
            </w:rPr>
          </w:pPr>
          <w:r w:rsidRPr="007D5567">
            <w:rPr>
              <w:rFonts w:ascii="Arial" w:hAnsi="Arial" w:cs="Arial"/>
              <w:b/>
              <w:bCs/>
              <w:noProof/>
            </w:rPr>
            <w:fldChar w:fldCharType="end"/>
          </w:r>
        </w:p>
      </w:sdtContent>
    </w:sdt>
    <w:p w14:paraId="7F43BBDE" w14:textId="6826CA04" w:rsidR="0087698C" w:rsidRPr="007D5567" w:rsidRDefault="0087698C" w:rsidP="00177959">
      <w:pPr>
        <w:pStyle w:val="Title"/>
        <w:jc w:val="center"/>
        <w:rPr>
          <w:rFonts w:ascii="Arial" w:hAnsi="Arial" w:cs="Arial"/>
          <w:sz w:val="24"/>
          <w:szCs w:val="24"/>
        </w:rPr>
      </w:pPr>
    </w:p>
    <w:p w14:paraId="44EF2E16" w14:textId="77777777" w:rsidR="0087698C" w:rsidRPr="007D5567" w:rsidRDefault="0087698C" w:rsidP="00177959">
      <w:pPr>
        <w:pStyle w:val="Title"/>
        <w:jc w:val="center"/>
        <w:rPr>
          <w:rFonts w:ascii="Arial" w:hAnsi="Arial" w:cs="Arial"/>
          <w:sz w:val="24"/>
          <w:szCs w:val="24"/>
        </w:rPr>
      </w:pPr>
    </w:p>
    <w:p w14:paraId="5E4EB4C5" w14:textId="77777777" w:rsidR="0087698C" w:rsidRPr="007D5567" w:rsidRDefault="0087698C" w:rsidP="00177959">
      <w:pPr>
        <w:pStyle w:val="Title"/>
        <w:jc w:val="center"/>
        <w:rPr>
          <w:rFonts w:ascii="Arial" w:hAnsi="Arial" w:cs="Arial"/>
          <w:sz w:val="24"/>
          <w:szCs w:val="24"/>
        </w:rPr>
      </w:pPr>
    </w:p>
    <w:p w14:paraId="65595DD7" w14:textId="11E1662E" w:rsidR="00F21CB7" w:rsidRPr="007D5567" w:rsidRDefault="0087698C" w:rsidP="00684B21">
      <w:pPr>
        <w:pStyle w:val="Title"/>
        <w:jc w:val="center"/>
        <w:rPr>
          <w:rFonts w:ascii="Arial" w:hAnsi="Arial" w:cs="Arial"/>
        </w:rPr>
      </w:pPr>
      <w:r w:rsidRPr="007D5567">
        <w:rPr>
          <w:rFonts w:ascii="Arial" w:hAnsi="Arial" w:cs="Arial"/>
          <w:sz w:val="24"/>
          <w:szCs w:val="24"/>
        </w:rPr>
        <w:br w:type="column"/>
      </w:r>
      <w:r w:rsidR="00684B21" w:rsidRPr="007D5567">
        <w:rPr>
          <w:rFonts w:ascii="Arial" w:hAnsi="Arial" w:cs="Arial"/>
          <w:b/>
          <w:bCs/>
          <w:sz w:val="36"/>
          <w:szCs w:val="36"/>
        </w:rPr>
        <w:lastRenderedPageBreak/>
        <w:t>Plan and Coordinate a Community Engagement Event</w:t>
      </w:r>
    </w:p>
    <w:p w14:paraId="1C8EF455" w14:textId="2EC9E3B1" w:rsidR="00855E90" w:rsidRPr="007D5567" w:rsidRDefault="00855E90" w:rsidP="00855E90">
      <w:pPr>
        <w:spacing w:after="0" w:line="360" w:lineRule="auto"/>
        <w:ind w:firstLine="851"/>
        <w:jc w:val="both"/>
        <w:rPr>
          <w:rFonts w:ascii="Arial" w:hAnsi="Arial" w:cs="Arial"/>
          <w:sz w:val="24"/>
          <w:szCs w:val="24"/>
        </w:rPr>
      </w:pPr>
    </w:p>
    <w:p w14:paraId="1230B6C6" w14:textId="77777777" w:rsidR="00684B21" w:rsidRPr="007D5567" w:rsidRDefault="00684B21" w:rsidP="00855E90">
      <w:pPr>
        <w:spacing w:after="0" w:line="360" w:lineRule="auto"/>
        <w:ind w:firstLine="851"/>
        <w:jc w:val="both"/>
        <w:rPr>
          <w:rFonts w:ascii="Arial" w:hAnsi="Arial" w:cs="Arial"/>
          <w:sz w:val="24"/>
          <w:szCs w:val="24"/>
        </w:rPr>
      </w:pPr>
    </w:p>
    <w:p w14:paraId="7CF3E83C" w14:textId="560530D4" w:rsidR="00D5334D" w:rsidRPr="007D5567" w:rsidRDefault="00D5334D" w:rsidP="00D5334D">
      <w:pPr>
        <w:pStyle w:val="Heading1"/>
        <w:rPr>
          <w:rFonts w:ascii="Arial" w:hAnsi="Arial" w:cs="Arial"/>
          <w:b/>
          <w:bCs/>
          <w:lang w:val="bg-BG"/>
        </w:rPr>
      </w:pPr>
      <w:bookmarkStart w:id="0" w:name="_Toc77848809"/>
      <w:r w:rsidRPr="007D5567">
        <w:rPr>
          <w:rFonts w:ascii="Arial" w:hAnsi="Arial" w:cs="Arial"/>
          <w:b/>
          <w:bCs/>
        </w:rPr>
        <w:t>Introduction</w:t>
      </w:r>
      <w:bookmarkEnd w:id="0"/>
    </w:p>
    <w:p w14:paraId="699A6452"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When I read the definition of community engagement in Community &amp; family engagement: Principals share what works, I was confident it would be an interesting report.</w:t>
      </w:r>
    </w:p>
    <w:p w14:paraId="314B843D"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Community engagement is a two-way street where the school, families, and the community actively work together, creating networks of shared responsibility for student success. It is a tool that promotes civic well-being and that strengthens the capacity of schools, families, and communities to support young peoples' full development".</w:t>
      </w:r>
    </w:p>
    <w:p w14:paraId="1F33B48B" w14:textId="4B1A37C8" w:rsidR="00D5334D" w:rsidRPr="007D5567" w:rsidRDefault="00D5334D" w:rsidP="00D5334D">
      <w:pPr>
        <w:spacing w:after="0" w:line="360" w:lineRule="auto"/>
        <w:ind w:firstLine="851"/>
        <w:jc w:val="both"/>
        <w:rPr>
          <w:rFonts w:ascii="Arial" w:hAnsi="Arial" w:cs="Arial"/>
          <w:sz w:val="24"/>
          <w:szCs w:val="24"/>
        </w:rPr>
      </w:pPr>
    </w:p>
    <w:p w14:paraId="47DADF8E" w14:textId="77777777" w:rsidR="00684B21" w:rsidRPr="007D5567" w:rsidRDefault="00684B21" w:rsidP="00D5334D">
      <w:pPr>
        <w:spacing w:after="0" w:line="360" w:lineRule="auto"/>
        <w:ind w:firstLine="851"/>
        <w:jc w:val="both"/>
        <w:rPr>
          <w:rFonts w:ascii="Arial" w:hAnsi="Arial" w:cs="Arial"/>
          <w:sz w:val="24"/>
          <w:szCs w:val="24"/>
        </w:rPr>
      </w:pPr>
    </w:p>
    <w:p w14:paraId="3C55B1ED" w14:textId="0DB06FB6" w:rsidR="00D5334D" w:rsidRPr="007D5567" w:rsidRDefault="00417907" w:rsidP="00D5334D">
      <w:pPr>
        <w:pStyle w:val="Heading1"/>
        <w:rPr>
          <w:rFonts w:ascii="Arial" w:hAnsi="Arial" w:cs="Arial"/>
          <w:b/>
          <w:bCs/>
        </w:rPr>
      </w:pPr>
      <w:bookmarkStart w:id="1" w:name="_Toc77848810"/>
      <w:r w:rsidRPr="007D5567">
        <w:rPr>
          <w:rFonts w:ascii="Arial" w:hAnsi="Arial" w:cs="Arial"/>
          <w:b/>
          <w:bCs/>
        </w:rPr>
        <w:t>Body</w:t>
      </w:r>
      <w:bookmarkEnd w:id="1"/>
    </w:p>
    <w:p w14:paraId="567A88BE" w14:textId="3822B2EC" w:rsidR="005D3898" w:rsidRPr="007D5567" w:rsidRDefault="005D3898" w:rsidP="005D3898">
      <w:pPr>
        <w:spacing w:after="0" w:line="360" w:lineRule="auto"/>
        <w:ind w:firstLine="851"/>
        <w:jc w:val="both"/>
        <w:rPr>
          <w:rFonts w:ascii="Arial" w:hAnsi="Arial" w:cs="Arial"/>
          <w:sz w:val="24"/>
          <w:szCs w:val="24"/>
        </w:rPr>
      </w:pPr>
      <w:r w:rsidRPr="007D5567">
        <w:rPr>
          <w:rFonts w:ascii="Arial" w:hAnsi="Arial" w:cs="Arial"/>
          <w:sz w:val="24"/>
          <w:szCs w:val="24"/>
        </w:rPr>
        <w:t>The idea for community involvement, including public participation and Community consultation, is described in many ways. In Australia, the phrase community involvement is more common than public participation, with consultation now seen as a point in terms of the spectrum of engagement (or participation).</w:t>
      </w:r>
      <w:r w:rsidR="00B06020" w:rsidRPr="007D5567">
        <w:rPr>
          <w:rFonts w:ascii="Arial" w:hAnsi="Arial" w:cs="Arial"/>
        </w:rPr>
        <w:t xml:space="preserve"> </w:t>
      </w:r>
      <w:r w:rsidR="00B06020" w:rsidRPr="007D5567">
        <w:rPr>
          <w:rFonts w:ascii="Arial" w:hAnsi="Arial" w:cs="Arial"/>
          <w:sz w:val="24"/>
          <w:szCs w:val="24"/>
        </w:rPr>
        <w:t xml:space="preserve">(City of Golden, 2020) </w:t>
      </w:r>
      <w:r w:rsidRPr="007D5567">
        <w:rPr>
          <w:rFonts w:ascii="Arial" w:hAnsi="Arial" w:cs="Arial"/>
          <w:sz w:val="24"/>
          <w:szCs w:val="24"/>
        </w:rPr>
        <w:t xml:space="preserve">There are a variety of definitions for community involvement or public participation. It usually refers nevertheless to the practise of engaging people in their choices. Engagement is seen as 'the process by which government, organisations, communities and people are linked in developing and executing their choices. </w:t>
      </w:r>
    </w:p>
    <w:p w14:paraId="5DA05347" w14:textId="182CDD68" w:rsidR="00105CB5" w:rsidRPr="007D5567" w:rsidRDefault="00105CB5" w:rsidP="00105CB5">
      <w:pPr>
        <w:spacing w:after="0" w:line="360" w:lineRule="auto"/>
        <w:ind w:firstLine="851"/>
        <w:jc w:val="both"/>
        <w:rPr>
          <w:rFonts w:ascii="Arial" w:hAnsi="Arial" w:cs="Arial"/>
          <w:sz w:val="24"/>
          <w:szCs w:val="24"/>
        </w:rPr>
      </w:pPr>
      <w:r w:rsidRPr="007D5567">
        <w:rPr>
          <w:rFonts w:ascii="Arial" w:hAnsi="Arial" w:cs="Arial"/>
          <w:sz w:val="24"/>
          <w:szCs w:val="24"/>
        </w:rPr>
        <w:t>Government and the industry worldwide have been more recognised as an important element in project planning and decision-making by the importance of community and stakeholder involvement.</w:t>
      </w:r>
      <w:r w:rsidR="00573DE9" w:rsidRPr="007D5567">
        <w:rPr>
          <w:rFonts w:ascii="Arial" w:hAnsi="Arial" w:cs="Arial"/>
        </w:rPr>
        <w:t xml:space="preserve"> </w:t>
      </w:r>
      <w:r w:rsidR="00573DE9" w:rsidRPr="007D5567">
        <w:rPr>
          <w:rFonts w:ascii="Arial" w:hAnsi="Arial" w:cs="Arial"/>
          <w:sz w:val="24"/>
          <w:szCs w:val="24"/>
        </w:rPr>
        <w:t>(LGA, 2020)</w:t>
      </w:r>
    </w:p>
    <w:p w14:paraId="0E1BFEBD" w14:textId="7D223316" w:rsidR="00953CAA" w:rsidRPr="007D5567" w:rsidRDefault="00105CB5" w:rsidP="00105CB5">
      <w:pPr>
        <w:spacing w:after="0" w:line="360" w:lineRule="auto"/>
        <w:ind w:firstLine="851"/>
        <w:jc w:val="both"/>
        <w:rPr>
          <w:rFonts w:ascii="Arial" w:hAnsi="Arial" w:cs="Arial"/>
          <w:sz w:val="24"/>
          <w:szCs w:val="24"/>
        </w:rPr>
      </w:pPr>
      <w:r w:rsidRPr="007D5567">
        <w:rPr>
          <w:rFonts w:ascii="Arial" w:hAnsi="Arial" w:cs="Arial"/>
          <w:sz w:val="24"/>
          <w:szCs w:val="24"/>
        </w:rPr>
        <w:t xml:space="preserve">In general, community involvement helps both the community and government to achieve greater results. The project enables the parties involved to identify the concerns, risks, chances and possible solutions around a matter that leads to better informed decision-making and reciprocal benefits that </w:t>
      </w:r>
      <w:proofErr w:type="gramStart"/>
      <w:r w:rsidRPr="007D5567">
        <w:rPr>
          <w:rFonts w:ascii="Arial" w:hAnsi="Arial" w:cs="Arial"/>
          <w:sz w:val="24"/>
          <w:szCs w:val="24"/>
        </w:rPr>
        <w:t>include:</w:t>
      </w:r>
      <w:proofErr w:type="gramEnd"/>
      <w:r w:rsidRPr="007D5567">
        <w:rPr>
          <w:rFonts w:ascii="Arial" w:hAnsi="Arial" w:cs="Arial"/>
          <w:sz w:val="24"/>
          <w:szCs w:val="24"/>
        </w:rPr>
        <w:t xml:space="preserve">  better policy development and service delivery; better understanding of people's daily community experiences; improved community-governing relationships. </w:t>
      </w:r>
      <w:r w:rsidR="006E5B77" w:rsidRPr="007D5567">
        <w:rPr>
          <w:rFonts w:ascii="Arial" w:hAnsi="Arial" w:cs="Arial"/>
          <w:sz w:val="24"/>
          <w:szCs w:val="24"/>
        </w:rPr>
        <w:t xml:space="preserve">(Gov, 2021) </w:t>
      </w:r>
      <w:r w:rsidR="00953CAA" w:rsidRPr="007D5567">
        <w:rPr>
          <w:rFonts w:ascii="Arial" w:hAnsi="Arial" w:cs="Arial"/>
          <w:sz w:val="24"/>
          <w:szCs w:val="24"/>
        </w:rPr>
        <w:t xml:space="preserve">The following </w:t>
      </w:r>
      <w:r w:rsidR="00953CAA" w:rsidRPr="007D5567">
        <w:rPr>
          <w:rFonts w:ascii="Arial" w:hAnsi="Arial" w:cs="Arial"/>
          <w:sz w:val="24"/>
          <w:szCs w:val="24"/>
        </w:rPr>
        <w:lastRenderedPageBreak/>
        <w:t>are defined by six fundamental concepts of community involvement with a specific application in the plan</w:t>
      </w:r>
      <w:r w:rsidR="00CC3B98" w:rsidRPr="007D5567">
        <w:rPr>
          <w:rFonts w:ascii="Arial" w:hAnsi="Arial" w:cs="Arial"/>
          <w:sz w:val="24"/>
          <w:szCs w:val="24"/>
        </w:rPr>
        <w:t>:</w:t>
      </w:r>
    </w:p>
    <w:p w14:paraId="2B987374" w14:textId="77777777" w:rsidR="00CC3B98" w:rsidRPr="007D5567" w:rsidRDefault="00CC3B98" w:rsidP="00CC3B98">
      <w:pPr>
        <w:pStyle w:val="ListParagraph"/>
        <w:numPr>
          <w:ilvl w:val="0"/>
          <w:numId w:val="10"/>
        </w:numPr>
        <w:spacing w:after="0" w:line="360" w:lineRule="auto"/>
        <w:jc w:val="both"/>
        <w:rPr>
          <w:rFonts w:ascii="Arial" w:hAnsi="Arial" w:cs="Arial"/>
          <w:sz w:val="24"/>
          <w:szCs w:val="24"/>
        </w:rPr>
      </w:pPr>
      <w:r w:rsidRPr="007D5567">
        <w:rPr>
          <w:rFonts w:ascii="Arial" w:hAnsi="Arial" w:cs="Arial"/>
          <w:sz w:val="24"/>
          <w:szCs w:val="24"/>
        </w:rPr>
        <w:t>Engagement focuses on the best interests of the community</w:t>
      </w:r>
    </w:p>
    <w:p w14:paraId="1291FB0A" w14:textId="77777777" w:rsidR="00CC3B98" w:rsidRPr="007D5567" w:rsidRDefault="00CC3B98" w:rsidP="00CC3B98">
      <w:pPr>
        <w:pStyle w:val="ListParagraph"/>
        <w:numPr>
          <w:ilvl w:val="0"/>
          <w:numId w:val="10"/>
        </w:numPr>
        <w:spacing w:after="0" w:line="360" w:lineRule="auto"/>
        <w:jc w:val="both"/>
        <w:rPr>
          <w:rFonts w:ascii="Arial" w:hAnsi="Arial" w:cs="Arial"/>
          <w:sz w:val="24"/>
          <w:szCs w:val="24"/>
        </w:rPr>
      </w:pPr>
      <w:r w:rsidRPr="007D5567">
        <w:rPr>
          <w:rFonts w:ascii="Arial" w:hAnsi="Arial" w:cs="Arial"/>
          <w:sz w:val="24"/>
          <w:szCs w:val="24"/>
        </w:rPr>
        <w:t xml:space="preserve">Engagement is open, </w:t>
      </w:r>
      <w:proofErr w:type="gramStart"/>
      <w:r w:rsidRPr="007D5567">
        <w:rPr>
          <w:rFonts w:ascii="Arial" w:hAnsi="Arial" w:cs="Arial"/>
          <w:sz w:val="24"/>
          <w:szCs w:val="24"/>
        </w:rPr>
        <w:t>honest</w:t>
      </w:r>
      <w:proofErr w:type="gramEnd"/>
      <w:r w:rsidRPr="007D5567">
        <w:rPr>
          <w:rFonts w:ascii="Arial" w:hAnsi="Arial" w:cs="Arial"/>
          <w:sz w:val="24"/>
          <w:szCs w:val="24"/>
        </w:rPr>
        <w:t xml:space="preserve"> and meaningful</w:t>
      </w:r>
    </w:p>
    <w:p w14:paraId="05587691" w14:textId="77777777" w:rsidR="00CC3B98" w:rsidRPr="007D5567" w:rsidRDefault="00CC3B98" w:rsidP="00CC3B98">
      <w:pPr>
        <w:pStyle w:val="ListParagraph"/>
        <w:numPr>
          <w:ilvl w:val="0"/>
          <w:numId w:val="10"/>
        </w:numPr>
        <w:spacing w:after="0" w:line="360" w:lineRule="auto"/>
        <w:jc w:val="both"/>
        <w:rPr>
          <w:rFonts w:ascii="Arial" w:hAnsi="Arial" w:cs="Arial"/>
          <w:sz w:val="24"/>
          <w:szCs w:val="24"/>
        </w:rPr>
      </w:pPr>
      <w:r w:rsidRPr="007D5567">
        <w:rPr>
          <w:rFonts w:ascii="Arial" w:hAnsi="Arial" w:cs="Arial"/>
          <w:sz w:val="24"/>
          <w:szCs w:val="24"/>
        </w:rPr>
        <w:t>Approaches to engagement are inclusive and appropriate</w:t>
      </w:r>
    </w:p>
    <w:p w14:paraId="2DC95A8A" w14:textId="77777777" w:rsidR="00CC3B98" w:rsidRPr="007D5567" w:rsidRDefault="00CC3B98" w:rsidP="00CC3B98">
      <w:pPr>
        <w:pStyle w:val="ListParagraph"/>
        <w:numPr>
          <w:ilvl w:val="0"/>
          <w:numId w:val="10"/>
        </w:numPr>
        <w:spacing w:after="0" w:line="360" w:lineRule="auto"/>
        <w:jc w:val="both"/>
        <w:rPr>
          <w:rFonts w:ascii="Arial" w:hAnsi="Arial" w:cs="Arial"/>
          <w:sz w:val="24"/>
          <w:szCs w:val="24"/>
        </w:rPr>
      </w:pPr>
      <w:r w:rsidRPr="007D5567">
        <w:rPr>
          <w:rFonts w:ascii="Arial" w:hAnsi="Arial" w:cs="Arial"/>
          <w:sz w:val="24"/>
          <w:szCs w:val="24"/>
        </w:rPr>
        <w:t xml:space="preserve">Information is timely and relevant </w:t>
      </w:r>
    </w:p>
    <w:p w14:paraId="20A32D03" w14:textId="77777777" w:rsidR="00CC3B98" w:rsidRPr="007D5567" w:rsidRDefault="00CC3B98" w:rsidP="00CC3B98">
      <w:pPr>
        <w:pStyle w:val="ListParagraph"/>
        <w:numPr>
          <w:ilvl w:val="0"/>
          <w:numId w:val="10"/>
        </w:numPr>
        <w:spacing w:after="0" w:line="360" w:lineRule="auto"/>
        <w:jc w:val="both"/>
        <w:rPr>
          <w:rFonts w:ascii="Arial" w:hAnsi="Arial" w:cs="Arial"/>
          <w:sz w:val="24"/>
          <w:szCs w:val="24"/>
        </w:rPr>
      </w:pPr>
      <w:r w:rsidRPr="007D5567">
        <w:rPr>
          <w:rFonts w:ascii="Arial" w:hAnsi="Arial" w:cs="Arial"/>
          <w:sz w:val="24"/>
          <w:szCs w:val="24"/>
        </w:rPr>
        <w:t>Information is accurate, easy to understand and accessible</w:t>
      </w:r>
    </w:p>
    <w:p w14:paraId="1E85918E" w14:textId="11ED2B6D" w:rsidR="00CC3B98" w:rsidRPr="007D5567" w:rsidRDefault="00CC3B98" w:rsidP="00CC3B98">
      <w:pPr>
        <w:pStyle w:val="ListParagraph"/>
        <w:numPr>
          <w:ilvl w:val="0"/>
          <w:numId w:val="10"/>
        </w:numPr>
        <w:spacing w:after="0" w:line="360" w:lineRule="auto"/>
        <w:jc w:val="both"/>
        <w:rPr>
          <w:rFonts w:ascii="Arial" w:hAnsi="Arial" w:cs="Arial"/>
          <w:sz w:val="24"/>
          <w:szCs w:val="24"/>
        </w:rPr>
      </w:pPr>
      <w:r w:rsidRPr="007D5567">
        <w:rPr>
          <w:rFonts w:ascii="Arial" w:hAnsi="Arial" w:cs="Arial"/>
          <w:sz w:val="24"/>
          <w:szCs w:val="24"/>
        </w:rPr>
        <w:t>Decision-making is transparent</w:t>
      </w:r>
      <w:r w:rsidR="00B06020" w:rsidRPr="007D5567">
        <w:rPr>
          <w:rFonts w:ascii="Arial" w:hAnsi="Arial" w:cs="Arial"/>
        </w:rPr>
        <w:t xml:space="preserve"> </w:t>
      </w:r>
      <w:r w:rsidR="00B06020" w:rsidRPr="007D5567">
        <w:rPr>
          <w:rFonts w:ascii="Arial" w:hAnsi="Arial" w:cs="Arial"/>
          <w:sz w:val="24"/>
          <w:szCs w:val="24"/>
        </w:rPr>
        <w:t>(City of Golden, 2020)</w:t>
      </w:r>
    </w:p>
    <w:p w14:paraId="6CBEEEE2" w14:textId="77777777" w:rsidR="006F4B68" w:rsidRPr="007D5567" w:rsidRDefault="006F4B68" w:rsidP="006F4B68">
      <w:pPr>
        <w:spacing w:after="0" w:line="360" w:lineRule="auto"/>
        <w:ind w:firstLine="851"/>
        <w:jc w:val="both"/>
        <w:rPr>
          <w:rFonts w:ascii="Arial" w:hAnsi="Arial" w:cs="Arial"/>
          <w:sz w:val="24"/>
          <w:szCs w:val="24"/>
        </w:rPr>
      </w:pPr>
      <w:r w:rsidRPr="007D5567">
        <w:rPr>
          <w:rFonts w:ascii="Arial" w:hAnsi="Arial" w:cs="Arial"/>
          <w:sz w:val="24"/>
          <w:szCs w:val="24"/>
        </w:rPr>
        <w:t>Developing a community engagement plan</w:t>
      </w:r>
    </w:p>
    <w:p w14:paraId="4EF160B2" w14:textId="73DF3AD3" w:rsidR="00CC3B98" w:rsidRPr="007D5567" w:rsidRDefault="006F4B68" w:rsidP="006F4B68">
      <w:pPr>
        <w:spacing w:after="0" w:line="360" w:lineRule="auto"/>
        <w:ind w:firstLine="851"/>
        <w:jc w:val="both"/>
        <w:rPr>
          <w:rFonts w:ascii="Arial" w:hAnsi="Arial" w:cs="Arial"/>
          <w:sz w:val="24"/>
          <w:szCs w:val="24"/>
        </w:rPr>
      </w:pPr>
      <w:r w:rsidRPr="007D5567">
        <w:rPr>
          <w:rFonts w:ascii="Arial" w:hAnsi="Arial" w:cs="Arial"/>
          <w:sz w:val="24"/>
          <w:szCs w:val="24"/>
        </w:rPr>
        <w:t>A community engagement strategy should describe a clear approach to planning and development issues by the community and stakeholders. Engagement plans may take many various shapes in response to the conditions of a certain local government or community. At least the issues mentioned in the following checklist should be addressed.</w:t>
      </w:r>
    </w:p>
    <w:p w14:paraId="3DA5B24A" w14:textId="77777777" w:rsidR="009F3947" w:rsidRPr="007D5567" w:rsidRDefault="009F3947" w:rsidP="009F3947">
      <w:pPr>
        <w:spacing w:after="0" w:line="360" w:lineRule="auto"/>
        <w:ind w:firstLine="851"/>
        <w:jc w:val="both"/>
        <w:rPr>
          <w:rFonts w:ascii="Arial" w:hAnsi="Arial" w:cs="Arial"/>
          <w:sz w:val="24"/>
          <w:szCs w:val="24"/>
        </w:rPr>
      </w:pPr>
      <w:r w:rsidRPr="007D5567">
        <w:rPr>
          <w:rFonts w:ascii="Arial" w:hAnsi="Arial" w:cs="Arial"/>
          <w:sz w:val="24"/>
          <w:szCs w:val="24"/>
        </w:rPr>
        <w:t>Define the community engagement scope</w:t>
      </w:r>
    </w:p>
    <w:p w14:paraId="18B592A2" w14:textId="77777777" w:rsidR="009F3947" w:rsidRPr="007D5567" w:rsidRDefault="009F3947" w:rsidP="009F3947">
      <w:pPr>
        <w:spacing w:after="0" w:line="360" w:lineRule="auto"/>
        <w:ind w:firstLine="851"/>
        <w:jc w:val="both"/>
        <w:rPr>
          <w:rFonts w:ascii="Arial" w:hAnsi="Arial" w:cs="Arial"/>
          <w:sz w:val="24"/>
          <w:szCs w:val="24"/>
        </w:rPr>
      </w:pPr>
      <w:r w:rsidRPr="007D5567">
        <w:rPr>
          <w:rFonts w:ascii="Arial" w:hAnsi="Arial" w:cs="Arial"/>
          <w:sz w:val="24"/>
          <w:szCs w:val="24"/>
        </w:rPr>
        <w:t xml:space="preserve">As a first stage, the engagement initiative must be </w:t>
      </w:r>
      <w:proofErr w:type="gramStart"/>
      <w:r w:rsidRPr="007D5567">
        <w:rPr>
          <w:rFonts w:ascii="Arial" w:hAnsi="Arial" w:cs="Arial"/>
          <w:sz w:val="24"/>
          <w:szCs w:val="24"/>
        </w:rPr>
        <w:t>extended</w:t>
      </w:r>
      <w:proofErr w:type="gramEnd"/>
      <w:r w:rsidRPr="007D5567">
        <w:rPr>
          <w:rFonts w:ascii="Arial" w:hAnsi="Arial" w:cs="Arial"/>
          <w:sz w:val="24"/>
          <w:szCs w:val="24"/>
        </w:rPr>
        <w:t xml:space="preserve"> and the degree of community involvement should be determined. This phase will help you define why you engage the community (</w:t>
      </w:r>
      <w:proofErr w:type="gramStart"/>
      <w:r w:rsidRPr="007D5567">
        <w:rPr>
          <w:rFonts w:ascii="Arial" w:hAnsi="Arial" w:cs="Arial"/>
          <w:sz w:val="24"/>
          <w:szCs w:val="24"/>
        </w:rPr>
        <w:t>i.e.</w:t>
      </w:r>
      <w:proofErr w:type="gramEnd"/>
      <w:r w:rsidRPr="007D5567">
        <w:rPr>
          <w:rFonts w:ascii="Arial" w:hAnsi="Arial" w:cs="Arial"/>
          <w:sz w:val="24"/>
          <w:szCs w:val="24"/>
        </w:rPr>
        <w:t xml:space="preserve"> the goal) and establish community engagement goals for your project. This phase covers the first three checklist elements.</w:t>
      </w:r>
    </w:p>
    <w:p w14:paraId="08C70ADA" w14:textId="77777777" w:rsidR="009F3947" w:rsidRPr="007D5567" w:rsidRDefault="009F3947" w:rsidP="009F3947">
      <w:pPr>
        <w:spacing w:after="0" w:line="360" w:lineRule="auto"/>
        <w:ind w:firstLine="851"/>
        <w:jc w:val="both"/>
        <w:rPr>
          <w:rFonts w:ascii="Arial" w:hAnsi="Arial" w:cs="Arial"/>
          <w:sz w:val="24"/>
          <w:szCs w:val="24"/>
        </w:rPr>
      </w:pPr>
      <w:r w:rsidRPr="007D5567">
        <w:rPr>
          <w:rFonts w:ascii="Arial" w:hAnsi="Arial" w:cs="Arial"/>
          <w:sz w:val="24"/>
          <w:szCs w:val="24"/>
        </w:rPr>
        <w:t>Community commitment goals explain what you need to accomplish in delivering your commitment project with your stakeholders. Some goals will be actions or activities and others will be related to stakeholder interactions.</w:t>
      </w:r>
    </w:p>
    <w:p w14:paraId="293C6C93" w14:textId="657758D1" w:rsidR="00CC3B98" w:rsidRPr="007D5567" w:rsidRDefault="009F3947" w:rsidP="009F3947">
      <w:pPr>
        <w:spacing w:after="0" w:line="360" w:lineRule="auto"/>
        <w:ind w:firstLine="851"/>
        <w:jc w:val="both"/>
        <w:rPr>
          <w:rFonts w:ascii="Arial" w:hAnsi="Arial" w:cs="Arial"/>
          <w:sz w:val="24"/>
          <w:szCs w:val="24"/>
          <w:lang w:val="bg-BG"/>
        </w:rPr>
      </w:pPr>
      <w:r w:rsidRPr="007D5567">
        <w:rPr>
          <w:rFonts w:ascii="Arial" w:hAnsi="Arial" w:cs="Arial"/>
          <w:sz w:val="24"/>
          <w:szCs w:val="24"/>
        </w:rPr>
        <w:t>Work on four levels of effect and related criteria by the social planning and research board of British Columbia may assist to evaluate the probable influence on the community and the stakeholders of the planning and development project. The application of this to the IAP2 Public participation spectrum offers further insight into the connection between the community effect and the degree of commitment to apply</w:t>
      </w:r>
      <w:r w:rsidR="00B06020" w:rsidRPr="007D5567">
        <w:rPr>
          <w:rFonts w:ascii="Arial" w:hAnsi="Arial" w:cs="Arial"/>
        </w:rPr>
        <w:t xml:space="preserve"> </w:t>
      </w:r>
      <w:r w:rsidR="00B06020" w:rsidRPr="007D5567">
        <w:rPr>
          <w:rFonts w:ascii="Arial" w:hAnsi="Arial" w:cs="Arial"/>
          <w:sz w:val="24"/>
          <w:szCs w:val="24"/>
        </w:rPr>
        <w:t>(City of Golden, 2020)</w:t>
      </w:r>
      <w:r w:rsidR="00B06020" w:rsidRPr="007D5567">
        <w:rPr>
          <w:rFonts w:ascii="Arial" w:hAnsi="Arial" w:cs="Arial"/>
          <w:sz w:val="24"/>
          <w:szCs w:val="24"/>
          <w:lang w:val="bg-BG"/>
        </w:rPr>
        <w:t>.</w:t>
      </w:r>
    </w:p>
    <w:p w14:paraId="7B4A3799" w14:textId="77777777" w:rsidR="0001363D" w:rsidRPr="007D5567" w:rsidRDefault="0001363D" w:rsidP="0001363D">
      <w:pPr>
        <w:spacing w:after="0" w:line="360" w:lineRule="auto"/>
        <w:ind w:firstLine="851"/>
        <w:jc w:val="both"/>
        <w:rPr>
          <w:rFonts w:ascii="Arial" w:hAnsi="Arial" w:cs="Arial"/>
          <w:sz w:val="24"/>
          <w:szCs w:val="24"/>
        </w:rPr>
      </w:pPr>
      <w:r w:rsidRPr="007D5567">
        <w:rPr>
          <w:rFonts w:ascii="Arial" w:hAnsi="Arial" w:cs="Arial"/>
          <w:sz w:val="24"/>
          <w:szCs w:val="24"/>
        </w:rPr>
        <w:t>Determine the context</w:t>
      </w:r>
    </w:p>
    <w:p w14:paraId="65E42784" w14:textId="696D10F7" w:rsidR="00060171" w:rsidRPr="007D5567" w:rsidRDefault="0001363D" w:rsidP="00060171">
      <w:pPr>
        <w:spacing w:after="0" w:line="360" w:lineRule="auto"/>
        <w:ind w:firstLine="851"/>
        <w:jc w:val="both"/>
        <w:rPr>
          <w:rFonts w:ascii="Arial" w:hAnsi="Arial" w:cs="Arial"/>
          <w:sz w:val="24"/>
          <w:szCs w:val="24"/>
        </w:rPr>
      </w:pPr>
      <w:r w:rsidRPr="007D5567">
        <w:rPr>
          <w:rFonts w:ascii="Arial" w:hAnsi="Arial" w:cs="Arial"/>
          <w:sz w:val="24"/>
          <w:szCs w:val="24"/>
        </w:rPr>
        <w:t>A major stage in the planning of any community involvement is to become acquainted with current plans and reports linked to your project, your stakeholders and the community, or the local region. They provide important insights into community and stakeholder feelings, whether they are current or historical.</w:t>
      </w:r>
      <w:r w:rsidR="00AC1241" w:rsidRPr="007D5567">
        <w:rPr>
          <w:rFonts w:ascii="Arial" w:hAnsi="Arial" w:cs="Arial"/>
        </w:rPr>
        <w:t xml:space="preserve"> </w:t>
      </w:r>
      <w:r w:rsidR="00AC1241" w:rsidRPr="007D5567">
        <w:rPr>
          <w:rFonts w:ascii="Arial" w:hAnsi="Arial" w:cs="Arial"/>
          <w:sz w:val="24"/>
          <w:szCs w:val="24"/>
        </w:rPr>
        <w:t>(</w:t>
      </w:r>
      <w:proofErr w:type="spellStart"/>
      <w:r w:rsidR="00AC1241" w:rsidRPr="007D5567">
        <w:rPr>
          <w:rFonts w:ascii="Arial" w:hAnsi="Arial" w:cs="Arial"/>
          <w:sz w:val="24"/>
          <w:szCs w:val="24"/>
        </w:rPr>
        <w:t>Consensusinc</w:t>
      </w:r>
      <w:proofErr w:type="spellEnd"/>
      <w:r w:rsidR="00AC1241" w:rsidRPr="007D5567">
        <w:rPr>
          <w:rFonts w:ascii="Arial" w:hAnsi="Arial" w:cs="Arial"/>
          <w:sz w:val="24"/>
          <w:szCs w:val="24"/>
        </w:rPr>
        <w:t xml:space="preserve">, 2017) </w:t>
      </w:r>
      <w:r w:rsidR="00060171" w:rsidRPr="007D5567">
        <w:rPr>
          <w:rFonts w:ascii="Arial" w:hAnsi="Arial" w:cs="Arial"/>
          <w:sz w:val="24"/>
          <w:szCs w:val="24"/>
        </w:rPr>
        <w:t>Understand the interests and impact of your stakeholders</w:t>
      </w:r>
    </w:p>
    <w:p w14:paraId="5FEF5981" w14:textId="5851A04A" w:rsidR="0001363D" w:rsidRPr="007D5567" w:rsidRDefault="00060171" w:rsidP="00060171">
      <w:pPr>
        <w:spacing w:after="0" w:line="360" w:lineRule="auto"/>
        <w:ind w:firstLine="851"/>
        <w:jc w:val="both"/>
        <w:rPr>
          <w:rFonts w:ascii="Arial" w:hAnsi="Arial" w:cs="Arial"/>
          <w:sz w:val="24"/>
          <w:szCs w:val="24"/>
        </w:rPr>
      </w:pPr>
      <w:r w:rsidRPr="007D5567">
        <w:rPr>
          <w:rFonts w:ascii="Arial" w:hAnsi="Arial" w:cs="Arial"/>
          <w:sz w:val="24"/>
          <w:szCs w:val="24"/>
        </w:rPr>
        <w:lastRenderedPageBreak/>
        <w:t>Not all parties in a certain group or subgroup necessarily have the same worries or same views or objectives. They have the same issues. This phase will examine how people who should be engaged in the engagement process may be understood and identified.</w:t>
      </w:r>
      <w:r w:rsidR="00080372" w:rsidRPr="007D5567">
        <w:rPr>
          <w:rFonts w:ascii="Arial" w:hAnsi="Arial" w:cs="Arial"/>
          <w:sz w:val="24"/>
          <w:szCs w:val="24"/>
        </w:rPr>
        <w:t xml:space="preserve"> </w:t>
      </w:r>
      <w:r w:rsidRPr="007D5567">
        <w:rPr>
          <w:rFonts w:ascii="Arial" w:hAnsi="Arial" w:cs="Arial"/>
          <w:sz w:val="24"/>
          <w:szCs w:val="24"/>
        </w:rPr>
        <w:t xml:space="preserve">Identifying key stakeholders is essential </w:t>
      </w:r>
      <w:proofErr w:type="gramStart"/>
      <w:r w:rsidRPr="007D5567">
        <w:rPr>
          <w:rFonts w:ascii="Arial" w:hAnsi="Arial" w:cs="Arial"/>
          <w:sz w:val="24"/>
          <w:szCs w:val="24"/>
        </w:rPr>
        <w:t>in order to</w:t>
      </w:r>
      <w:proofErr w:type="gramEnd"/>
      <w:r w:rsidRPr="007D5567">
        <w:rPr>
          <w:rFonts w:ascii="Arial" w:hAnsi="Arial" w:cs="Arial"/>
          <w:sz w:val="24"/>
          <w:szCs w:val="24"/>
        </w:rPr>
        <w:t xml:space="preserve"> engage with individuals in the community who can help, influence and inspire others to help.</w:t>
      </w:r>
    </w:p>
    <w:p w14:paraId="59641CFA" w14:textId="77777777" w:rsidR="00C658DD" w:rsidRPr="007D5567" w:rsidRDefault="00C658DD" w:rsidP="00C658DD">
      <w:pPr>
        <w:spacing w:after="0" w:line="360" w:lineRule="auto"/>
        <w:ind w:firstLine="851"/>
        <w:jc w:val="both"/>
        <w:rPr>
          <w:rFonts w:ascii="Arial" w:hAnsi="Arial" w:cs="Arial"/>
          <w:sz w:val="24"/>
          <w:szCs w:val="24"/>
        </w:rPr>
      </w:pPr>
      <w:r w:rsidRPr="007D5567">
        <w:rPr>
          <w:rFonts w:ascii="Arial" w:hAnsi="Arial" w:cs="Arial"/>
          <w:sz w:val="24"/>
          <w:szCs w:val="24"/>
        </w:rPr>
        <w:t>Step 1: Identify stakeholders</w:t>
      </w:r>
    </w:p>
    <w:p w14:paraId="70B88FC3" w14:textId="77777777" w:rsidR="00C658DD" w:rsidRPr="007D5567" w:rsidRDefault="00C658DD" w:rsidP="00C658DD">
      <w:pPr>
        <w:spacing w:after="0" w:line="360" w:lineRule="auto"/>
        <w:ind w:firstLine="851"/>
        <w:jc w:val="both"/>
        <w:rPr>
          <w:rFonts w:ascii="Arial" w:hAnsi="Arial" w:cs="Arial"/>
          <w:sz w:val="24"/>
          <w:szCs w:val="24"/>
        </w:rPr>
      </w:pPr>
      <w:r w:rsidRPr="007D5567">
        <w:rPr>
          <w:rFonts w:ascii="Arial" w:hAnsi="Arial" w:cs="Arial"/>
          <w:sz w:val="24"/>
          <w:szCs w:val="24"/>
        </w:rPr>
        <w:t>Step 2: Analyse stakeholder influence and impact</w:t>
      </w:r>
    </w:p>
    <w:p w14:paraId="1B4CE346" w14:textId="0D84F67B" w:rsidR="00060171" w:rsidRPr="007D5567" w:rsidRDefault="00C658DD" w:rsidP="00C658DD">
      <w:pPr>
        <w:spacing w:after="0" w:line="360" w:lineRule="auto"/>
        <w:ind w:firstLine="851"/>
        <w:jc w:val="both"/>
        <w:rPr>
          <w:rFonts w:ascii="Arial" w:hAnsi="Arial" w:cs="Arial"/>
          <w:sz w:val="24"/>
          <w:szCs w:val="24"/>
        </w:rPr>
      </w:pPr>
      <w:r w:rsidRPr="007D5567">
        <w:rPr>
          <w:rFonts w:ascii="Arial" w:hAnsi="Arial" w:cs="Arial"/>
          <w:sz w:val="24"/>
          <w:szCs w:val="24"/>
        </w:rPr>
        <w:t>Step 3: Prioritise stakeholders</w:t>
      </w:r>
      <w:r w:rsidR="006E5B77" w:rsidRPr="007D5567">
        <w:rPr>
          <w:rFonts w:ascii="Arial" w:hAnsi="Arial" w:cs="Arial"/>
        </w:rPr>
        <w:t xml:space="preserve"> </w:t>
      </w:r>
      <w:r w:rsidR="006E5B77" w:rsidRPr="007D5567">
        <w:rPr>
          <w:rFonts w:ascii="Arial" w:hAnsi="Arial" w:cs="Arial"/>
          <w:sz w:val="24"/>
          <w:szCs w:val="24"/>
        </w:rPr>
        <w:t>(Gov, 2021)</w:t>
      </w:r>
    </w:p>
    <w:p w14:paraId="00AEE7F1" w14:textId="5104AC37" w:rsidR="00396700" w:rsidRPr="007D5567" w:rsidRDefault="00396700" w:rsidP="00C658DD">
      <w:pPr>
        <w:spacing w:after="0" w:line="360" w:lineRule="auto"/>
        <w:ind w:firstLine="851"/>
        <w:jc w:val="both"/>
        <w:rPr>
          <w:rFonts w:ascii="Arial" w:hAnsi="Arial" w:cs="Arial"/>
          <w:sz w:val="24"/>
          <w:szCs w:val="24"/>
        </w:rPr>
      </w:pPr>
    </w:p>
    <w:p w14:paraId="1A3837E3" w14:textId="77777777" w:rsidR="00396700" w:rsidRPr="007D5567" w:rsidRDefault="00396700" w:rsidP="00396700">
      <w:pPr>
        <w:spacing w:after="0" w:line="360" w:lineRule="auto"/>
        <w:ind w:firstLine="851"/>
        <w:jc w:val="both"/>
        <w:rPr>
          <w:rFonts w:ascii="Arial" w:hAnsi="Arial" w:cs="Arial"/>
          <w:sz w:val="24"/>
          <w:szCs w:val="24"/>
        </w:rPr>
      </w:pPr>
      <w:r w:rsidRPr="007D5567">
        <w:rPr>
          <w:rFonts w:ascii="Arial" w:hAnsi="Arial" w:cs="Arial"/>
          <w:sz w:val="24"/>
          <w:szCs w:val="24"/>
        </w:rPr>
        <w:t>Implementation plan</w:t>
      </w:r>
    </w:p>
    <w:p w14:paraId="79C4BC9A" w14:textId="77777777" w:rsidR="00396700" w:rsidRPr="007D5567" w:rsidRDefault="00396700" w:rsidP="00396700">
      <w:pPr>
        <w:spacing w:after="0" w:line="360" w:lineRule="auto"/>
        <w:ind w:firstLine="851"/>
        <w:jc w:val="both"/>
        <w:rPr>
          <w:rFonts w:ascii="Arial" w:hAnsi="Arial" w:cs="Arial"/>
          <w:sz w:val="24"/>
          <w:szCs w:val="24"/>
        </w:rPr>
      </w:pPr>
      <w:r w:rsidRPr="007D5567">
        <w:rPr>
          <w:rFonts w:ascii="Arial" w:hAnsi="Arial" w:cs="Arial"/>
          <w:sz w:val="24"/>
          <w:szCs w:val="24"/>
        </w:rPr>
        <w:t>A vital stage in the community involvement process is the implementation plan. This plan outlines the instruments of commitment to each project or process step. It covers the resources necessary to provide the necessary tools and timescales.</w:t>
      </w:r>
    </w:p>
    <w:p w14:paraId="0B84688B" w14:textId="3F4917E1" w:rsidR="00396700" w:rsidRPr="007D5567" w:rsidRDefault="00396700" w:rsidP="00396700">
      <w:pPr>
        <w:spacing w:after="0" w:line="360" w:lineRule="auto"/>
        <w:ind w:firstLine="851"/>
        <w:jc w:val="both"/>
        <w:rPr>
          <w:rFonts w:ascii="Arial" w:hAnsi="Arial" w:cs="Arial"/>
          <w:sz w:val="24"/>
          <w:szCs w:val="24"/>
        </w:rPr>
      </w:pPr>
      <w:r w:rsidRPr="007D5567">
        <w:rPr>
          <w:rFonts w:ascii="Arial" w:hAnsi="Arial" w:cs="Arial"/>
          <w:sz w:val="24"/>
          <w:szCs w:val="24"/>
        </w:rPr>
        <w:t>This phase relies on the correct instruments for the process of community participation.</w:t>
      </w:r>
      <w:r w:rsidR="00AC1241" w:rsidRPr="007D5567">
        <w:rPr>
          <w:rFonts w:ascii="Arial" w:hAnsi="Arial" w:cs="Arial"/>
        </w:rPr>
        <w:t xml:space="preserve"> </w:t>
      </w:r>
      <w:r w:rsidR="00AC1241" w:rsidRPr="007D5567">
        <w:rPr>
          <w:rFonts w:ascii="Arial" w:hAnsi="Arial" w:cs="Arial"/>
          <w:sz w:val="24"/>
          <w:szCs w:val="24"/>
        </w:rPr>
        <w:t>(</w:t>
      </w:r>
      <w:proofErr w:type="spellStart"/>
      <w:r w:rsidR="00AC1241" w:rsidRPr="007D5567">
        <w:rPr>
          <w:rFonts w:ascii="Arial" w:hAnsi="Arial" w:cs="Arial"/>
          <w:sz w:val="24"/>
          <w:szCs w:val="24"/>
        </w:rPr>
        <w:t>Consensusinc</w:t>
      </w:r>
      <w:proofErr w:type="spellEnd"/>
      <w:r w:rsidR="00AC1241" w:rsidRPr="007D5567">
        <w:rPr>
          <w:rFonts w:ascii="Arial" w:hAnsi="Arial" w:cs="Arial"/>
          <w:sz w:val="24"/>
          <w:szCs w:val="24"/>
        </w:rPr>
        <w:t>, 2017)</w:t>
      </w:r>
    </w:p>
    <w:p w14:paraId="61DC4D17" w14:textId="2157E541" w:rsidR="00396700" w:rsidRPr="007D5567" w:rsidRDefault="00396700" w:rsidP="00396700">
      <w:pPr>
        <w:spacing w:after="0" w:line="360" w:lineRule="auto"/>
        <w:ind w:firstLine="851"/>
        <w:jc w:val="both"/>
        <w:rPr>
          <w:rFonts w:ascii="Arial" w:hAnsi="Arial" w:cs="Arial"/>
          <w:sz w:val="24"/>
          <w:szCs w:val="24"/>
        </w:rPr>
      </w:pPr>
      <w:r w:rsidRPr="007D5567">
        <w:rPr>
          <w:rFonts w:ascii="Arial" w:hAnsi="Arial" w:cs="Arial"/>
          <w:sz w:val="24"/>
          <w:szCs w:val="24"/>
        </w:rPr>
        <w:t>Part 3 of this toolkit details the selection of tools for the community involvement.</w:t>
      </w:r>
      <w:r w:rsidR="00B06020" w:rsidRPr="007D5567">
        <w:rPr>
          <w:rFonts w:ascii="Arial" w:hAnsi="Arial" w:cs="Arial"/>
          <w:sz w:val="24"/>
          <w:szCs w:val="24"/>
          <w:lang w:val="bg-BG"/>
        </w:rPr>
        <w:t xml:space="preserve"> </w:t>
      </w:r>
      <w:r w:rsidRPr="007D5567">
        <w:rPr>
          <w:rFonts w:ascii="Arial" w:hAnsi="Arial" w:cs="Arial"/>
          <w:sz w:val="24"/>
          <w:szCs w:val="24"/>
        </w:rPr>
        <w:t>The following Community Engagement Action Plan was designed for an imagined rural town in Queensland with 6000 to 10,000 inhabitants.</w:t>
      </w:r>
      <w:r w:rsidR="00B06020" w:rsidRPr="007D5567">
        <w:rPr>
          <w:rFonts w:ascii="Arial" w:hAnsi="Arial" w:cs="Arial"/>
        </w:rPr>
        <w:t xml:space="preserve"> </w:t>
      </w:r>
      <w:r w:rsidR="00B06020" w:rsidRPr="007D5567">
        <w:rPr>
          <w:rFonts w:ascii="Arial" w:hAnsi="Arial" w:cs="Arial"/>
          <w:sz w:val="24"/>
          <w:szCs w:val="24"/>
        </w:rPr>
        <w:t>(City of Golden, 2020)</w:t>
      </w:r>
      <w:r w:rsidR="00B06020" w:rsidRPr="007D5567">
        <w:rPr>
          <w:rFonts w:ascii="Arial" w:hAnsi="Arial" w:cs="Arial"/>
          <w:sz w:val="24"/>
          <w:szCs w:val="24"/>
          <w:lang w:val="bg-BG"/>
        </w:rPr>
        <w:t xml:space="preserve"> </w:t>
      </w:r>
      <w:r w:rsidRPr="007D5567">
        <w:rPr>
          <w:rFonts w:ascii="Arial" w:hAnsi="Arial" w:cs="Arial"/>
          <w:sz w:val="24"/>
          <w:szCs w:val="24"/>
        </w:rPr>
        <w:t>These assumptions were considered in the development of this action plan:</w:t>
      </w:r>
    </w:p>
    <w:p w14:paraId="5B8660FE" w14:textId="06954C34" w:rsidR="00396700" w:rsidRPr="007D5567" w:rsidRDefault="00396700" w:rsidP="00396700">
      <w:pPr>
        <w:spacing w:after="0" w:line="360" w:lineRule="auto"/>
        <w:ind w:firstLine="851"/>
        <w:jc w:val="both"/>
        <w:rPr>
          <w:rFonts w:ascii="Arial" w:hAnsi="Arial" w:cs="Arial"/>
          <w:sz w:val="24"/>
          <w:szCs w:val="24"/>
        </w:rPr>
      </w:pPr>
      <w:r w:rsidRPr="007D5567">
        <w:rPr>
          <w:rFonts w:ascii="Arial" w:hAnsi="Arial" w:cs="Arial"/>
          <w:sz w:val="24"/>
          <w:szCs w:val="24"/>
        </w:rPr>
        <w:t xml:space="preserve">• A Medium- to Long-Term Plan is being produced which identifies the needs and ambitions of the local community and specifies the measures required for the achievement of these local programming objectives. In-house funds are available to accomplish </w:t>
      </w:r>
      <w:proofErr w:type="gramStart"/>
      <w:r w:rsidRPr="007D5567">
        <w:rPr>
          <w:rFonts w:ascii="Arial" w:hAnsi="Arial" w:cs="Arial"/>
          <w:sz w:val="24"/>
          <w:szCs w:val="24"/>
        </w:rPr>
        <w:t>all of</w:t>
      </w:r>
      <w:proofErr w:type="gramEnd"/>
      <w:r w:rsidRPr="007D5567">
        <w:rPr>
          <w:rFonts w:ascii="Arial" w:hAnsi="Arial" w:cs="Arial"/>
          <w:sz w:val="24"/>
          <w:szCs w:val="24"/>
        </w:rPr>
        <w:t xml:space="preserve"> the commitment tasks specified in the action plan, and the outsourcing of particular talents may be needed.</w:t>
      </w:r>
      <w:r w:rsidR="00EE7A31" w:rsidRPr="007D5567">
        <w:rPr>
          <w:rFonts w:ascii="Arial" w:hAnsi="Arial" w:cs="Arial"/>
        </w:rPr>
        <w:t xml:space="preserve"> </w:t>
      </w:r>
      <w:r w:rsidR="00EE7A31" w:rsidRPr="007D5567">
        <w:rPr>
          <w:rFonts w:ascii="Arial" w:hAnsi="Arial" w:cs="Arial"/>
          <w:sz w:val="24"/>
          <w:szCs w:val="24"/>
        </w:rPr>
        <w:t>(Creative Placemaking, 2020)</w:t>
      </w:r>
    </w:p>
    <w:p w14:paraId="734CA5DA" w14:textId="171ED86E" w:rsidR="008F31B4" w:rsidRPr="007D5567" w:rsidRDefault="00396700" w:rsidP="008F31B4">
      <w:pPr>
        <w:spacing w:after="0" w:line="360" w:lineRule="auto"/>
        <w:ind w:firstLine="851"/>
        <w:jc w:val="both"/>
        <w:rPr>
          <w:rFonts w:ascii="Arial" w:hAnsi="Arial" w:cs="Arial"/>
          <w:sz w:val="24"/>
          <w:szCs w:val="24"/>
          <w:lang w:val="bg-BG"/>
        </w:rPr>
      </w:pPr>
      <w:r w:rsidRPr="007D5567">
        <w:rPr>
          <w:rFonts w:ascii="Arial" w:hAnsi="Arial" w:cs="Arial"/>
          <w:sz w:val="24"/>
          <w:szCs w:val="24"/>
        </w:rPr>
        <w:t xml:space="preserve">A range of traditional and contemporary instruments for reflecting the breadth of instruments outlined in Part 3, </w:t>
      </w:r>
      <w:proofErr w:type="gramStart"/>
      <w:r w:rsidRPr="007D5567">
        <w:rPr>
          <w:rFonts w:ascii="Arial" w:hAnsi="Arial" w:cs="Arial"/>
          <w:sz w:val="24"/>
          <w:szCs w:val="24"/>
        </w:rPr>
        <w:t>in particular tool</w:t>
      </w:r>
      <w:proofErr w:type="gramEnd"/>
      <w:r w:rsidRPr="007D5567">
        <w:rPr>
          <w:rFonts w:ascii="Arial" w:hAnsi="Arial" w:cs="Arial"/>
          <w:sz w:val="24"/>
          <w:szCs w:val="24"/>
        </w:rPr>
        <w:t xml:space="preserve"> 3.2, are present in the examples of community engagement. The timeframes set out in the community action plan should correspond with the timeframes set for the local plan to be developed. As an example, deadlines were not given, the following action plan has not been set.</w:t>
      </w:r>
      <w:r w:rsidR="00B06020" w:rsidRPr="007D5567">
        <w:rPr>
          <w:rFonts w:ascii="Arial" w:hAnsi="Arial" w:cs="Arial"/>
          <w:sz w:val="24"/>
          <w:szCs w:val="24"/>
          <w:lang w:val="bg-BG"/>
        </w:rPr>
        <w:t xml:space="preserve"> </w:t>
      </w:r>
      <w:r w:rsidR="008F31B4" w:rsidRPr="007D5567">
        <w:rPr>
          <w:rFonts w:ascii="Arial" w:hAnsi="Arial" w:cs="Arial"/>
          <w:sz w:val="24"/>
          <w:szCs w:val="24"/>
          <w:lang w:val="bg-BG"/>
        </w:rPr>
        <w:t>Selecting community engagement tools</w:t>
      </w:r>
      <w:r w:rsidR="00AC1241" w:rsidRPr="007D5567">
        <w:rPr>
          <w:rFonts w:ascii="Arial" w:hAnsi="Arial" w:cs="Arial"/>
        </w:rPr>
        <w:t xml:space="preserve"> </w:t>
      </w:r>
      <w:r w:rsidR="00AC1241" w:rsidRPr="007D5567">
        <w:rPr>
          <w:rFonts w:ascii="Arial" w:hAnsi="Arial" w:cs="Arial"/>
          <w:sz w:val="24"/>
          <w:szCs w:val="24"/>
          <w:lang w:val="bg-BG"/>
        </w:rPr>
        <w:t>(Consensusinc, 2017)</w:t>
      </w:r>
    </w:p>
    <w:p w14:paraId="5E83985A" w14:textId="77777777" w:rsidR="008F31B4" w:rsidRPr="007D5567" w:rsidRDefault="008F31B4" w:rsidP="008F31B4">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A grid to guide choices of the tools most relevant to various degrees of Community involvement may be found in this section.</w:t>
      </w:r>
    </w:p>
    <w:p w14:paraId="79788DC8" w14:textId="77777777" w:rsidR="008F31B4" w:rsidRPr="007D5567" w:rsidRDefault="008F31B4" w:rsidP="008F31B4">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In the matrix, a description and the way they connect to the IAP 2 public participation scope are given as instruments for popular community involvement.</w:t>
      </w:r>
    </w:p>
    <w:p w14:paraId="20E430BD" w14:textId="77777777" w:rsidR="008F31B4" w:rsidRPr="007D5567" w:rsidRDefault="008F31B4" w:rsidP="008F31B4">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lastRenderedPageBreak/>
        <w:t>The following checklist will help you examine tools and methods that help you accomplish your goals in a successful community participation process.</w:t>
      </w:r>
    </w:p>
    <w:p w14:paraId="3B4FA581" w14:textId="36B56BD0" w:rsidR="00396700" w:rsidRPr="007D5567" w:rsidRDefault="008F31B4" w:rsidP="008F31B4">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It includes several tools and methods from which to select when you take these issues into account.</w:t>
      </w:r>
      <w:r w:rsidR="00573DE9" w:rsidRPr="007D5567">
        <w:rPr>
          <w:rFonts w:ascii="Arial" w:hAnsi="Arial" w:cs="Arial"/>
        </w:rPr>
        <w:t xml:space="preserve"> </w:t>
      </w:r>
      <w:r w:rsidR="00573DE9" w:rsidRPr="007D5567">
        <w:rPr>
          <w:rFonts w:ascii="Arial" w:hAnsi="Arial" w:cs="Arial"/>
          <w:sz w:val="24"/>
          <w:szCs w:val="24"/>
          <w:lang w:val="bg-BG"/>
        </w:rPr>
        <w:t>(LGA, 2020)</w:t>
      </w:r>
    </w:p>
    <w:p w14:paraId="734157E5" w14:textId="77777777"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Online engagement</w:t>
      </w:r>
    </w:p>
    <w:p w14:paraId="2CD5E221" w14:textId="1FC61186"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The development of digital communication changes how individuals communicate with organisations and government on key topics.</w:t>
      </w:r>
      <w:r w:rsidR="001A45F3" w:rsidRPr="007D5567">
        <w:rPr>
          <w:rFonts w:ascii="Arial" w:hAnsi="Arial" w:cs="Arial"/>
          <w:sz w:val="24"/>
          <w:szCs w:val="24"/>
          <w:lang w:val="bg-BG"/>
        </w:rPr>
        <w:t xml:space="preserve"> (City of Golden, 2020) </w:t>
      </w:r>
    </w:p>
    <w:p w14:paraId="2450E23C" w14:textId="61D363B3"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Online participation allows anyone to participate 24 hours a day and wherever they choose. These advantages motivate individuals to participate in conversations and offer access to a broad variety of stakeholder groups for organisations. As well as access and access to a broad community public, interactive, playable and highly graphic online platforms may also be provided.</w:t>
      </w:r>
      <w:r w:rsidR="006E5B77" w:rsidRPr="007D5567">
        <w:rPr>
          <w:rFonts w:ascii="Arial" w:hAnsi="Arial" w:cs="Arial"/>
        </w:rPr>
        <w:t xml:space="preserve"> </w:t>
      </w:r>
      <w:r w:rsidR="006E5B77" w:rsidRPr="007D5567">
        <w:rPr>
          <w:rFonts w:ascii="Arial" w:hAnsi="Arial" w:cs="Arial"/>
          <w:sz w:val="24"/>
          <w:szCs w:val="24"/>
          <w:lang w:val="bg-BG"/>
        </w:rPr>
        <w:t>(Gov, 2021)</w:t>
      </w:r>
    </w:p>
    <w:p w14:paraId="4E03CDE5" w14:textId="48F3D89F"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These systems may also offer real-time information to the community and are portable with a smartphone for the community member.</w:t>
      </w:r>
      <w:r w:rsidR="006E5B77" w:rsidRPr="007D5567">
        <w:rPr>
          <w:rFonts w:ascii="Arial" w:hAnsi="Arial" w:cs="Arial"/>
        </w:rPr>
        <w:t xml:space="preserve"> </w:t>
      </w:r>
      <w:r w:rsidR="006E5B77" w:rsidRPr="007D5567">
        <w:rPr>
          <w:rFonts w:ascii="Arial" w:hAnsi="Arial" w:cs="Arial"/>
          <w:sz w:val="24"/>
          <w:szCs w:val="24"/>
          <w:lang w:val="bg-BG"/>
        </w:rPr>
        <w:t>(GC, 2017)</w:t>
      </w:r>
    </w:p>
    <w:p w14:paraId="02FEA994" w14:textId="77777777"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Some of the main advantages of working with your stakeholders online are:</w:t>
      </w:r>
    </w:p>
    <w:p w14:paraId="192FDB12" w14:textId="66F4A80D"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83% of Australian households have internet connection according to the Australian Statistics Bureau (in 2013).</w:t>
      </w:r>
    </w:p>
    <w:p w14:paraId="5BF3F5C3" w14:textId="51BD49D1"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This degree of accessibility cannot be offered by any other engagement method. Most individuals have no time to get involved and attend to city meetings and consultations personally. • Online participation is an accessible alternative to include all sorts of individuals: busy people, working parents, younger people, elderly people, postal workers and mobility, visual or hearing-impaired persons. • Online involvement offers a simple way forward for people to participate. Everybody may speak their own thing.</w:t>
      </w:r>
      <w:r w:rsidR="006E5B77" w:rsidRPr="007D5567">
        <w:rPr>
          <w:rFonts w:ascii="Arial" w:hAnsi="Arial" w:cs="Arial"/>
        </w:rPr>
        <w:t xml:space="preserve"> </w:t>
      </w:r>
      <w:r w:rsidR="006E5B77" w:rsidRPr="007D5567">
        <w:rPr>
          <w:rFonts w:ascii="Arial" w:hAnsi="Arial" w:cs="Arial"/>
          <w:sz w:val="24"/>
          <w:szCs w:val="24"/>
          <w:lang w:val="bg-BG"/>
        </w:rPr>
        <w:t>(GC, 2017)</w:t>
      </w:r>
    </w:p>
    <w:p w14:paraId="39282AD5" w14:textId="1E954EC5"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The online environment offers individuals a safe room for learning and testing assumptions, viewpoints and choices. • Online engagement technologies may help more persons in discussion that impact their community.</w:t>
      </w:r>
      <w:r w:rsidR="00EE7A31" w:rsidRPr="007D5567">
        <w:rPr>
          <w:rFonts w:ascii="Arial" w:hAnsi="Arial" w:cs="Arial"/>
        </w:rPr>
        <w:t xml:space="preserve"> </w:t>
      </w:r>
      <w:r w:rsidR="00EE7A31" w:rsidRPr="007D5567">
        <w:rPr>
          <w:rFonts w:ascii="Arial" w:hAnsi="Arial" w:cs="Arial"/>
          <w:sz w:val="24"/>
          <w:szCs w:val="24"/>
          <w:lang w:val="bg-BG"/>
        </w:rPr>
        <w:t>(Creative Placemaking, 2020)</w:t>
      </w:r>
    </w:p>
    <w:p w14:paraId="550003EC" w14:textId="08C27464" w:rsidR="00310AA8"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 Cost-effective and efficient online interaction methods. More people may be contacted directly at a lower cost.</w:t>
      </w:r>
      <w:r w:rsidR="001A45F3" w:rsidRPr="007D5567">
        <w:rPr>
          <w:rFonts w:ascii="Arial" w:hAnsi="Arial" w:cs="Arial"/>
        </w:rPr>
        <w:t xml:space="preserve"> </w:t>
      </w:r>
      <w:r w:rsidR="001A45F3" w:rsidRPr="007D5567">
        <w:rPr>
          <w:rFonts w:ascii="Arial" w:hAnsi="Arial" w:cs="Arial"/>
          <w:sz w:val="24"/>
          <w:szCs w:val="24"/>
          <w:lang w:val="bg-BG"/>
        </w:rPr>
        <w:t>(City of Golden, 2020)</w:t>
      </w:r>
    </w:p>
    <w:p w14:paraId="78716201" w14:textId="2EA8848F" w:rsidR="008F31B4" w:rsidRPr="007D5567" w:rsidRDefault="00310AA8" w:rsidP="00310AA8">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Online engagement tools may help the community at all levels of the engagement spectrum, from 'informed' to 'empowered.' • Online engagement technologies can alter the culture of an organisation by increasing organisational transparency and reaction.</w:t>
      </w:r>
      <w:r w:rsidR="00EE7A31" w:rsidRPr="007D5567">
        <w:rPr>
          <w:rFonts w:ascii="Arial" w:hAnsi="Arial" w:cs="Arial"/>
        </w:rPr>
        <w:t xml:space="preserve"> </w:t>
      </w:r>
      <w:r w:rsidR="00EE7A31" w:rsidRPr="007D5567">
        <w:rPr>
          <w:rFonts w:ascii="Arial" w:hAnsi="Arial" w:cs="Arial"/>
          <w:sz w:val="24"/>
          <w:szCs w:val="24"/>
          <w:lang w:val="bg-BG"/>
        </w:rPr>
        <w:t>(Creative Placemaking, 2020)</w:t>
      </w:r>
    </w:p>
    <w:p w14:paraId="53130D01" w14:textId="44D133EA" w:rsidR="00C82E31" w:rsidRPr="007D5567" w:rsidRDefault="00C82E31" w:rsidP="00C82E31">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lastRenderedPageBreak/>
        <w:t>Creative ideas: technology is rapidly evolving. We live in an era of connectivity with growing ownership of smartphones than ever before. Communities engaging are continuously exploring methods for online or digital commitment tools to improve the technical advances made with practitioners and software developers.</w:t>
      </w:r>
      <w:r w:rsidR="006E5B77" w:rsidRPr="007D5567">
        <w:rPr>
          <w:rFonts w:ascii="Arial" w:hAnsi="Arial" w:cs="Arial"/>
        </w:rPr>
        <w:t xml:space="preserve"> </w:t>
      </w:r>
      <w:r w:rsidR="006E5B77" w:rsidRPr="007D5567">
        <w:rPr>
          <w:rFonts w:ascii="Arial" w:hAnsi="Arial" w:cs="Arial"/>
          <w:sz w:val="24"/>
          <w:szCs w:val="24"/>
          <w:lang w:val="bg-BG"/>
        </w:rPr>
        <w:t>(GC, 2017)</w:t>
      </w:r>
    </w:p>
    <w:p w14:paraId="06DB56DA" w14:textId="333FD87B" w:rsidR="00310AA8" w:rsidRPr="007D5567" w:rsidRDefault="00C82E31" w:rsidP="00C82E31">
      <w:pPr>
        <w:spacing w:after="0" w:line="360" w:lineRule="auto"/>
        <w:ind w:firstLine="851"/>
        <w:jc w:val="both"/>
        <w:rPr>
          <w:rFonts w:ascii="Arial" w:hAnsi="Arial" w:cs="Arial"/>
          <w:sz w:val="24"/>
          <w:szCs w:val="24"/>
          <w:lang w:val="bg-BG"/>
        </w:rPr>
      </w:pPr>
      <w:r w:rsidRPr="007D5567">
        <w:rPr>
          <w:rFonts w:ascii="Arial" w:hAnsi="Arial" w:cs="Arial"/>
          <w:sz w:val="24"/>
          <w:szCs w:val="24"/>
          <w:lang w:val="bg-BG"/>
        </w:rPr>
        <w:t>It is difficult to keep up to date with the speed of technology development, and online and digital technologies may date fast. This speed may also be challenging for community members who are expected to utilise the newest digital and internet platforms. It is essential that new technologies and tools be used in the development of engagement processes, but also that human aspects be retained that make discussion and relationships between members of the community possible.</w:t>
      </w:r>
      <w:r w:rsidR="006E5B77" w:rsidRPr="007D5567">
        <w:rPr>
          <w:rFonts w:ascii="Arial" w:hAnsi="Arial" w:cs="Arial"/>
        </w:rPr>
        <w:t xml:space="preserve"> </w:t>
      </w:r>
      <w:r w:rsidR="006E5B77" w:rsidRPr="007D5567">
        <w:rPr>
          <w:rFonts w:ascii="Arial" w:hAnsi="Arial" w:cs="Arial"/>
          <w:sz w:val="24"/>
          <w:szCs w:val="24"/>
          <w:lang w:val="bg-BG"/>
        </w:rPr>
        <w:t>(GC, 2017)</w:t>
      </w:r>
    </w:p>
    <w:p w14:paraId="4C5AD1A0" w14:textId="77777777" w:rsidR="0048486A" w:rsidRPr="007D5567" w:rsidRDefault="0048486A" w:rsidP="0048486A">
      <w:pPr>
        <w:spacing w:after="0" w:line="360" w:lineRule="auto"/>
        <w:ind w:firstLine="851"/>
        <w:jc w:val="both"/>
        <w:rPr>
          <w:rFonts w:ascii="Arial" w:hAnsi="Arial" w:cs="Arial"/>
          <w:sz w:val="24"/>
          <w:szCs w:val="24"/>
        </w:rPr>
      </w:pPr>
      <w:r w:rsidRPr="007D5567">
        <w:rPr>
          <w:rFonts w:ascii="Arial" w:hAnsi="Arial" w:cs="Arial"/>
          <w:sz w:val="24"/>
          <w:szCs w:val="24"/>
        </w:rPr>
        <w:t>Engaging with specific groups</w:t>
      </w:r>
    </w:p>
    <w:p w14:paraId="5328B713" w14:textId="20C707B8" w:rsidR="0048486A" w:rsidRPr="007D5567" w:rsidRDefault="0048486A" w:rsidP="0048486A">
      <w:pPr>
        <w:spacing w:after="0" w:line="360" w:lineRule="auto"/>
        <w:ind w:firstLine="851"/>
        <w:jc w:val="both"/>
        <w:rPr>
          <w:rFonts w:ascii="Arial" w:hAnsi="Arial" w:cs="Arial"/>
          <w:sz w:val="24"/>
          <w:szCs w:val="24"/>
        </w:rPr>
      </w:pPr>
      <w:r w:rsidRPr="007D5567">
        <w:rPr>
          <w:rFonts w:ascii="Arial" w:hAnsi="Arial" w:cs="Arial"/>
          <w:sz w:val="24"/>
          <w:szCs w:val="24"/>
        </w:rPr>
        <w:t>Consider how the needs of various communities may be addressed while conducting community involvement. The communities in Queensland include a wide range of individuals with diverse origins, needs, beliefs and ambitions. Culture, sex, age, socioeconomic history, values, language, and physical and intellectual aptitude are both observable and non-observable.</w:t>
      </w:r>
      <w:r w:rsidR="006E5B77" w:rsidRPr="007D5567">
        <w:rPr>
          <w:rFonts w:ascii="Arial" w:hAnsi="Arial" w:cs="Arial"/>
        </w:rPr>
        <w:t xml:space="preserve"> </w:t>
      </w:r>
      <w:r w:rsidR="006E5B77" w:rsidRPr="007D5567">
        <w:rPr>
          <w:rFonts w:ascii="Arial" w:hAnsi="Arial" w:cs="Arial"/>
          <w:sz w:val="24"/>
          <w:szCs w:val="24"/>
        </w:rPr>
        <w:t>(Gov, 2021)</w:t>
      </w:r>
    </w:p>
    <w:p w14:paraId="3039696B" w14:textId="3FE752CF" w:rsidR="0048486A" w:rsidRPr="007D5567" w:rsidRDefault="0048486A" w:rsidP="0048486A">
      <w:pPr>
        <w:spacing w:after="0" w:line="360" w:lineRule="auto"/>
        <w:ind w:firstLine="851"/>
        <w:jc w:val="both"/>
        <w:rPr>
          <w:rFonts w:ascii="Arial" w:hAnsi="Arial" w:cs="Arial"/>
          <w:sz w:val="24"/>
          <w:szCs w:val="24"/>
        </w:rPr>
      </w:pPr>
      <w:r w:rsidRPr="007D5567">
        <w:rPr>
          <w:rFonts w:ascii="Arial" w:hAnsi="Arial" w:cs="Arial"/>
          <w:sz w:val="24"/>
          <w:szCs w:val="24"/>
        </w:rPr>
        <w:t>This wide definition of diversity goes beyond the notion of correcting the disadvantage of target groups by highlighting the significance of an inclusive culture and evaluating distinctions between people and groups. Although the purpose is to be inclusive in all our work, sometimes the engagement procedures and activities must be tailored to allow people or groups to participate fully on an equal footing with others.</w:t>
      </w:r>
      <w:r w:rsidR="00EE7A31" w:rsidRPr="007D5567">
        <w:rPr>
          <w:rFonts w:ascii="Arial" w:hAnsi="Arial" w:cs="Arial"/>
        </w:rPr>
        <w:t xml:space="preserve"> </w:t>
      </w:r>
      <w:r w:rsidR="00EE7A31" w:rsidRPr="007D5567">
        <w:rPr>
          <w:rFonts w:ascii="Arial" w:hAnsi="Arial" w:cs="Arial"/>
          <w:sz w:val="24"/>
          <w:szCs w:val="24"/>
        </w:rPr>
        <w:t>(Creative Placemaking, 2020)</w:t>
      </w:r>
    </w:p>
    <w:p w14:paraId="51F37E06" w14:textId="77777777" w:rsidR="0048486A" w:rsidRPr="007D5567" w:rsidRDefault="0048486A">
      <w:pPr>
        <w:rPr>
          <w:rFonts w:ascii="Arial" w:hAnsi="Arial" w:cs="Arial"/>
          <w:sz w:val="24"/>
          <w:szCs w:val="24"/>
        </w:rPr>
      </w:pPr>
      <w:r w:rsidRPr="007D5567">
        <w:rPr>
          <w:rFonts w:ascii="Arial" w:hAnsi="Arial" w:cs="Arial"/>
          <w:sz w:val="24"/>
          <w:szCs w:val="24"/>
        </w:rPr>
        <w:br w:type="page"/>
      </w:r>
    </w:p>
    <w:p w14:paraId="47BE7AE0" w14:textId="77777777" w:rsidR="00C621C9" w:rsidRPr="007D5567" w:rsidRDefault="00C621C9" w:rsidP="00C621C9">
      <w:pPr>
        <w:spacing w:after="0" w:line="360" w:lineRule="auto"/>
        <w:ind w:firstLine="851"/>
        <w:jc w:val="both"/>
        <w:rPr>
          <w:rFonts w:ascii="Arial" w:hAnsi="Arial" w:cs="Arial"/>
          <w:sz w:val="24"/>
          <w:szCs w:val="24"/>
        </w:rPr>
      </w:pPr>
      <w:r w:rsidRPr="007D5567">
        <w:rPr>
          <w:rFonts w:ascii="Arial" w:hAnsi="Arial" w:cs="Arial"/>
          <w:sz w:val="24"/>
          <w:szCs w:val="24"/>
        </w:rPr>
        <w:lastRenderedPageBreak/>
        <w:t>Content development</w:t>
      </w:r>
    </w:p>
    <w:p w14:paraId="38F59DA9" w14:textId="0822E960" w:rsidR="0001363D" w:rsidRPr="007D5567" w:rsidRDefault="00C621C9" w:rsidP="00C621C9">
      <w:pPr>
        <w:spacing w:after="0" w:line="360" w:lineRule="auto"/>
        <w:ind w:firstLine="851"/>
        <w:jc w:val="both"/>
        <w:rPr>
          <w:rFonts w:ascii="Arial" w:hAnsi="Arial" w:cs="Arial"/>
          <w:sz w:val="24"/>
          <w:szCs w:val="24"/>
        </w:rPr>
      </w:pPr>
      <w:r w:rsidRPr="007D5567">
        <w:rPr>
          <w:rFonts w:ascii="Arial" w:hAnsi="Arial" w:cs="Arial"/>
          <w:sz w:val="24"/>
          <w:szCs w:val="24"/>
        </w:rPr>
        <w:t>Great content which hooks and fascinates your stakeholders enough to discover more may or break your engagement process. It is no longer efficient to simply print a draught plan or paper for 200 pages and leave it at a local council or library. People are too busy and anticipate that they will get the information immediately.</w:t>
      </w:r>
      <w:r w:rsidR="006E5B77" w:rsidRPr="007D5567">
        <w:rPr>
          <w:rFonts w:ascii="Arial" w:hAnsi="Arial" w:cs="Arial"/>
        </w:rPr>
        <w:t xml:space="preserve"> </w:t>
      </w:r>
      <w:r w:rsidR="006E5B77" w:rsidRPr="007D5567">
        <w:rPr>
          <w:rFonts w:ascii="Arial" w:hAnsi="Arial" w:cs="Arial"/>
          <w:sz w:val="24"/>
          <w:szCs w:val="24"/>
        </w:rPr>
        <w:t>(GC, 2017)</w:t>
      </w:r>
    </w:p>
    <w:p w14:paraId="24DACBE4" w14:textId="63085D4B" w:rsidR="005E6D19" w:rsidRPr="007D5567" w:rsidRDefault="005E6D19" w:rsidP="00105CB5">
      <w:pPr>
        <w:spacing w:after="0" w:line="360" w:lineRule="auto"/>
        <w:ind w:firstLine="851"/>
        <w:jc w:val="both"/>
        <w:rPr>
          <w:rFonts w:ascii="Arial" w:hAnsi="Arial" w:cs="Arial"/>
          <w:sz w:val="24"/>
          <w:szCs w:val="24"/>
        </w:rPr>
      </w:pPr>
      <w:r w:rsidRPr="007D5567">
        <w:rPr>
          <w:rFonts w:ascii="Arial" w:hAnsi="Arial" w:cs="Arial"/>
          <w:sz w:val="24"/>
          <w:szCs w:val="24"/>
        </w:rPr>
        <w:t>Drawing on another report from the Coalition, Making the difference: Research and practice in public schools, they present five conditions for learning:</w:t>
      </w:r>
    </w:p>
    <w:p w14:paraId="78CCBAE6"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Condition 1: The school has a core instructional program with qualified teachers, a challenging curriculum, and high standards and expectations for students.</w:t>
      </w:r>
    </w:p>
    <w:p w14:paraId="612AF7EC"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Condition 2: Students are motivated and engaged in learning — both in school and in community settings, during and after school.</w:t>
      </w:r>
    </w:p>
    <w:p w14:paraId="48760801"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 xml:space="preserve">Condition 3: The basic physical, </w:t>
      </w:r>
      <w:proofErr w:type="gramStart"/>
      <w:r w:rsidRPr="007D5567">
        <w:rPr>
          <w:rFonts w:ascii="Arial" w:hAnsi="Arial" w:cs="Arial"/>
          <w:sz w:val="24"/>
          <w:szCs w:val="24"/>
        </w:rPr>
        <w:t>mental</w:t>
      </w:r>
      <w:proofErr w:type="gramEnd"/>
      <w:r w:rsidRPr="007D5567">
        <w:rPr>
          <w:rFonts w:ascii="Arial" w:hAnsi="Arial" w:cs="Arial"/>
          <w:sz w:val="24"/>
          <w:szCs w:val="24"/>
        </w:rPr>
        <w:t xml:space="preserve"> and emotional health needs of young people and their families are recognised and addressed.</w:t>
      </w:r>
    </w:p>
    <w:p w14:paraId="731DDE16"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 xml:space="preserve">Condition 4: There is mutual respect and effective collaboration among parents, </w:t>
      </w:r>
      <w:proofErr w:type="gramStart"/>
      <w:r w:rsidRPr="007D5567">
        <w:rPr>
          <w:rFonts w:ascii="Arial" w:hAnsi="Arial" w:cs="Arial"/>
          <w:sz w:val="24"/>
          <w:szCs w:val="24"/>
        </w:rPr>
        <w:t>families</w:t>
      </w:r>
      <w:proofErr w:type="gramEnd"/>
      <w:r w:rsidRPr="007D5567">
        <w:rPr>
          <w:rFonts w:ascii="Arial" w:hAnsi="Arial" w:cs="Arial"/>
          <w:sz w:val="24"/>
          <w:szCs w:val="24"/>
        </w:rPr>
        <w:t xml:space="preserve"> and school staff.</w:t>
      </w:r>
    </w:p>
    <w:p w14:paraId="5BDDD605"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 xml:space="preserve">Condition 5: Community engagement, together with school efforts, promote a school climate that is safe, </w:t>
      </w:r>
      <w:proofErr w:type="gramStart"/>
      <w:r w:rsidRPr="007D5567">
        <w:rPr>
          <w:rFonts w:ascii="Arial" w:hAnsi="Arial" w:cs="Arial"/>
          <w:sz w:val="24"/>
          <w:szCs w:val="24"/>
        </w:rPr>
        <w:t>supportive</w:t>
      </w:r>
      <w:proofErr w:type="gramEnd"/>
      <w:r w:rsidRPr="007D5567">
        <w:rPr>
          <w:rFonts w:ascii="Arial" w:hAnsi="Arial" w:cs="Arial"/>
          <w:sz w:val="24"/>
          <w:szCs w:val="24"/>
        </w:rPr>
        <w:t xml:space="preserve"> and respectful and that connects students to a broader learning community.</w:t>
      </w:r>
    </w:p>
    <w:p w14:paraId="68686A89" w14:textId="77777777"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It should be noticed that family-school partnerships and community engagement are at the heart of these conditions.</w:t>
      </w:r>
    </w:p>
    <w:p w14:paraId="1420A43B" w14:textId="6B8FA2A9" w:rsidR="005E6D19" w:rsidRPr="007D5567" w:rsidRDefault="005E6D19" w:rsidP="005E6D19">
      <w:pPr>
        <w:spacing w:after="0" w:line="360" w:lineRule="auto"/>
        <w:ind w:firstLine="851"/>
        <w:jc w:val="both"/>
        <w:rPr>
          <w:rFonts w:ascii="Arial" w:hAnsi="Arial" w:cs="Arial"/>
          <w:sz w:val="24"/>
          <w:szCs w:val="24"/>
        </w:rPr>
      </w:pPr>
      <w:r w:rsidRPr="007D5567">
        <w:rPr>
          <w:rFonts w:ascii="Arial" w:hAnsi="Arial" w:cs="Arial"/>
          <w:sz w:val="24"/>
          <w:szCs w:val="24"/>
        </w:rPr>
        <w:t>Based on interviews and focus groups with 46 principals of community schools identify six keys to community engagement that can help create the conditions for learning</w:t>
      </w:r>
      <w:r w:rsidR="006E5B77" w:rsidRPr="007D5567">
        <w:rPr>
          <w:rFonts w:ascii="Arial" w:hAnsi="Arial" w:cs="Arial"/>
        </w:rPr>
        <w:t xml:space="preserve"> </w:t>
      </w:r>
      <w:r w:rsidR="006E5B77" w:rsidRPr="007D5567">
        <w:rPr>
          <w:rFonts w:ascii="Arial" w:hAnsi="Arial" w:cs="Arial"/>
          <w:sz w:val="24"/>
          <w:szCs w:val="24"/>
        </w:rPr>
        <w:t>(GC, 2017)</w:t>
      </w:r>
    </w:p>
    <w:p w14:paraId="545DBF8A"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Key 1: Know Where You're Going</w:t>
      </w:r>
    </w:p>
    <w:p w14:paraId="662D56F0"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 xml:space="preserve">Start by creating a vision - in partnership with school staff, families, </w:t>
      </w:r>
      <w:proofErr w:type="gramStart"/>
      <w:r w:rsidRPr="007D5567">
        <w:rPr>
          <w:rFonts w:ascii="Arial" w:hAnsi="Arial" w:cs="Arial"/>
          <w:sz w:val="24"/>
          <w:szCs w:val="24"/>
        </w:rPr>
        <w:t>partners</w:t>
      </w:r>
      <w:proofErr w:type="gramEnd"/>
      <w:r w:rsidRPr="007D5567">
        <w:rPr>
          <w:rFonts w:ascii="Arial" w:hAnsi="Arial" w:cs="Arial"/>
          <w:sz w:val="24"/>
          <w:szCs w:val="24"/>
        </w:rPr>
        <w:t xml:space="preserve"> and community residents (and I'd add students) - of what the school could look like and develop a plan for how to get there. Ensure that diverse viewpoints are included in this process.</w:t>
      </w:r>
    </w:p>
    <w:p w14:paraId="3B9BC1B9"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Key 2: Share Leadership</w:t>
      </w:r>
    </w:p>
    <w:p w14:paraId="481ADCDC"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 xml:space="preserve">Actively involve staff, </w:t>
      </w:r>
      <w:proofErr w:type="gramStart"/>
      <w:r w:rsidRPr="007D5567">
        <w:rPr>
          <w:rFonts w:ascii="Arial" w:hAnsi="Arial" w:cs="Arial"/>
          <w:sz w:val="24"/>
          <w:szCs w:val="24"/>
        </w:rPr>
        <w:t>parents</w:t>
      </w:r>
      <w:proofErr w:type="gramEnd"/>
      <w:r w:rsidRPr="007D5567">
        <w:rPr>
          <w:rFonts w:ascii="Arial" w:hAnsi="Arial" w:cs="Arial"/>
          <w:sz w:val="24"/>
          <w:szCs w:val="24"/>
        </w:rPr>
        <w:t xml:space="preserve"> and community partners in sharing leadership functions, and work closely with them in working towards your shared vision.</w:t>
      </w:r>
    </w:p>
    <w:p w14:paraId="0BD4AC02"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Key 3: Reach Out</w:t>
      </w:r>
    </w:p>
    <w:p w14:paraId="7C409A05"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lastRenderedPageBreak/>
        <w:t>Be proactive in learning about the community surround the school and become actively outside the school. Don't just expect the community to help meet the school's priorities; also think about how the school can contribute to what the local community wants. Identify community resources that could help the school AND school resources that could be useful to the community.</w:t>
      </w:r>
    </w:p>
    <w:p w14:paraId="5F0D92DE"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Key 4: Don't Ignore the Elephant in the Room</w:t>
      </w:r>
    </w:p>
    <w:p w14:paraId="6AB73332"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Recognise, and embrace, diversity within the school and the broader community. Instead of pretending that there are no differences in culture, lifestyle choices, income, skin colour etc., promote open and honest discussion of the diversity you find around you.</w:t>
      </w:r>
    </w:p>
    <w:p w14:paraId="1D03B638"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Key 5: Tell Your School's Story</w:t>
      </w:r>
    </w:p>
    <w:p w14:paraId="62650C83"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Make your schools story come alive. "We have to learn to communicate and to tell our story well. Once parents and the community pick up on this, they will do a lot" (p. 12). Using stories, and the strategic use of facts and figures, can inspire people to become involved. There is a great example of telling the story of a school at A year at Mission Hill.</w:t>
      </w:r>
    </w:p>
    <w:p w14:paraId="728EDD8A"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Key 6: Stay on Course</w:t>
      </w:r>
    </w:p>
    <w:p w14:paraId="422E4AA1" w14:textId="77777777"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Ensure that the vision and plan for the school remains at the heart of partnerships and in community engagement initiatives. Think about long-term sustainability and how partnerships can thrive over the long haul.</w:t>
      </w:r>
    </w:p>
    <w:p w14:paraId="04F1E7DF" w14:textId="77777777" w:rsidR="00B174EE" w:rsidRPr="007D5567" w:rsidRDefault="00B174EE" w:rsidP="00B174EE">
      <w:pPr>
        <w:spacing w:after="0" w:line="360" w:lineRule="auto"/>
        <w:ind w:firstLine="851"/>
        <w:jc w:val="both"/>
        <w:rPr>
          <w:rFonts w:ascii="Arial" w:hAnsi="Arial" w:cs="Arial"/>
          <w:sz w:val="24"/>
          <w:szCs w:val="24"/>
        </w:rPr>
      </w:pPr>
    </w:p>
    <w:p w14:paraId="4F590045" w14:textId="3ECB09D2"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 xml:space="preserve">The report uses the six keys to consider ways of responding to some of the challenges in engaging families, staff, </w:t>
      </w:r>
      <w:r w:rsidR="00246DE8" w:rsidRPr="007D5567">
        <w:rPr>
          <w:rFonts w:ascii="Arial" w:hAnsi="Arial" w:cs="Arial"/>
          <w:sz w:val="24"/>
          <w:szCs w:val="24"/>
        </w:rPr>
        <w:t>partners,</w:t>
      </w:r>
      <w:r w:rsidRPr="007D5567">
        <w:rPr>
          <w:rFonts w:ascii="Arial" w:hAnsi="Arial" w:cs="Arial"/>
          <w:sz w:val="24"/>
          <w:szCs w:val="24"/>
        </w:rPr>
        <w:t xml:space="preserve"> and the public. For </w:t>
      </w:r>
      <w:r w:rsidR="00246DE8" w:rsidRPr="007D5567">
        <w:rPr>
          <w:rFonts w:ascii="Arial" w:hAnsi="Arial" w:cs="Arial"/>
          <w:sz w:val="24"/>
          <w:szCs w:val="24"/>
        </w:rPr>
        <w:t>example,</w:t>
      </w:r>
      <w:r w:rsidRPr="007D5567">
        <w:rPr>
          <w:rFonts w:ascii="Arial" w:hAnsi="Arial" w:cs="Arial"/>
          <w:sz w:val="24"/>
          <w:szCs w:val="24"/>
        </w:rPr>
        <w:t xml:space="preserve"> it suggests that some of the barriers to engaging families include:</w:t>
      </w:r>
    </w:p>
    <w:p w14:paraId="682C6877" w14:textId="77777777" w:rsidR="00B174EE" w:rsidRPr="007D5567" w:rsidRDefault="00B174EE" w:rsidP="00246DE8">
      <w:pPr>
        <w:pStyle w:val="ListParagraph"/>
        <w:numPr>
          <w:ilvl w:val="0"/>
          <w:numId w:val="9"/>
        </w:numPr>
        <w:spacing w:after="0" w:line="360" w:lineRule="auto"/>
        <w:ind w:left="284"/>
        <w:jc w:val="both"/>
        <w:rPr>
          <w:rFonts w:ascii="Arial" w:hAnsi="Arial" w:cs="Arial"/>
          <w:sz w:val="24"/>
          <w:szCs w:val="24"/>
        </w:rPr>
      </w:pPr>
      <w:r w:rsidRPr="007D5567">
        <w:rPr>
          <w:rFonts w:ascii="Arial" w:hAnsi="Arial" w:cs="Arial"/>
          <w:sz w:val="24"/>
          <w:szCs w:val="24"/>
        </w:rPr>
        <w:t>Negative experiences</w:t>
      </w:r>
    </w:p>
    <w:p w14:paraId="0AB08A1B" w14:textId="77777777" w:rsidR="00B174EE" w:rsidRPr="007D5567" w:rsidRDefault="00B174EE" w:rsidP="00246DE8">
      <w:pPr>
        <w:pStyle w:val="ListParagraph"/>
        <w:numPr>
          <w:ilvl w:val="0"/>
          <w:numId w:val="9"/>
        </w:numPr>
        <w:spacing w:after="0" w:line="360" w:lineRule="auto"/>
        <w:ind w:left="284"/>
        <w:jc w:val="both"/>
        <w:rPr>
          <w:rFonts w:ascii="Arial" w:hAnsi="Arial" w:cs="Arial"/>
          <w:sz w:val="24"/>
          <w:szCs w:val="24"/>
        </w:rPr>
      </w:pPr>
      <w:r w:rsidRPr="007D5567">
        <w:rPr>
          <w:rFonts w:ascii="Arial" w:hAnsi="Arial" w:cs="Arial"/>
          <w:sz w:val="24"/>
          <w:szCs w:val="24"/>
        </w:rPr>
        <w:t>Language and cultural differences</w:t>
      </w:r>
    </w:p>
    <w:p w14:paraId="31AEDE5D" w14:textId="77777777" w:rsidR="00B174EE" w:rsidRPr="007D5567" w:rsidRDefault="00B174EE" w:rsidP="00246DE8">
      <w:pPr>
        <w:pStyle w:val="ListParagraph"/>
        <w:numPr>
          <w:ilvl w:val="0"/>
          <w:numId w:val="9"/>
        </w:numPr>
        <w:spacing w:after="0" w:line="360" w:lineRule="auto"/>
        <w:ind w:left="284"/>
        <w:jc w:val="both"/>
        <w:rPr>
          <w:rFonts w:ascii="Arial" w:hAnsi="Arial" w:cs="Arial"/>
          <w:sz w:val="24"/>
          <w:szCs w:val="24"/>
        </w:rPr>
      </w:pPr>
      <w:r w:rsidRPr="007D5567">
        <w:rPr>
          <w:rFonts w:ascii="Arial" w:hAnsi="Arial" w:cs="Arial"/>
          <w:sz w:val="24"/>
          <w:szCs w:val="24"/>
        </w:rPr>
        <w:t>Issues of race and class</w:t>
      </w:r>
    </w:p>
    <w:p w14:paraId="1C95643D" w14:textId="77777777" w:rsidR="00B174EE" w:rsidRPr="007D5567" w:rsidRDefault="00B174EE" w:rsidP="00246DE8">
      <w:pPr>
        <w:pStyle w:val="ListParagraph"/>
        <w:numPr>
          <w:ilvl w:val="0"/>
          <w:numId w:val="9"/>
        </w:numPr>
        <w:spacing w:after="0" w:line="360" w:lineRule="auto"/>
        <w:ind w:left="284"/>
        <w:jc w:val="both"/>
        <w:rPr>
          <w:rFonts w:ascii="Arial" w:hAnsi="Arial" w:cs="Arial"/>
          <w:sz w:val="24"/>
          <w:szCs w:val="24"/>
        </w:rPr>
      </w:pPr>
      <w:r w:rsidRPr="007D5567">
        <w:rPr>
          <w:rFonts w:ascii="Arial" w:hAnsi="Arial" w:cs="Arial"/>
          <w:sz w:val="24"/>
          <w:szCs w:val="24"/>
        </w:rPr>
        <w:t>Lack of professional development and preparation.</w:t>
      </w:r>
    </w:p>
    <w:p w14:paraId="2A333275" w14:textId="30945692" w:rsidR="00B174EE" w:rsidRPr="007D5567" w:rsidRDefault="00B174EE" w:rsidP="00B174EE">
      <w:pPr>
        <w:spacing w:after="0" w:line="360" w:lineRule="auto"/>
        <w:ind w:firstLine="851"/>
        <w:jc w:val="both"/>
        <w:rPr>
          <w:rFonts w:ascii="Arial" w:hAnsi="Arial" w:cs="Arial"/>
          <w:sz w:val="24"/>
          <w:szCs w:val="24"/>
        </w:rPr>
      </w:pPr>
      <w:r w:rsidRPr="007D5567">
        <w:rPr>
          <w:rFonts w:ascii="Arial" w:hAnsi="Arial" w:cs="Arial"/>
          <w:sz w:val="24"/>
          <w:szCs w:val="24"/>
        </w:rPr>
        <w:t xml:space="preserve">To address these </w:t>
      </w:r>
      <w:r w:rsidR="00246DE8" w:rsidRPr="007D5567">
        <w:rPr>
          <w:rFonts w:ascii="Arial" w:hAnsi="Arial" w:cs="Arial"/>
          <w:sz w:val="24"/>
          <w:szCs w:val="24"/>
        </w:rPr>
        <w:t>barriers,</w:t>
      </w:r>
      <w:r w:rsidRPr="007D5567">
        <w:rPr>
          <w:rFonts w:ascii="Arial" w:hAnsi="Arial" w:cs="Arial"/>
          <w:sz w:val="24"/>
          <w:szCs w:val="24"/>
        </w:rPr>
        <w:t xml:space="preserve"> they suggest the following strategies (based on the six keys to community engagement):</w:t>
      </w:r>
    </w:p>
    <w:p w14:paraId="2FDDCAE8" w14:textId="27F75610" w:rsidR="00B174EE" w:rsidRPr="007D5567" w:rsidRDefault="00B174EE" w:rsidP="00246DE8">
      <w:pPr>
        <w:pStyle w:val="ListParagraph"/>
        <w:numPr>
          <w:ilvl w:val="0"/>
          <w:numId w:val="8"/>
        </w:numPr>
        <w:spacing w:after="0" w:line="360" w:lineRule="auto"/>
        <w:ind w:left="284"/>
        <w:jc w:val="both"/>
        <w:rPr>
          <w:rFonts w:ascii="Arial" w:hAnsi="Arial" w:cs="Arial"/>
          <w:sz w:val="24"/>
          <w:szCs w:val="24"/>
        </w:rPr>
      </w:pPr>
      <w:r w:rsidRPr="007D5567">
        <w:rPr>
          <w:rFonts w:ascii="Arial" w:hAnsi="Arial" w:cs="Arial"/>
          <w:sz w:val="24"/>
          <w:szCs w:val="24"/>
        </w:rPr>
        <w:t xml:space="preserve">Know where </w:t>
      </w:r>
      <w:r w:rsidR="00246DE8" w:rsidRPr="007D5567">
        <w:rPr>
          <w:rFonts w:ascii="Arial" w:hAnsi="Arial" w:cs="Arial"/>
          <w:sz w:val="24"/>
          <w:szCs w:val="24"/>
        </w:rPr>
        <w:t>you are</w:t>
      </w:r>
      <w:r w:rsidRPr="007D5567">
        <w:rPr>
          <w:rFonts w:ascii="Arial" w:hAnsi="Arial" w:cs="Arial"/>
          <w:sz w:val="24"/>
          <w:szCs w:val="24"/>
        </w:rPr>
        <w:t xml:space="preserve"> going: Define vision for family engagement broadly</w:t>
      </w:r>
    </w:p>
    <w:p w14:paraId="6ABDF03C" w14:textId="77777777" w:rsidR="00B174EE" w:rsidRPr="007D5567" w:rsidRDefault="00B174EE" w:rsidP="00246DE8">
      <w:pPr>
        <w:pStyle w:val="ListParagraph"/>
        <w:numPr>
          <w:ilvl w:val="0"/>
          <w:numId w:val="8"/>
        </w:numPr>
        <w:spacing w:after="0" w:line="360" w:lineRule="auto"/>
        <w:ind w:left="284"/>
        <w:jc w:val="both"/>
        <w:rPr>
          <w:rFonts w:ascii="Arial" w:hAnsi="Arial" w:cs="Arial"/>
          <w:sz w:val="24"/>
          <w:szCs w:val="24"/>
        </w:rPr>
      </w:pPr>
      <w:r w:rsidRPr="007D5567">
        <w:rPr>
          <w:rFonts w:ascii="Arial" w:hAnsi="Arial" w:cs="Arial"/>
          <w:sz w:val="24"/>
          <w:szCs w:val="24"/>
        </w:rPr>
        <w:t>Share leadership: Encourage families' contributions and leadership</w:t>
      </w:r>
    </w:p>
    <w:p w14:paraId="13B6125B" w14:textId="77777777" w:rsidR="00B174EE" w:rsidRPr="007D5567" w:rsidRDefault="00B174EE" w:rsidP="00246DE8">
      <w:pPr>
        <w:pStyle w:val="ListParagraph"/>
        <w:numPr>
          <w:ilvl w:val="0"/>
          <w:numId w:val="8"/>
        </w:numPr>
        <w:spacing w:after="0" w:line="360" w:lineRule="auto"/>
        <w:ind w:left="284"/>
        <w:jc w:val="both"/>
        <w:rPr>
          <w:rFonts w:ascii="Arial" w:hAnsi="Arial" w:cs="Arial"/>
          <w:sz w:val="24"/>
          <w:szCs w:val="24"/>
        </w:rPr>
      </w:pPr>
      <w:r w:rsidRPr="007D5567">
        <w:rPr>
          <w:rFonts w:ascii="Arial" w:hAnsi="Arial" w:cs="Arial"/>
          <w:sz w:val="24"/>
          <w:szCs w:val="24"/>
        </w:rPr>
        <w:t>Reach out: Meet families where they are</w:t>
      </w:r>
    </w:p>
    <w:p w14:paraId="4AEAD765" w14:textId="5B97E67B" w:rsidR="00B174EE" w:rsidRPr="007D5567" w:rsidRDefault="00246DE8" w:rsidP="00246DE8">
      <w:pPr>
        <w:pStyle w:val="ListParagraph"/>
        <w:numPr>
          <w:ilvl w:val="0"/>
          <w:numId w:val="8"/>
        </w:numPr>
        <w:spacing w:after="0" w:line="360" w:lineRule="auto"/>
        <w:ind w:left="284"/>
        <w:jc w:val="both"/>
        <w:rPr>
          <w:rFonts w:ascii="Arial" w:hAnsi="Arial" w:cs="Arial"/>
          <w:sz w:val="24"/>
          <w:szCs w:val="24"/>
        </w:rPr>
      </w:pPr>
      <w:r w:rsidRPr="007D5567">
        <w:rPr>
          <w:rFonts w:ascii="Arial" w:hAnsi="Arial" w:cs="Arial"/>
          <w:sz w:val="24"/>
          <w:szCs w:val="24"/>
        </w:rPr>
        <w:lastRenderedPageBreak/>
        <w:t>Do not</w:t>
      </w:r>
      <w:r w:rsidR="00B174EE" w:rsidRPr="007D5567">
        <w:rPr>
          <w:rFonts w:ascii="Arial" w:hAnsi="Arial" w:cs="Arial"/>
          <w:sz w:val="24"/>
          <w:szCs w:val="24"/>
        </w:rPr>
        <w:t xml:space="preserve"> ignore the elephant in room: Create a welcoming environment and have honest conversations</w:t>
      </w:r>
    </w:p>
    <w:p w14:paraId="2E560938" w14:textId="77777777" w:rsidR="00B174EE" w:rsidRPr="007D5567" w:rsidRDefault="00B174EE" w:rsidP="00246DE8">
      <w:pPr>
        <w:pStyle w:val="ListParagraph"/>
        <w:numPr>
          <w:ilvl w:val="0"/>
          <w:numId w:val="8"/>
        </w:numPr>
        <w:spacing w:after="0" w:line="360" w:lineRule="auto"/>
        <w:ind w:left="284"/>
        <w:jc w:val="both"/>
        <w:rPr>
          <w:rFonts w:ascii="Arial" w:hAnsi="Arial" w:cs="Arial"/>
          <w:sz w:val="24"/>
          <w:szCs w:val="24"/>
        </w:rPr>
      </w:pPr>
      <w:r w:rsidRPr="007D5567">
        <w:rPr>
          <w:rFonts w:ascii="Arial" w:hAnsi="Arial" w:cs="Arial"/>
          <w:sz w:val="24"/>
          <w:szCs w:val="24"/>
        </w:rPr>
        <w:t>Tell your school's story: Be visible in the community</w:t>
      </w:r>
    </w:p>
    <w:p w14:paraId="7352722C" w14:textId="35AC86C8" w:rsidR="00417907" w:rsidRPr="007D5567" w:rsidRDefault="00B174EE" w:rsidP="00246DE8">
      <w:pPr>
        <w:pStyle w:val="ListParagraph"/>
        <w:numPr>
          <w:ilvl w:val="0"/>
          <w:numId w:val="8"/>
        </w:numPr>
        <w:spacing w:after="0" w:line="360" w:lineRule="auto"/>
        <w:ind w:left="284"/>
        <w:jc w:val="both"/>
        <w:rPr>
          <w:rFonts w:ascii="Arial" w:hAnsi="Arial" w:cs="Arial"/>
          <w:sz w:val="24"/>
          <w:szCs w:val="24"/>
        </w:rPr>
      </w:pPr>
      <w:r w:rsidRPr="007D5567">
        <w:rPr>
          <w:rFonts w:ascii="Arial" w:hAnsi="Arial" w:cs="Arial"/>
          <w:sz w:val="24"/>
          <w:szCs w:val="24"/>
        </w:rPr>
        <w:t>Stay on course: Continually assess progress.</w:t>
      </w:r>
    </w:p>
    <w:p w14:paraId="132B8475" w14:textId="311AB675" w:rsidR="00417907" w:rsidRPr="007D5567" w:rsidRDefault="00417907" w:rsidP="00D5334D">
      <w:pPr>
        <w:spacing w:after="0" w:line="360" w:lineRule="auto"/>
        <w:ind w:firstLine="851"/>
        <w:jc w:val="both"/>
        <w:rPr>
          <w:rFonts w:ascii="Arial" w:hAnsi="Arial" w:cs="Arial"/>
          <w:sz w:val="24"/>
          <w:szCs w:val="24"/>
        </w:rPr>
      </w:pPr>
    </w:p>
    <w:p w14:paraId="68D663F1" w14:textId="7D2FC078" w:rsidR="00417907" w:rsidRPr="007D5567" w:rsidRDefault="00417907" w:rsidP="00D5334D">
      <w:pPr>
        <w:spacing w:after="0" w:line="360" w:lineRule="auto"/>
        <w:ind w:firstLine="851"/>
        <w:jc w:val="both"/>
        <w:rPr>
          <w:rFonts w:ascii="Arial" w:hAnsi="Arial" w:cs="Arial"/>
          <w:sz w:val="24"/>
          <w:szCs w:val="24"/>
        </w:rPr>
      </w:pPr>
    </w:p>
    <w:p w14:paraId="2BF7A5B2" w14:textId="77777777" w:rsidR="00417907" w:rsidRPr="007D5567" w:rsidRDefault="00417907" w:rsidP="00D5334D">
      <w:pPr>
        <w:spacing w:after="0" w:line="360" w:lineRule="auto"/>
        <w:ind w:firstLine="851"/>
        <w:jc w:val="both"/>
        <w:rPr>
          <w:rFonts w:ascii="Arial" w:hAnsi="Arial" w:cs="Arial"/>
          <w:sz w:val="24"/>
          <w:szCs w:val="24"/>
        </w:rPr>
      </w:pPr>
    </w:p>
    <w:p w14:paraId="4C89AFD4" w14:textId="0F3CE674" w:rsidR="00D5334D" w:rsidRPr="007D5567" w:rsidRDefault="00D5334D" w:rsidP="00D5334D">
      <w:pPr>
        <w:pStyle w:val="Heading1"/>
        <w:rPr>
          <w:rFonts w:ascii="Arial" w:hAnsi="Arial" w:cs="Arial"/>
          <w:b/>
          <w:bCs/>
        </w:rPr>
      </w:pPr>
      <w:bookmarkStart w:id="2" w:name="_Toc77848811"/>
      <w:r w:rsidRPr="007D5567">
        <w:rPr>
          <w:rFonts w:ascii="Arial" w:hAnsi="Arial" w:cs="Arial"/>
          <w:b/>
          <w:bCs/>
        </w:rPr>
        <w:t>Conclusion</w:t>
      </w:r>
      <w:bookmarkEnd w:id="2"/>
      <w:r w:rsidR="00E96B79" w:rsidRPr="007D5567">
        <w:rPr>
          <w:rFonts w:ascii="Arial" w:hAnsi="Arial" w:cs="Arial"/>
          <w:b/>
          <w:bCs/>
        </w:rPr>
        <w:t xml:space="preserve"> </w:t>
      </w:r>
    </w:p>
    <w:p w14:paraId="51FED959" w14:textId="65C7DCD9" w:rsidR="00D5334D" w:rsidRPr="007D5567" w:rsidRDefault="004A20F8" w:rsidP="00D5334D">
      <w:pPr>
        <w:spacing w:after="0" w:line="360" w:lineRule="auto"/>
        <w:ind w:firstLine="851"/>
        <w:jc w:val="both"/>
        <w:rPr>
          <w:rFonts w:ascii="Arial" w:hAnsi="Arial" w:cs="Arial"/>
          <w:sz w:val="24"/>
          <w:szCs w:val="24"/>
        </w:rPr>
      </w:pPr>
      <w:r w:rsidRPr="007D5567">
        <w:rPr>
          <w:rFonts w:ascii="Arial" w:hAnsi="Arial" w:cs="Arial"/>
          <w:sz w:val="24"/>
          <w:szCs w:val="24"/>
        </w:rPr>
        <w:t xml:space="preserve">Sowing future uses PACE, the community development model for Global Communities, to include target communities in Brazil and start to build community-led capabilities to: (1) identify long term community goals; (2) design initiatives; There are many queries like "how to begin," "how to begin involving communities, or "how to get people involved and start organising. </w:t>
      </w:r>
      <w:r w:rsidR="0052100A" w:rsidRPr="007D5567">
        <w:rPr>
          <w:rFonts w:ascii="Arial" w:hAnsi="Arial" w:cs="Arial"/>
          <w:sz w:val="24"/>
          <w:szCs w:val="24"/>
        </w:rPr>
        <w:t>The</w:t>
      </w:r>
      <w:r w:rsidRPr="007D5567">
        <w:rPr>
          <w:rFonts w:ascii="Arial" w:hAnsi="Arial" w:cs="Arial"/>
          <w:sz w:val="24"/>
          <w:szCs w:val="24"/>
        </w:rPr>
        <w:t xml:space="preserve"> expertise in seeding for the future provides five practical strategies to successfully involve and mobilise the community.</w:t>
      </w:r>
    </w:p>
    <w:p w14:paraId="0E4B8665" w14:textId="77777777" w:rsidR="00417907" w:rsidRPr="007D5567" w:rsidRDefault="00417907" w:rsidP="00E96B79">
      <w:pPr>
        <w:spacing w:after="0" w:line="360" w:lineRule="auto"/>
        <w:ind w:firstLine="851"/>
        <w:jc w:val="both"/>
        <w:rPr>
          <w:rFonts w:ascii="Arial" w:hAnsi="Arial" w:cs="Arial"/>
          <w:sz w:val="24"/>
          <w:szCs w:val="24"/>
        </w:rPr>
      </w:pPr>
    </w:p>
    <w:p w14:paraId="4855F173" w14:textId="77777777" w:rsidR="003F5F51" w:rsidRPr="007D5567" w:rsidRDefault="00D40516" w:rsidP="00D40516">
      <w:pPr>
        <w:pStyle w:val="Subtitle"/>
        <w:jc w:val="center"/>
        <w:rPr>
          <w:rFonts w:ascii="Arial" w:hAnsi="Arial" w:cs="Arial"/>
          <w:sz w:val="24"/>
          <w:szCs w:val="24"/>
        </w:rPr>
      </w:pPr>
      <w:r w:rsidRPr="007D5567">
        <w:rPr>
          <w:rFonts w:ascii="Arial" w:hAnsi="Arial" w:cs="Arial"/>
          <w:sz w:val="24"/>
          <w:szCs w:val="24"/>
        </w:rPr>
        <w:br w:type="column"/>
      </w:r>
    </w:p>
    <w:p w14:paraId="7F23DEE0" w14:textId="23B7416E" w:rsidR="00D40516" w:rsidRPr="007D5567" w:rsidRDefault="00D40516" w:rsidP="00D40516">
      <w:pPr>
        <w:pStyle w:val="Subtitle"/>
        <w:jc w:val="center"/>
        <w:rPr>
          <w:rFonts w:ascii="Arial" w:hAnsi="Arial" w:cs="Arial"/>
          <w:b/>
          <w:bCs/>
          <w:color w:val="auto"/>
          <w:sz w:val="30"/>
          <w:szCs w:val="30"/>
        </w:rPr>
      </w:pPr>
      <w:r w:rsidRPr="007D5567">
        <w:rPr>
          <w:rFonts w:ascii="Arial" w:hAnsi="Arial" w:cs="Arial"/>
          <w:b/>
          <w:bCs/>
          <w:color w:val="auto"/>
          <w:sz w:val="30"/>
          <w:szCs w:val="30"/>
        </w:rPr>
        <w:t>References</w:t>
      </w:r>
    </w:p>
    <w:p w14:paraId="2B3EC32F" w14:textId="70F85EB1" w:rsidR="00D40516" w:rsidRPr="007D5567" w:rsidRDefault="00D40516" w:rsidP="00D40516">
      <w:pPr>
        <w:ind w:firstLine="851"/>
        <w:jc w:val="both"/>
        <w:rPr>
          <w:rFonts w:ascii="Arial" w:hAnsi="Arial" w:cs="Arial"/>
          <w:sz w:val="24"/>
          <w:szCs w:val="24"/>
        </w:rPr>
      </w:pPr>
    </w:p>
    <w:p w14:paraId="0D314322" w14:textId="77777777" w:rsidR="007D5567" w:rsidRPr="007D5567" w:rsidRDefault="007D5567" w:rsidP="007D5567">
      <w:pPr>
        <w:pStyle w:val="ListParagraph"/>
        <w:numPr>
          <w:ilvl w:val="0"/>
          <w:numId w:val="11"/>
        </w:numPr>
        <w:spacing w:after="240" w:line="360" w:lineRule="auto"/>
        <w:rPr>
          <w:rFonts w:ascii="Arial" w:eastAsia="Times New Roman" w:hAnsi="Arial" w:cs="Arial"/>
          <w:sz w:val="24"/>
          <w:szCs w:val="24"/>
          <w:lang w:eastAsia="en-GB"/>
        </w:rPr>
      </w:pPr>
      <w:r w:rsidRPr="007D5567">
        <w:rPr>
          <w:rFonts w:ascii="Arial" w:eastAsia="Times New Roman" w:hAnsi="Arial" w:cs="Arial"/>
          <w:sz w:val="24"/>
          <w:szCs w:val="24"/>
          <w:lang w:eastAsia="en-GB"/>
        </w:rPr>
        <w:t xml:space="preserve">City of Golden (2020). </w:t>
      </w:r>
      <w:r w:rsidRPr="007D5567">
        <w:rPr>
          <w:rFonts w:ascii="Arial" w:eastAsia="Times New Roman" w:hAnsi="Arial" w:cs="Arial"/>
          <w:i/>
          <w:iCs/>
          <w:sz w:val="24"/>
          <w:szCs w:val="24"/>
          <w:lang w:eastAsia="en-GB"/>
        </w:rPr>
        <w:t>COMMUNITY ENGAGEMENT</w:t>
      </w:r>
      <w:r w:rsidRPr="007D5567">
        <w:rPr>
          <w:rFonts w:ascii="Arial" w:eastAsia="Times New Roman" w:hAnsi="Arial" w:cs="Arial"/>
          <w:sz w:val="24"/>
          <w:szCs w:val="24"/>
          <w:lang w:eastAsia="en-GB"/>
        </w:rPr>
        <w:t>. [online</w:t>
      </w:r>
      <w:proofErr w:type="gramStart"/>
      <w:r w:rsidRPr="007D5567">
        <w:rPr>
          <w:rFonts w:ascii="Arial" w:eastAsia="Times New Roman" w:hAnsi="Arial" w:cs="Arial"/>
          <w:sz w:val="24"/>
          <w:szCs w:val="24"/>
          <w:lang w:eastAsia="en-GB"/>
        </w:rPr>
        <w:t>] .</w:t>
      </w:r>
      <w:proofErr w:type="gramEnd"/>
      <w:r w:rsidRPr="007D5567">
        <w:rPr>
          <w:rFonts w:ascii="Arial" w:eastAsia="Times New Roman" w:hAnsi="Arial" w:cs="Arial"/>
          <w:sz w:val="24"/>
          <w:szCs w:val="24"/>
          <w:lang w:eastAsia="en-GB"/>
        </w:rPr>
        <w:t xml:space="preserve"> Available at: https://www.cityofgolden.net/media/CommunityEngagementPlan.pdf [Accessed 12 Jul. 2021].</w:t>
      </w:r>
    </w:p>
    <w:p w14:paraId="35E9248D" w14:textId="77777777" w:rsidR="007D5567" w:rsidRPr="007D5567" w:rsidRDefault="007D5567" w:rsidP="007D5567">
      <w:pPr>
        <w:pStyle w:val="ListParagraph"/>
        <w:numPr>
          <w:ilvl w:val="0"/>
          <w:numId w:val="11"/>
        </w:numPr>
        <w:spacing w:after="240" w:line="360" w:lineRule="auto"/>
        <w:rPr>
          <w:rFonts w:ascii="Arial" w:eastAsia="Times New Roman" w:hAnsi="Arial" w:cs="Arial"/>
          <w:sz w:val="24"/>
          <w:szCs w:val="24"/>
          <w:lang w:eastAsia="en-GB"/>
        </w:rPr>
      </w:pPr>
      <w:proofErr w:type="spellStart"/>
      <w:r w:rsidRPr="007D5567">
        <w:rPr>
          <w:rFonts w:ascii="Arial" w:eastAsia="Times New Roman" w:hAnsi="Arial" w:cs="Arial"/>
          <w:sz w:val="24"/>
          <w:szCs w:val="24"/>
          <w:lang w:eastAsia="en-GB"/>
        </w:rPr>
        <w:t>Consensusinc</w:t>
      </w:r>
      <w:proofErr w:type="spellEnd"/>
      <w:r w:rsidRPr="007D5567">
        <w:rPr>
          <w:rFonts w:ascii="Arial" w:eastAsia="Times New Roman" w:hAnsi="Arial" w:cs="Arial"/>
          <w:sz w:val="24"/>
          <w:szCs w:val="24"/>
          <w:lang w:eastAsia="en-GB"/>
        </w:rPr>
        <w:t xml:space="preserve"> (2017). </w:t>
      </w:r>
      <w:r w:rsidRPr="007D5567">
        <w:rPr>
          <w:rFonts w:ascii="Arial" w:eastAsia="Times New Roman" w:hAnsi="Arial" w:cs="Arial"/>
          <w:i/>
          <w:iCs/>
          <w:sz w:val="24"/>
          <w:szCs w:val="24"/>
          <w:lang w:eastAsia="en-GB"/>
        </w:rPr>
        <w:t>Event Planning for Community Engagement</w:t>
      </w:r>
      <w:r w:rsidRPr="007D5567">
        <w:rPr>
          <w:rFonts w:ascii="Arial" w:eastAsia="Times New Roman" w:hAnsi="Arial" w:cs="Arial"/>
          <w:sz w:val="24"/>
          <w:szCs w:val="24"/>
          <w:lang w:eastAsia="en-GB"/>
        </w:rPr>
        <w:t>. [online] Consensus. Available at: https://consensusinc.com/event-planning-community-engagement-consensus-inc/ [Accessed 13 Jul. 2021].</w:t>
      </w:r>
    </w:p>
    <w:p w14:paraId="4C2C0DB6" w14:textId="77777777" w:rsidR="007D5567" w:rsidRPr="007D5567" w:rsidRDefault="007D5567" w:rsidP="007D5567">
      <w:pPr>
        <w:pStyle w:val="ListParagraph"/>
        <w:numPr>
          <w:ilvl w:val="0"/>
          <w:numId w:val="11"/>
        </w:numPr>
        <w:spacing w:after="240" w:line="360" w:lineRule="auto"/>
        <w:rPr>
          <w:rFonts w:ascii="Arial" w:eastAsia="Times New Roman" w:hAnsi="Arial" w:cs="Arial"/>
          <w:sz w:val="24"/>
          <w:szCs w:val="24"/>
          <w:lang w:eastAsia="en-GB"/>
        </w:rPr>
      </w:pPr>
      <w:r w:rsidRPr="007D5567">
        <w:rPr>
          <w:rFonts w:ascii="Arial" w:eastAsia="Times New Roman" w:hAnsi="Arial" w:cs="Arial"/>
          <w:sz w:val="24"/>
          <w:szCs w:val="24"/>
          <w:lang w:eastAsia="en-GB"/>
        </w:rPr>
        <w:t xml:space="preserve">Creative Placemaking (2020). </w:t>
      </w:r>
      <w:r w:rsidRPr="007D5567">
        <w:rPr>
          <w:rFonts w:ascii="Arial" w:eastAsia="Times New Roman" w:hAnsi="Arial" w:cs="Arial"/>
          <w:i/>
          <w:iCs/>
          <w:sz w:val="24"/>
          <w:szCs w:val="24"/>
          <w:lang w:eastAsia="en-GB"/>
        </w:rPr>
        <w:t xml:space="preserve">A Guide to Engaging the Community in Your Project – </w:t>
      </w:r>
      <w:proofErr w:type="spellStart"/>
      <w:r w:rsidRPr="007D5567">
        <w:rPr>
          <w:rFonts w:ascii="Arial" w:eastAsia="Times New Roman" w:hAnsi="Arial" w:cs="Arial"/>
          <w:i/>
          <w:iCs/>
          <w:sz w:val="24"/>
          <w:szCs w:val="24"/>
          <w:lang w:eastAsia="en-GB"/>
        </w:rPr>
        <w:t>ArtscapeDIY</w:t>
      </w:r>
      <w:proofErr w:type="spellEnd"/>
      <w:r w:rsidRPr="007D5567">
        <w:rPr>
          <w:rFonts w:ascii="Arial" w:eastAsia="Times New Roman" w:hAnsi="Arial" w:cs="Arial"/>
          <w:sz w:val="24"/>
          <w:szCs w:val="24"/>
          <w:lang w:eastAsia="en-GB"/>
        </w:rPr>
        <w:t>. [online] Available at: https://www.artscapediy.org/guide/a-guide-to-engaging-the-community-in-your-project/ [Accessed 12 Jul. 2021].</w:t>
      </w:r>
    </w:p>
    <w:p w14:paraId="5116ECD0" w14:textId="77777777" w:rsidR="007D5567" w:rsidRPr="007D5567" w:rsidRDefault="007D5567" w:rsidP="007D5567">
      <w:pPr>
        <w:pStyle w:val="ListParagraph"/>
        <w:numPr>
          <w:ilvl w:val="0"/>
          <w:numId w:val="11"/>
        </w:numPr>
        <w:spacing w:after="240" w:line="360" w:lineRule="auto"/>
        <w:rPr>
          <w:rFonts w:ascii="Arial" w:eastAsia="Times New Roman" w:hAnsi="Arial" w:cs="Arial"/>
          <w:sz w:val="24"/>
          <w:szCs w:val="24"/>
          <w:lang w:eastAsia="en-GB"/>
        </w:rPr>
      </w:pPr>
      <w:r w:rsidRPr="007D5567">
        <w:rPr>
          <w:rFonts w:ascii="Arial" w:eastAsia="Times New Roman" w:hAnsi="Arial" w:cs="Arial"/>
          <w:sz w:val="24"/>
          <w:szCs w:val="24"/>
          <w:lang w:eastAsia="en-GB"/>
        </w:rPr>
        <w:t xml:space="preserve">GC (2017). </w:t>
      </w:r>
      <w:r w:rsidRPr="007D5567">
        <w:rPr>
          <w:rFonts w:ascii="Arial" w:eastAsia="Times New Roman" w:hAnsi="Arial" w:cs="Arial"/>
          <w:i/>
          <w:iCs/>
          <w:sz w:val="24"/>
          <w:szCs w:val="24"/>
          <w:lang w:eastAsia="en-GB"/>
        </w:rPr>
        <w:t>Five Steps to Successful Community Engagement</w:t>
      </w:r>
      <w:r w:rsidRPr="007D5567">
        <w:rPr>
          <w:rFonts w:ascii="Arial" w:eastAsia="Times New Roman" w:hAnsi="Arial" w:cs="Arial"/>
          <w:sz w:val="24"/>
          <w:szCs w:val="24"/>
          <w:lang w:eastAsia="en-GB"/>
        </w:rPr>
        <w:t>. [online] Global Communities. Available at: https://www.globalcommunities.org/community-engagement-mobilization [Accessed 10 Jul. 2021].</w:t>
      </w:r>
    </w:p>
    <w:p w14:paraId="7787BE67" w14:textId="77777777" w:rsidR="007D5567" w:rsidRPr="007D5567" w:rsidRDefault="007D5567" w:rsidP="007D5567">
      <w:pPr>
        <w:pStyle w:val="ListParagraph"/>
        <w:numPr>
          <w:ilvl w:val="0"/>
          <w:numId w:val="11"/>
        </w:numPr>
        <w:spacing w:after="240" w:line="360" w:lineRule="auto"/>
        <w:rPr>
          <w:rFonts w:ascii="Arial" w:eastAsia="Times New Roman" w:hAnsi="Arial" w:cs="Arial"/>
          <w:sz w:val="24"/>
          <w:szCs w:val="24"/>
          <w:lang w:eastAsia="en-GB"/>
        </w:rPr>
      </w:pPr>
      <w:r w:rsidRPr="007D5567">
        <w:rPr>
          <w:rFonts w:ascii="Arial" w:eastAsia="Times New Roman" w:hAnsi="Arial" w:cs="Arial"/>
          <w:sz w:val="24"/>
          <w:szCs w:val="24"/>
          <w:lang w:eastAsia="en-GB"/>
        </w:rPr>
        <w:t xml:space="preserve">Gov (2021). </w:t>
      </w:r>
      <w:r w:rsidRPr="007D5567">
        <w:rPr>
          <w:rFonts w:ascii="Arial" w:eastAsia="Times New Roman" w:hAnsi="Arial" w:cs="Arial"/>
          <w:i/>
          <w:iCs/>
          <w:sz w:val="24"/>
          <w:szCs w:val="24"/>
          <w:lang w:eastAsia="en-GB"/>
        </w:rPr>
        <w:t>Not another consultation! Making community engagement informal and fun</w:t>
      </w:r>
      <w:r w:rsidRPr="007D5567">
        <w:rPr>
          <w:rFonts w:ascii="Arial" w:eastAsia="Times New Roman" w:hAnsi="Arial" w:cs="Arial"/>
          <w:sz w:val="24"/>
          <w:szCs w:val="24"/>
          <w:lang w:eastAsia="en-GB"/>
        </w:rPr>
        <w:t>. [online</w:t>
      </w:r>
      <w:proofErr w:type="gramStart"/>
      <w:r w:rsidRPr="007D5567">
        <w:rPr>
          <w:rFonts w:ascii="Arial" w:eastAsia="Times New Roman" w:hAnsi="Arial" w:cs="Arial"/>
          <w:sz w:val="24"/>
          <w:szCs w:val="24"/>
          <w:lang w:eastAsia="en-GB"/>
        </w:rPr>
        <w:t>] .</w:t>
      </w:r>
      <w:proofErr w:type="gramEnd"/>
      <w:r w:rsidRPr="007D5567">
        <w:rPr>
          <w:rFonts w:ascii="Arial" w:eastAsia="Times New Roman" w:hAnsi="Arial" w:cs="Arial"/>
          <w:sz w:val="24"/>
          <w:szCs w:val="24"/>
          <w:lang w:eastAsia="en-GB"/>
        </w:rPr>
        <w:t xml:space="preserve"> Available at: https://www.involve.org.uk/sites/default/files/uploads/Not-Another-Consultation.pdf [Accessed 12 Jul. 2021].</w:t>
      </w:r>
    </w:p>
    <w:p w14:paraId="2DA06344" w14:textId="77777777" w:rsidR="007D5567" w:rsidRPr="007D5567" w:rsidRDefault="007D5567" w:rsidP="007D5567">
      <w:pPr>
        <w:pStyle w:val="ListParagraph"/>
        <w:numPr>
          <w:ilvl w:val="0"/>
          <w:numId w:val="11"/>
        </w:numPr>
        <w:spacing w:after="240" w:line="360" w:lineRule="auto"/>
        <w:rPr>
          <w:rFonts w:ascii="Arial" w:eastAsia="Times New Roman" w:hAnsi="Arial" w:cs="Arial"/>
          <w:sz w:val="24"/>
          <w:szCs w:val="24"/>
          <w:lang w:eastAsia="en-GB"/>
        </w:rPr>
      </w:pPr>
      <w:r w:rsidRPr="007D5567">
        <w:rPr>
          <w:rFonts w:ascii="Arial" w:eastAsia="Times New Roman" w:hAnsi="Arial" w:cs="Arial"/>
          <w:sz w:val="24"/>
          <w:szCs w:val="24"/>
          <w:lang w:eastAsia="en-GB"/>
        </w:rPr>
        <w:t xml:space="preserve">LGA (2020). </w:t>
      </w:r>
      <w:r w:rsidRPr="007D5567">
        <w:rPr>
          <w:rFonts w:ascii="Arial" w:eastAsia="Times New Roman" w:hAnsi="Arial" w:cs="Arial"/>
          <w:i/>
          <w:iCs/>
          <w:sz w:val="24"/>
          <w:szCs w:val="24"/>
          <w:lang w:eastAsia="en-GB"/>
        </w:rPr>
        <w:t>Community engagement and coordination | Local Government Association</w:t>
      </w:r>
      <w:r w:rsidRPr="007D5567">
        <w:rPr>
          <w:rFonts w:ascii="Arial" w:eastAsia="Times New Roman" w:hAnsi="Arial" w:cs="Arial"/>
          <w:sz w:val="24"/>
          <w:szCs w:val="24"/>
          <w:lang w:eastAsia="en-GB"/>
        </w:rPr>
        <w:t>. [online] local.gov.uk. Available at: https://local.gov.uk/topics/economic-growth/revitalising-town-centres-toolkit-councils/folk/community-engagement-and [Accessed 9 Jul. 2021].</w:t>
      </w:r>
    </w:p>
    <w:p w14:paraId="0355B294" w14:textId="09B07810" w:rsidR="00417907" w:rsidRPr="007D5567" w:rsidRDefault="00417907" w:rsidP="00D40516">
      <w:pPr>
        <w:ind w:firstLine="851"/>
        <w:jc w:val="both"/>
        <w:rPr>
          <w:rFonts w:ascii="Arial" w:hAnsi="Arial" w:cs="Arial"/>
          <w:sz w:val="24"/>
          <w:szCs w:val="24"/>
        </w:rPr>
      </w:pPr>
    </w:p>
    <w:p w14:paraId="51FABC4D" w14:textId="77777777" w:rsidR="00417907" w:rsidRPr="007D5567" w:rsidRDefault="00417907" w:rsidP="00D40516">
      <w:pPr>
        <w:ind w:firstLine="851"/>
        <w:jc w:val="both"/>
        <w:rPr>
          <w:rFonts w:ascii="Arial" w:hAnsi="Arial" w:cs="Arial"/>
          <w:sz w:val="24"/>
          <w:szCs w:val="24"/>
        </w:rPr>
      </w:pPr>
    </w:p>
    <w:p w14:paraId="2BDA0122" w14:textId="77777777" w:rsidR="009607E8" w:rsidRPr="007D5567" w:rsidRDefault="009607E8" w:rsidP="009607E8">
      <w:pPr>
        <w:ind w:firstLine="851"/>
        <w:jc w:val="both"/>
        <w:rPr>
          <w:rFonts w:ascii="Arial" w:hAnsi="Arial" w:cs="Arial"/>
          <w:sz w:val="24"/>
          <w:szCs w:val="24"/>
        </w:rPr>
      </w:pPr>
    </w:p>
    <w:sectPr w:rsidR="009607E8" w:rsidRPr="007D556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79B11" w14:textId="77777777" w:rsidR="00BD38A2" w:rsidRDefault="00BD38A2" w:rsidP="00B0070F">
      <w:pPr>
        <w:spacing w:after="0" w:line="240" w:lineRule="auto"/>
      </w:pPr>
      <w:r>
        <w:separator/>
      </w:r>
    </w:p>
  </w:endnote>
  <w:endnote w:type="continuationSeparator" w:id="0">
    <w:p w14:paraId="78704E52" w14:textId="77777777" w:rsidR="00BD38A2" w:rsidRDefault="00BD38A2" w:rsidP="00B00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749618"/>
      <w:docPartObj>
        <w:docPartGallery w:val="Page Numbers (Bottom of Page)"/>
        <w:docPartUnique/>
      </w:docPartObj>
    </w:sdtPr>
    <w:sdtEndPr>
      <w:rPr>
        <w:noProof/>
      </w:rPr>
    </w:sdtEndPr>
    <w:sdtContent>
      <w:p w14:paraId="1074ED89" w14:textId="753C175E" w:rsidR="00B0070F" w:rsidRDefault="00B007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44205E" w14:textId="77777777" w:rsidR="00B0070F" w:rsidRDefault="00B00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A72A1" w14:textId="77777777" w:rsidR="00BD38A2" w:rsidRDefault="00BD38A2" w:rsidP="00B0070F">
      <w:pPr>
        <w:spacing w:after="0" w:line="240" w:lineRule="auto"/>
      </w:pPr>
      <w:r>
        <w:separator/>
      </w:r>
    </w:p>
  </w:footnote>
  <w:footnote w:type="continuationSeparator" w:id="0">
    <w:p w14:paraId="7D4B22E5" w14:textId="77777777" w:rsidR="00BD38A2" w:rsidRDefault="00BD38A2" w:rsidP="00B007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009D"/>
    <w:multiLevelType w:val="hybridMultilevel"/>
    <w:tmpl w:val="5E38EBD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05BE0310"/>
    <w:multiLevelType w:val="hybridMultilevel"/>
    <w:tmpl w:val="59E4E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700516"/>
    <w:multiLevelType w:val="multilevel"/>
    <w:tmpl w:val="2CEA71C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FB3850"/>
    <w:multiLevelType w:val="hybridMultilevel"/>
    <w:tmpl w:val="15B04C5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12C07B40"/>
    <w:multiLevelType w:val="hybridMultilevel"/>
    <w:tmpl w:val="2FD2DD5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2D106B81"/>
    <w:multiLevelType w:val="hybridMultilevel"/>
    <w:tmpl w:val="E7C86E7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4C680795"/>
    <w:multiLevelType w:val="hybridMultilevel"/>
    <w:tmpl w:val="2228AA7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5EFA5CDE"/>
    <w:multiLevelType w:val="hybridMultilevel"/>
    <w:tmpl w:val="F174B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342E80"/>
    <w:multiLevelType w:val="hybridMultilevel"/>
    <w:tmpl w:val="555ABC3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69BA6440"/>
    <w:multiLevelType w:val="hybridMultilevel"/>
    <w:tmpl w:val="8CAC0FD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6B1C63A7"/>
    <w:multiLevelType w:val="hybridMultilevel"/>
    <w:tmpl w:val="91747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5"/>
  </w:num>
  <w:num w:numId="4">
    <w:abstractNumId w:val="0"/>
  </w:num>
  <w:num w:numId="5">
    <w:abstractNumId w:val="4"/>
  </w:num>
  <w:num w:numId="6">
    <w:abstractNumId w:val="8"/>
  </w:num>
  <w:num w:numId="7">
    <w:abstractNumId w:val="7"/>
  </w:num>
  <w:num w:numId="8">
    <w:abstractNumId w:val="9"/>
  </w:num>
  <w:num w:numId="9">
    <w:abstractNumId w:val="6"/>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0MzOzMDc3NrU0NjJT0lEKTi0uzszPAymwqAUAyQ2RzSwAAAA="/>
  </w:docVars>
  <w:rsids>
    <w:rsidRoot w:val="00941E9F"/>
    <w:rsid w:val="00003969"/>
    <w:rsid w:val="00005401"/>
    <w:rsid w:val="0001363D"/>
    <w:rsid w:val="0003023A"/>
    <w:rsid w:val="000312E2"/>
    <w:rsid w:val="00052D32"/>
    <w:rsid w:val="00060171"/>
    <w:rsid w:val="00080372"/>
    <w:rsid w:val="000C4C1C"/>
    <w:rsid w:val="000E3CFC"/>
    <w:rsid w:val="00105CB5"/>
    <w:rsid w:val="00131344"/>
    <w:rsid w:val="001620EA"/>
    <w:rsid w:val="00177959"/>
    <w:rsid w:val="00183CC2"/>
    <w:rsid w:val="001A45F3"/>
    <w:rsid w:val="001A6D24"/>
    <w:rsid w:val="001B2115"/>
    <w:rsid w:val="001D347F"/>
    <w:rsid w:val="001F202B"/>
    <w:rsid w:val="00200B4E"/>
    <w:rsid w:val="002159A8"/>
    <w:rsid w:val="0022574D"/>
    <w:rsid w:val="00246DE8"/>
    <w:rsid w:val="0029325F"/>
    <w:rsid w:val="002A5735"/>
    <w:rsid w:val="002E7B64"/>
    <w:rsid w:val="002F0152"/>
    <w:rsid w:val="00305912"/>
    <w:rsid w:val="00310AA8"/>
    <w:rsid w:val="0036708C"/>
    <w:rsid w:val="0037281C"/>
    <w:rsid w:val="00380DC4"/>
    <w:rsid w:val="00381012"/>
    <w:rsid w:val="00382322"/>
    <w:rsid w:val="00396700"/>
    <w:rsid w:val="003977BA"/>
    <w:rsid w:val="003A5E0F"/>
    <w:rsid w:val="003F2241"/>
    <w:rsid w:val="003F5F51"/>
    <w:rsid w:val="0040588B"/>
    <w:rsid w:val="00417907"/>
    <w:rsid w:val="0043245C"/>
    <w:rsid w:val="00446AB3"/>
    <w:rsid w:val="0048486A"/>
    <w:rsid w:val="00497C5E"/>
    <w:rsid w:val="004A20F8"/>
    <w:rsid w:val="004C4803"/>
    <w:rsid w:val="004D067A"/>
    <w:rsid w:val="004E07E9"/>
    <w:rsid w:val="004E293E"/>
    <w:rsid w:val="0052100A"/>
    <w:rsid w:val="00530CD9"/>
    <w:rsid w:val="00560568"/>
    <w:rsid w:val="00564AC8"/>
    <w:rsid w:val="00573DE9"/>
    <w:rsid w:val="00585A6E"/>
    <w:rsid w:val="00587FDE"/>
    <w:rsid w:val="005926C5"/>
    <w:rsid w:val="005A59F1"/>
    <w:rsid w:val="005D3898"/>
    <w:rsid w:val="005E6D19"/>
    <w:rsid w:val="005F1031"/>
    <w:rsid w:val="005F1159"/>
    <w:rsid w:val="005F6F37"/>
    <w:rsid w:val="006022E1"/>
    <w:rsid w:val="0061568A"/>
    <w:rsid w:val="006202E9"/>
    <w:rsid w:val="00641A34"/>
    <w:rsid w:val="00643FF0"/>
    <w:rsid w:val="006601CC"/>
    <w:rsid w:val="00667DB7"/>
    <w:rsid w:val="00672711"/>
    <w:rsid w:val="00684B21"/>
    <w:rsid w:val="006A1BBF"/>
    <w:rsid w:val="006A29BE"/>
    <w:rsid w:val="006C4CAB"/>
    <w:rsid w:val="006E5B77"/>
    <w:rsid w:val="006F4B68"/>
    <w:rsid w:val="00710CE5"/>
    <w:rsid w:val="00730A57"/>
    <w:rsid w:val="00743DB7"/>
    <w:rsid w:val="00756D1E"/>
    <w:rsid w:val="0076193C"/>
    <w:rsid w:val="007623D5"/>
    <w:rsid w:val="007D5567"/>
    <w:rsid w:val="007E4BD1"/>
    <w:rsid w:val="007E5A5E"/>
    <w:rsid w:val="008171E6"/>
    <w:rsid w:val="0085214E"/>
    <w:rsid w:val="00855E90"/>
    <w:rsid w:val="00861698"/>
    <w:rsid w:val="00865C61"/>
    <w:rsid w:val="0087698C"/>
    <w:rsid w:val="0088384D"/>
    <w:rsid w:val="008F31B4"/>
    <w:rsid w:val="00903A82"/>
    <w:rsid w:val="009215D4"/>
    <w:rsid w:val="00934A54"/>
    <w:rsid w:val="00941E9F"/>
    <w:rsid w:val="009434E8"/>
    <w:rsid w:val="009507CC"/>
    <w:rsid w:val="00952DF9"/>
    <w:rsid w:val="00953CAA"/>
    <w:rsid w:val="009607E8"/>
    <w:rsid w:val="00982290"/>
    <w:rsid w:val="00987418"/>
    <w:rsid w:val="00996297"/>
    <w:rsid w:val="009B6F9B"/>
    <w:rsid w:val="009E45A1"/>
    <w:rsid w:val="009E738A"/>
    <w:rsid w:val="009F31FD"/>
    <w:rsid w:val="009F3947"/>
    <w:rsid w:val="009F3964"/>
    <w:rsid w:val="009F3BE6"/>
    <w:rsid w:val="00A15F03"/>
    <w:rsid w:val="00A60630"/>
    <w:rsid w:val="00A63E9E"/>
    <w:rsid w:val="00A74088"/>
    <w:rsid w:val="00A91461"/>
    <w:rsid w:val="00AB05E7"/>
    <w:rsid w:val="00AB2D84"/>
    <w:rsid w:val="00AC1241"/>
    <w:rsid w:val="00AE0D41"/>
    <w:rsid w:val="00B0070F"/>
    <w:rsid w:val="00B06020"/>
    <w:rsid w:val="00B174EE"/>
    <w:rsid w:val="00B829BC"/>
    <w:rsid w:val="00BA10C5"/>
    <w:rsid w:val="00BB301A"/>
    <w:rsid w:val="00BC0A0F"/>
    <w:rsid w:val="00BD13BB"/>
    <w:rsid w:val="00BD38A2"/>
    <w:rsid w:val="00C01CF7"/>
    <w:rsid w:val="00C0394D"/>
    <w:rsid w:val="00C06C5C"/>
    <w:rsid w:val="00C12B09"/>
    <w:rsid w:val="00C2753B"/>
    <w:rsid w:val="00C44738"/>
    <w:rsid w:val="00C621C9"/>
    <w:rsid w:val="00C649D7"/>
    <w:rsid w:val="00C658DD"/>
    <w:rsid w:val="00C65C10"/>
    <w:rsid w:val="00C82E31"/>
    <w:rsid w:val="00CC3B98"/>
    <w:rsid w:val="00CE598B"/>
    <w:rsid w:val="00D0611A"/>
    <w:rsid w:val="00D1234B"/>
    <w:rsid w:val="00D12E7D"/>
    <w:rsid w:val="00D401CF"/>
    <w:rsid w:val="00D40516"/>
    <w:rsid w:val="00D5334D"/>
    <w:rsid w:val="00D5526A"/>
    <w:rsid w:val="00D7079B"/>
    <w:rsid w:val="00D71A0B"/>
    <w:rsid w:val="00D9000B"/>
    <w:rsid w:val="00D9439A"/>
    <w:rsid w:val="00DD45A7"/>
    <w:rsid w:val="00DF4BC4"/>
    <w:rsid w:val="00E15B08"/>
    <w:rsid w:val="00E3562F"/>
    <w:rsid w:val="00E6008D"/>
    <w:rsid w:val="00E60546"/>
    <w:rsid w:val="00E865CF"/>
    <w:rsid w:val="00E95027"/>
    <w:rsid w:val="00E95CF4"/>
    <w:rsid w:val="00E96B79"/>
    <w:rsid w:val="00ED1721"/>
    <w:rsid w:val="00ED59C6"/>
    <w:rsid w:val="00EE7A31"/>
    <w:rsid w:val="00EF0761"/>
    <w:rsid w:val="00F14879"/>
    <w:rsid w:val="00F21CB7"/>
    <w:rsid w:val="00FC6751"/>
    <w:rsid w:val="00FD375E"/>
    <w:rsid w:val="00FD72C4"/>
    <w:rsid w:val="00FE2792"/>
    <w:rsid w:val="00FF1A7F"/>
    <w:rsid w:val="00FF3616"/>
    <w:rsid w:val="00FF6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D1426"/>
  <w15:chartTrackingRefBased/>
  <w15:docId w15:val="{712874D4-3F28-4D3F-98C8-D15655944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3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9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05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5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0516"/>
    <w:rPr>
      <w:rFonts w:eastAsiaTheme="minorEastAsia"/>
      <w:color w:val="5A5A5A" w:themeColor="text1" w:themeTint="A5"/>
      <w:spacing w:val="15"/>
    </w:rPr>
  </w:style>
  <w:style w:type="paragraph" w:styleId="Header">
    <w:name w:val="header"/>
    <w:basedOn w:val="Normal"/>
    <w:link w:val="HeaderChar"/>
    <w:uiPriority w:val="99"/>
    <w:unhideWhenUsed/>
    <w:rsid w:val="00B00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70F"/>
  </w:style>
  <w:style w:type="paragraph" w:styleId="Footer">
    <w:name w:val="footer"/>
    <w:basedOn w:val="Normal"/>
    <w:link w:val="FooterChar"/>
    <w:uiPriority w:val="99"/>
    <w:unhideWhenUsed/>
    <w:rsid w:val="00B00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70F"/>
  </w:style>
  <w:style w:type="character" w:styleId="Hyperlink">
    <w:name w:val="Hyperlink"/>
    <w:basedOn w:val="DefaultParagraphFont"/>
    <w:uiPriority w:val="99"/>
    <w:unhideWhenUsed/>
    <w:rsid w:val="00FC6751"/>
    <w:rPr>
      <w:color w:val="0000FF"/>
      <w:u w:val="single"/>
    </w:rPr>
  </w:style>
  <w:style w:type="character" w:customStyle="1" w:styleId="Heading1Char">
    <w:name w:val="Heading 1 Char"/>
    <w:basedOn w:val="DefaultParagraphFont"/>
    <w:link w:val="Heading1"/>
    <w:uiPriority w:val="9"/>
    <w:rsid w:val="00BD13B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43D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7698C"/>
    <w:pPr>
      <w:outlineLvl w:val="9"/>
    </w:pPr>
    <w:rPr>
      <w:lang w:val="en-US"/>
    </w:rPr>
  </w:style>
  <w:style w:type="paragraph" w:styleId="TOC1">
    <w:name w:val="toc 1"/>
    <w:basedOn w:val="Normal"/>
    <w:next w:val="Normal"/>
    <w:autoRedefine/>
    <w:uiPriority w:val="39"/>
    <w:unhideWhenUsed/>
    <w:rsid w:val="0087698C"/>
    <w:pPr>
      <w:spacing w:after="100"/>
    </w:pPr>
  </w:style>
  <w:style w:type="character" w:customStyle="1" w:styleId="Heading2Char">
    <w:name w:val="Heading 2 Char"/>
    <w:basedOn w:val="DefaultParagraphFont"/>
    <w:link w:val="Heading2"/>
    <w:uiPriority w:val="9"/>
    <w:rsid w:val="007619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D347F"/>
    <w:pPr>
      <w:spacing w:after="100"/>
      <w:ind w:left="220"/>
    </w:pPr>
  </w:style>
  <w:style w:type="paragraph" w:styleId="ListParagraph">
    <w:name w:val="List Paragraph"/>
    <w:basedOn w:val="Normal"/>
    <w:uiPriority w:val="34"/>
    <w:qFormat/>
    <w:rsid w:val="00D533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267099">
      <w:bodyDiv w:val="1"/>
      <w:marLeft w:val="0"/>
      <w:marRight w:val="0"/>
      <w:marTop w:val="0"/>
      <w:marBottom w:val="0"/>
      <w:divBdr>
        <w:top w:val="none" w:sz="0" w:space="0" w:color="auto"/>
        <w:left w:val="none" w:sz="0" w:space="0" w:color="auto"/>
        <w:bottom w:val="none" w:sz="0" w:space="0" w:color="auto"/>
        <w:right w:val="none" w:sz="0" w:space="0" w:color="auto"/>
      </w:divBdr>
      <w:divsChild>
        <w:div w:id="941228953">
          <w:marLeft w:val="0"/>
          <w:marRight w:val="0"/>
          <w:marTop w:val="0"/>
          <w:marBottom w:val="0"/>
          <w:divBdr>
            <w:top w:val="none" w:sz="0" w:space="0" w:color="auto"/>
            <w:left w:val="none" w:sz="0" w:space="0" w:color="auto"/>
            <w:bottom w:val="none" w:sz="0" w:space="0" w:color="auto"/>
            <w:right w:val="none" w:sz="0" w:space="0" w:color="auto"/>
          </w:divBdr>
        </w:div>
      </w:divsChild>
    </w:div>
    <w:div w:id="834029692">
      <w:bodyDiv w:val="1"/>
      <w:marLeft w:val="0"/>
      <w:marRight w:val="0"/>
      <w:marTop w:val="0"/>
      <w:marBottom w:val="0"/>
      <w:divBdr>
        <w:top w:val="none" w:sz="0" w:space="0" w:color="auto"/>
        <w:left w:val="none" w:sz="0" w:space="0" w:color="auto"/>
        <w:bottom w:val="none" w:sz="0" w:space="0" w:color="auto"/>
        <w:right w:val="none" w:sz="0" w:space="0" w:color="auto"/>
      </w:divBdr>
      <w:divsChild>
        <w:div w:id="1957786506">
          <w:marLeft w:val="0"/>
          <w:marRight w:val="0"/>
          <w:marTop w:val="0"/>
          <w:marBottom w:val="0"/>
          <w:divBdr>
            <w:top w:val="none" w:sz="0" w:space="0" w:color="auto"/>
            <w:left w:val="none" w:sz="0" w:space="0" w:color="auto"/>
            <w:bottom w:val="none" w:sz="0" w:space="0" w:color="auto"/>
            <w:right w:val="none" w:sz="0" w:space="0" w:color="auto"/>
          </w:divBdr>
        </w:div>
      </w:divsChild>
    </w:div>
    <w:div w:id="1222061688">
      <w:bodyDiv w:val="1"/>
      <w:marLeft w:val="0"/>
      <w:marRight w:val="0"/>
      <w:marTop w:val="0"/>
      <w:marBottom w:val="0"/>
      <w:divBdr>
        <w:top w:val="none" w:sz="0" w:space="0" w:color="auto"/>
        <w:left w:val="none" w:sz="0" w:space="0" w:color="auto"/>
        <w:bottom w:val="none" w:sz="0" w:space="0" w:color="auto"/>
        <w:right w:val="none" w:sz="0" w:space="0" w:color="auto"/>
      </w:divBdr>
      <w:divsChild>
        <w:div w:id="4597788">
          <w:marLeft w:val="0"/>
          <w:marRight w:val="0"/>
          <w:marTop w:val="0"/>
          <w:marBottom w:val="0"/>
          <w:divBdr>
            <w:top w:val="none" w:sz="0" w:space="0" w:color="auto"/>
            <w:left w:val="none" w:sz="0" w:space="0" w:color="auto"/>
            <w:bottom w:val="none" w:sz="0" w:space="0" w:color="auto"/>
            <w:right w:val="none" w:sz="0" w:space="0" w:color="auto"/>
          </w:divBdr>
        </w:div>
      </w:divsChild>
    </w:div>
    <w:div w:id="1339236211">
      <w:bodyDiv w:val="1"/>
      <w:marLeft w:val="0"/>
      <w:marRight w:val="0"/>
      <w:marTop w:val="0"/>
      <w:marBottom w:val="0"/>
      <w:divBdr>
        <w:top w:val="none" w:sz="0" w:space="0" w:color="auto"/>
        <w:left w:val="none" w:sz="0" w:space="0" w:color="auto"/>
        <w:bottom w:val="none" w:sz="0" w:space="0" w:color="auto"/>
        <w:right w:val="none" w:sz="0" w:space="0" w:color="auto"/>
      </w:divBdr>
    </w:div>
    <w:div w:id="1715496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2525</Words>
  <Characters>14397</Characters>
  <Application>Microsoft Office Word</Application>
  <DocSecurity>0</DocSecurity>
  <Lines>119</Lines>
  <Paragraphs>33</Paragraphs>
  <ScaleCrop>false</ScaleCrop>
  <Company/>
  <LinksUpToDate>false</LinksUpToDate>
  <CharactersWithSpaces>16889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dc:creator>
  <cp:keywords/>
  <dc:description/>
  <cp:lastModifiedBy>Petar Valeriev Yanakiev (2008345)</cp:lastModifiedBy>
  <cp:revision>2</cp:revision>
  <dcterms:created xsi:type="dcterms:W3CDTF">2021-09-06T20:03:00Z</dcterms:created>
  <dcterms:modified xsi:type="dcterms:W3CDTF">2021-09-06T20:03:00Z</dcterms:modified>
</cp:coreProperties>
</file>