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167F4B" w:rsidRDefault="004F7421">
      <w:pPr>
        <w:jc w:val="center"/>
        <w:rPr>
          <w:rFonts w:cs="Times New Roman"/>
        </w:rPr>
      </w:pPr>
      <w:r>
        <w:rPr>
          <w:rFonts w:cs="Times New Roman"/>
          <w:noProof/>
        </w:rPr>
        <w:drawing>
          <wp:inline distT="0" distB="0" distL="0" distR="0">
            <wp:extent cx="2157095" cy="862965"/>
            <wp:effectExtent l="0" t="0" r="6985" b="5715"/>
            <wp:docPr id="2" name="Picture 2"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close up of a logo&#10;&#10;Description automatically generated"/>
                    <pic:cNvPicPr>
                      <a:picLocks noChangeAspect="1"/>
                    </pic:cNvPicPr>
                  </pic:nvPicPr>
                  <pic:blipFill>
                    <a:blip r:embed="rId7" cstate="print">
                      <a:extLst>
                        <a:ext uri="{28A0092B-C50C-407E-A947-70E740481C1C}">
                          <a14:useLocalDpi xmlns:a14="http://schemas.microsoft.com/office/drawing/2010/main" val="0"/>
                        </a:ext>
                      </a:extLst>
                    </a:blip>
                    <a:stretch>
                      <a:fillRect/>
                    </a:stretch>
                  </pic:blipFill>
                  <pic:spPr>
                    <a:xfrm>
                      <a:off x="0" y="0"/>
                      <a:ext cx="2176392" cy="871109"/>
                    </a:xfrm>
                    <a:prstGeom prst="rect">
                      <a:avLst/>
                    </a:prstGeom>
                  </pic:spPr>
                </pic:pic>
              </a:graphicData>
            </a:graphic>
          </wp:inline>
        </w:drawing>
      </w:r>
    </w:p>
    <w:p w:rsidR="00167F4B" w:rsidRDefault="00167F4B">
      <w:pPr>
        <w:rPr>
          <w:rFonts w:cs="Times New Roman"/>
        </w:rPr>
      </w:pPr>
    </w:p>
    <w:p w:rsidR="00167F4B" w:rsidRDefault="00167F4B">
      <w:pPr>
        <w:jc w:val="right"/>
        <w:rPr>
          <w:rFonts w:cs="Times New Roman"/>
          <w:szCs w:val="24"/>
        </w:rPr>
      </w:pPr>
    </w:p>
    <w:p w:rsidR="00167F4B" w:rsidRPr="001073B5" w:rsidRDefault="004F7421">
      <w:pPr>
        <w:jc w:val="right"/>
        <w:rPr>
          <w:rFonts w:ascii="Times New Roman" w:hAnsi="Times New Roman" w:cs="Times New Roman"/>
          <w:sz w:val="40"/>
          <w:szCs w:val="40"/>
        </w:rPr>
      </w:pPr>
      <w:r w:rsidRPr="001073B5">
        <w:rPr>
          <w:rFonts w:ascii="Times New Roman" w:hAnsi="Times New Roman" w:cs="Times New Roman"/>
          <w:sz w:val="40"/>
          <w:szCs w:val="40"/>
        </w:rPr>
        <w:t>Banking Financial Management and Financial Markets</w:t>
      </w:r>
    </w:p>
    <w:p w:rsidR="00167F4B" w:rsidRPr="001073B5" w:rsidRDefault="004F7421">
      <w:pPr>
        <w:ind w:firstLineChars="900" w:firstLine="3600"/>
        <w:jc w:val="both"/>
        <w:rPr>
          <w:rFonts w:ascii="Times New Roman" w:hAnsi="Times New Roman" w:cs="Times New Roman"/>
          <w:sz w:val="40"/>
          <w:szCs w:val="40"/>
          <w:lang w:val="en-IN"/>
        </w:rPr>
      </w:pPr>
      <w:r w:rsidRPr="001073B5">
        <w:rPr>
          <w:rFonts w:ascii="Times New Roman" w:hAnsi="Times New Roman" w:cs="Times New Roman"/>
          <w:sz w:val="40"/>
          <w:szCs w:val="40"/>
          <w:lang w:val="en-IN"/>
        </w:rPr>
        <w:t>(LCMB7012)</w:t>
      </w:r>
    </w:p>
    <w:p w:rsidR="00167F4B" w:rsidRPr="000B219D" w:rsidRDefault="00D93BD6" w:rsidP="00D93BD6">
      <w:pPr>
        <w:spacing w:after="0" w:line="480" w:lineRule="auto"/>
        <w:jc w:val="both"/>
        <w:rPr>
          <w:rFonts w:ascii="Times New Roman" w:hAnsi="Times New Roman" w:cs="Times New Roman"/>
          <w:b/>
          <w:bCs/>
          <w:sz w:val="40"/>
          <w:szCs w:val="40"/>
        </w:rPr>
      </w:pPr>
      <w:r>
        <w:rPr>
          <w:rFonts w:ascii="Times New Roman" w:hAnsi="Times New Roman" w:cs="Times New Roman"/>
          <w:b/>
          <w:bCs/>
          <w:sz w:val="40"/>
          <w:szCs w:val="40"/>
        </w:rPr>
        <w:t xml:space="preserve">                                      </w:t>
      </w:r>
      <w:r w:rsidR="004F7421" w:rsidRPr="000B219D">
        <w:rPr>
          <w:rFonts w:ascii="Times New Roman" w:hAnsi="Times New Roman" w:cs="Times New Roman"/>
          <w:b/>
          <w:bCs/>
          <w:sz w:val="40"/>
          <w:szCs w:val="40"/>
        </w:rPr>
        <w:t>JP Morgan</w:t>
      </w:r>
    </w:p>
    <w:p w:rsidR="00167F4B" w:rsidRPr="001073B5" w:rsidRDefault="00167F4B">
      <w:pPr>
        <w:rPr>
          <w:rFonts w:ascii="Times New Roman" w:hAnsi="Times New Roman" w:cs="Times New Roman"/>
          <w:szCs w:val="24"/>
        </w:rPr>
      </w:pPr>
    </w:p>
    <w:p w:rsidR="00167F4B" w:rsidRPr="001073B5" w:rsidRDefault="004F7421">
      <w:pPr>
        <w:rPr>
          <w:rFonts w:ascii="Times New Roman" w:hAnsi="Times New Roman" w:cs="Times New Roman"/>
          <w:sz w:val="28"/>
          <w:szCs w:val="28"/>
        </w:rPr>
      </w:pPr>
      <w:r w:rsidRPr="001073B5">
        <w:rPr>
          <w:rFonts w:ascii="Times New Roman" w:hAnsi="Times New Roman" w:cs="Times New Roman"/>
          <w:sz w:val="28"/>
          <w:szCs w:val="28"/>
        </w:rPr>
        <w:t xml:space="preserve">Student name: </w:t>
      </w:r>
      <w:r w:rsidR="001A1031" w:rsidRPr="001073B5">
        <w:rPr>
          <w:rFonts w:ascii="Times New Roman" w:hAnsi="Times New Roman" w:cs="Times New Roman"/>
          <w:sz w:val="28"/>
          <w:szCs w:val="28"/>
        </w:rPr>
        <w:t xml:space="preserve"> Ibrahim </w:t>
      </w:r>
      <w:proofErr w:type="spellStart"/>
      <w:r w:rsidR="001A1031" w:rsidRPr="001073B5">
        <w:rPr>
          <w:rFonts w:ascii="Times New Roman" w:hAnsi="Times New Roman" w:cs="Times New Roman"/>
          <w:sz w:val="28"/>
          <w:szCs w:val="28"/>
        </w:rPr>
        <w:t>Hazrat</w:t>
      </w:r>
      <w:proofErr w:type="spellEnd"/>
      <w:r w:rsidR="001A1031" w:rsidRPr="001073B5">
        <w:rPr>
          <w:rFonts w:ascii="Times New Roman" w:hAnsi="Times New Roman" w:cs="Times New Roman"/>
          <w:sz w:val="28"/>
          <w:szCs w:val="28"/>
        </w:rPr>
        <w:t xml:space="preserve"> Ali </w:t>
      </w:r>
      <w:proofErr w:type="spellStart"/>
      <w:r w:rsidR="00F73AC1" w:rsidRPr="001073B5">
        <w:rPr>
          <w:rFonts w:ascii="Times New Roman" w:hAnsi="Times New Roman" w:cs="Times New Roman"/>
          <w:sz w:val="28"/>
          <w:szCs w:val="28"/>
        </w:rPr>
        <w:t>Sardar</w:t>
      </w:r>
      <w:proofErr w:type="spellEnd"/>
    </w:p>
    <w:p w:rsidR="00167F4B" w:rsidRPr="001073B5" w:rsidRDefault="004F7421">
      <w:pPr>
        <w:rPr>
          <w:rFonts w:ascii="Times New Roman" w:hAnsi="Times New Roman" w:cs="Times New Roman"/>
          <w:sz w:val="28"/>
          <w:szCs w:val="28"/>
        </w:rPr>
      </w:pPr>
      <w:r w:rsidRPr="001073B5">
        <w:rPr>
          <w:rFonts w:ascii="Times New Roman" w:hAnsi="Times New Roman" w:cs="Times New Roman"/>
          <w:sz w:val="28"/>
          <w:szCs w:val="28"/>
        </w:rPr>
        <w:t xml:space="preserve">Student Number: </w:t>
      </w:r>
      <w:r w:rsidR="00F73AC1" w:rsidRPr="001073B5">
        <w:rPr>
          <w:rFonts w:ascii="Times New Roman" w:hAnsi="Times New Roman" w:cs="Times New Roman"/>
          <w:sz w:val="28"/>
          <w:szCs w:val="28"/>
        </w:rPr>
        <w:t>2215769</w:t>
      </w:r>
    </w:p>
    <w:p w:rsidR="00167F4B" w:rsidRPr="001073B5" w:rsidRDefault="004F7421">
      <w:pPr>
        <w:rPr>
          <w:rFonts w:ascii="Times New Roman" w:hAnsi="Times New Roman" w:cs="Times New Roman"/>
          <w:sz w:val="28"/>
          <w:szCs w:val="28"/>
        </w:rPr>
      </w:pPr>
      <w:r w:rsidRPr="001073B5">
        <w:rPr>
          <w:rFonts w:ascii="Times New Roman" w:hAnsi="Times New Roman" w:cs="Times New Roman"/>
          <w:sz w:val="28"/>
          <w:szCs w:val="28"/>
        </w:rPr>
        <w:t xml:space="preserve">Lecturer: </w:t>
      </w:r>
      <w:r w:rsidR="00F73AC1" w:rsidRPr="001073B5">
        <w:rPr>
          <w:rFonts w:ascii="Times New Roman" w:hAnsi="Times New Roman" w:cs="Times New Roman"/>
          <w:sz w:val="28"/>
          <w:szCs w:val="28"/>
        </w:rPr>
        <w:t>David Coker</w:t>
      </w:r>
    </w:p>
    <w:p w:rsidR="00167F4B" w:rsidRPr="001073B5" w:rsidRDefault="004F7421">
      <w:pPr>
        <w:rPr>
          <w:rFonts w:ascii="Times New Roman" w:hAnsi="Times New Roman" w:cs="Times New Roman"/>
          <w:sz w:val="24"/>
        </w:rPr>
      </w:pPr>
      <w:r w:rsidRPr="001073B5">
        <w:rPr>
          <w:rFonts w:ascii="Times New Roman" w:hAnsi="Times New Roman" w:cs="Times New Roman"/>
          <w:sz w:val="28"/>
          <w:szCs w:val="28"/>
        </w:rPr>
        <w:t xml:space="preserve">Submission Date: </w:t>
      </w:r>
      <w:r w:rsidR="007E4945" w:rsidRPr="001073B5">
        <w:rPr>
          <w:rFonts w:ascii="Times New Roman" w:hAnsi="Times New Roman" w:cs="Times New Roman"/>
          <w:sz w:val="28"/>
          <w:szCs w:val="28"/>
        </w:rPr>
        <w:t>02/01</w:t>
      </w:r>
      <w:r w:rsidR="000A5564" w:rsidRPr="001073B5">
        <w:rPr>
          <w:rFonts w:ascii="Times New Roman" w:hAnsi="Times New Roman" w:cs="Times New Roman"/>
          <w:sz w:val="28"/>
          <w:szCs w:val="28"/>
        </w:rPr>
        <w:t>/2024</w:t>
      </w:r>
    </w:p>
    <w:p w:rsidR="00167F4B" w:rsidRDefault="00167F4B">
      <w:pPr>
        <w:spacing w:after="0" w:line="480" w:lineRule="auto"/>
        <w:jc w:val="both"/>
        <w:rPr>
          <w:rFonts w:ascii="Times New Roman" w:hAnsi="Times New Roman"/>
          <w:sz w:val="24"/>
        </w:rPr>
      </w:pPr>
    </w:p>
    <w:p w:rsidR="00167F4B" w:rsidRDefault="00167F4B">
      <w:pPr>
        <w:spacing w:after="0" w:line="480" w:lineRule="auto"/>
        <w:jc w:val="both"/>
        <w:rPr>
          <w:rFonts w:ascii="Times New Roman" w:hAnsi="Times New Roman" w:cs="Times New Roman"/>
          <w:sz w:val="24"/>
          <w:szCs w:val="24"/>
        </w:rPr>
      </w:pPr>
    </w:p>
    <w:p w:rsidR="00167F4B" w:rsidRDefault="00167F4B">
      <w:pPr>
        <w:spacing w:after="0" w:line="480" w:lineRule="auto"/>
        <w:jc w:val="both"/>
        <w:rPr>
          <w:rFonts w:ascii="Times New Roman" w:hAnsi="Times New Roman" w:cs="Times New Roman"/>
          <w:sz w:val="24"/>
          <w:szCs w:val="24"/>
        </w:rPr>
      </w:pPr>
    </w:p>
    <w:p w:rsidR="00167F4B" w:rsidRDefault="00167F4B">
      <w:pPr>
        <w:spacing w:after="0" w:line="480" w:lineRule="auto"/>
        <w:jc w:val="both"/>
        <w:rPr>
          <w:rFonts w:ascii="Times New Roman" w:hAnsi="Times New Roman" w:cs="Times New Roman"/>
          <w:sz w:val="24"/>
          <w:szCs w:val="24"/>
        </w:rPr>
      </w:pPr>
    </w:p>
    <w:p w:rsidR="00167F4B" w:rsidRDefault="00167F4B">
      <w:pPr>
        <w:spacing w:after="0" w:line="480" w:lineRule="auto"/>
        <w:jc w:val="both"/>
        <w:rPr>
          <w:rFonts w:ascii="Times New Roman" w:hAnsi="Times New Roman" w:cs="Times New Roman"/>
          <w:sz w:val="24"/>
          <w:szCs w:val="24"/>
        </w:rPr>
      </w:pPr>
    </w:p>
    <w:p w:rsidR="00167F4B" w:rsidRDefault="00167F4B">
      <w:pPr>
        <w:spacing w:after="0" w:line="480" w:lineRule="auto"/>
        <w:jc w:val="both"/>
        <w:rPr>
          <w:rFonts w:ascii="Times New Roman" w:hAnsi="Times New Roman" w:cs="Times New Roman"/>
          <w:sz w:val="24"/>
          <w:szCs w:val="24"/>
        </w:rPr>
      </w:pPr>
    </w:p>
    <w:p w:rsidR="00167F4B" w:rsidRDefault="00167F4B">
      <w:pPr>
        <w:spacing w:after="0" w:line="480" w:lineRule="auto"/>
        <w:jc w:val="both"/>
        <w:rPr>
          <w:rFonts w:ascii="Times New Roman" w:hAnsi="Times New Roman" w:cs="Times New Roman"/>
          <w:sz w:val="24"/>
          <w:szCs w:val="24"/>
        </w:rPr>
      </w:pPr>
    </w:p>
    <w:p w:rsidR="00167F4B" w:rsidRDefault="00167F4B">
      <w:pPr>
        <w:spacing w:after="0" w:line="480" w:lineRule="auto"/>
        <w:jc w:val="both"/>
        <w:rPr>
          <w:rFonts w:ascii="Times New Roman" w:hAnsi="Times New Roman" w:cs="Times New Roman"/>
          <w:sz w:val="24"/>
          <w:szCs w:val="24"/>
        </w:rPr>
      </w:pPr>
    </w:p>
    <w:p w:rsidR="00167F4B" w:rsidRDefault="00167F4B">
      <w:pPr>
        <w:spacing w:after="0" w:line="480" w:lineRule="auto"/>
        <w:jc w:val="both"/>
        <w:rPr>
          <w:rFonts w:ascii="Times New Roman" w:hAnsi="Times New Roman" w:cs="Times New Roman"/>
          <w:sz w:val="24"/>
          <w:szCs w:val="24"/>
        </w:rPr>
      </w:pPr>
    </w:p>
    <w:p w:rsidR="00167F4B" w:rsidRDefault="00167F4B">
      <w:pPr>
        <w:spacing w:after="0" w:line="480" w:lineRule="auto"/>
        <w:jc w:val="both"/>
        <w:rPr>
          <w:rFonts w:ascii="Times New Roman" w:hAnsi="Times New Roman" w:cs="Times New Roman"/>
          <w:sz w:val="24"/>
          <w:szCs w:val="24"/>
        </w:rPr>
      </w:pPr>
    </w:p>
    <w:sdt>
      <w:sdtPr>
        <w:rPr>
          <w:rFonts w:ascii="Times New Roman" w:eastAsiaTheme="minorEastAsia" w:hAnsi="Times New Roman" w:cs="Times New Roman"/>
          <w:b w:val="0"/>
          <w:bCs w:val="0"/>
          <w:color w:val="auto"/>
          <w:sz w:val="24"/>
          <w:szCs w:val="24"/>
        </w:rPr>
        <w:id w:val="-1514369374"/>
        <w:docPartObj>
          <w:docPartGallery w:val="Table of Contents"/>
          <w:docPartUnique/>
        </w:docPartObj>
      </w:sdtPr>
      <w:sdtEndPr/>
      <w:sdtContent>
        <w:p w:rsidR="00167F4B" w:rsidRDefault="004F7421">
          <w:pPr>
            <w:pStyle w:val="TOCHeading1"/>
            <w:jc w:val="center"/>
            <w:rPr>
              <w:rFonts w:ascii="Times New Roman" w:hAnsi="Times New Roman" w:cs="Times New Roman"/>
              <w:sz w:val="24"/>
              <w:szCs w:val="24"/>
            </w:rPr>
          </w:pPr>
          <w:r>
            <w:rPr>
              <w:rFonts w:ascii="Times New Roman" w:hAnsi="Times New Roman" w:cs="Times New Roman"/>
              <w:sz w:val="24"/>
              <w:szCs w:val="24"/>
            </w:rPr>
            <w:t>Table of Contents</w:t>
          </w:r>
        </w:p>
        <w:p w:rsidR="00167F4B" w:rsidRDefault="004F7421">
          <w:pPr>
            <w:pStyle w:val="TOC1"/>
            <w:tabs>
              <w:tab w:val="right" w:leader="dot" w:pos="9350"/>
            </w:tabs>
            <w:rPr>
              <w:rFonts w:ascii="Times New Roman" w:hAnsi="Times New Roman" w:cs="Times New Roman"/>
              <w:sz w:val="24"/>
              <w:szCs w:val="24"/>
            </w:rPr>
          </w:pPr>
          <w:r>
            <w:rPr>
              <w:rFonts w:ascii="Times New Roman" w:hAnsi="Times New Roman" w:cs="Times New Roman"/>
              <w:sz w:val="24"/>
              <w:szCs w:val="24"/>
            </w:rPr>
            <w:fldChar w:fldCharType="begin"/>
          </w:r>
          <w:r>
            <w:rPr>
              <w:rFonts w:ascii="Times New Roman" w:hAnsi="Times New Roman" w:cs="Times New Roman"/>
              <w:sz w:val="24"/>
              <w:szCs w:val="24"/>
            </w:rPr>
            <w:instrText xml:space="preserve"> TOC \o "1-3" \h \z \u </w:instrText>
          </w:r>
          <w:r>
            <w:rPr>
              <w:rFonts w:ascii="Times New Roman" w:hAnsi="Times New Roman" w:cs="Times New Roman"/>
              <w:sz w:val="24"/>
              <w:szCs w:val="24"/>
            </w:rPr>
            <w:fldChar w:fldCharType="separate"/>
          </w:r>
          <w:hyperlink w:anchor="_Toc153989658" w:history="1">
            <w:r>
              <w:rPr>
                <w:rStyle w:val="Hyperlink"/>
                <w:rFonts w:ascii="Times New Roman" w:hAnsi="Times New Roman" w:cs="Times New Roman"/>
                <w:sz w:val="24"/>
                <w:szCs w:val="24"/>
              </w:rPr>
              <w:t>Introduction</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_Toc153989658 \h </w:instrText>
            </w:r>
            <w:r>
              <w:rPr>
                <w:rFonts w:ascii="Times New Roman" w:hAnsi="Times New Roman" w:cs="Times New Roman"/>
                <w:sz w:val="24"/>
                <w:szCs w:val="24"/>
              </w:rPr>
            </w:r>
            <w:r>
              <w:rPr>
                <w:rFonts w:ascii="Times New Roman" w:hAnsi="Times New Roman" w:cs="Times New Roman"/>
                <w:sz w:val="24"/>
                <w:szCs w:val="24"/>
              </w:rPr>
              <w:fldChar w:fldCharType="separate"/>
            </w:r>
            <w:r>
              <w:rPr>
                <w:rFonts w:ascii="Times New Roman" w:hAnsi="Times New Roman" w:cs="Times New Roman"/>
                <w:sz w:val="24"/>
                <w:szCs w:val="24"/>
              </w:rPr>
              <w:t>3</w:t>
            </w:r>
            <w:r>
              <w:rPr>
                <w:rFonts w:ascii="Times New Roman" w:hAnsi="Times New Roman" w:cs="Times New Roman"/>
                <w:sz w:val="24"/>
                <w:szCs w:val="24"/>
              </w:rPr>
              <w:fldChar w:fldCharType="end"/>
            </w:r>
          </w:hyperlink>
        </w:p>
        <w:p w:rsidR="00167F4B" w:rsidRDefault="002C7AAB">
          <w:pPr>
            <w:pStyle w:val="TOC1"/>
            <w:tabs>
              <w:tab w:val="right" w:leader="dot" w:pos="9350"/>
            </w:tabs>
            <w:rPr>
              <w:rFonts w:ascii="Times New Roman" w:hAnsi="Times New Roman" w:cs="Times New Roman"/>
              <w:sz w:val="24"/>
              <w:szCs w:val="24"/>
            </w:rPr>
          </w:pPr>
          <w:hyperlink w:anchor="_Toc153989659" w:history="1">
            <w:r w:rsidR="004F7421">
              <w:rPr>
                <w:rStyle w:val="Hyperlink"/>
                <w:rFonts w:ascii="Times New Roman" w:hAnsi="Times New Roman" w:cs="Times New Roman"/>
                <w:sz w:val="24"/>
                <w:szCs w:val="24"/>
              </w:rPr>
              <w:t>Laws and Regulations of USA that were enacted After 2008 Financial Crisis:</w:t>
            </w:r>
            <w:r w:rsidR="004F7421">
              <w:rPr>
                <w:rFonts w:ascii="Times New Roman" w:hAnsi="Times New Roman" w:cs="Times New Roman"/>
                <w:sz w:val="24"/>
                <w:szCs w:val="24"/>
              </w:rPr>
              <w:tab/>
            </w:r>
            <w:r w:rsidR="004F7421">
              <w:rPr>
                <w:rFonts w:ascii="Times New Roman" w:hAnsi="Times New Roman" w:cs="Times New Roman"/>
                <w:sz w:val="24"/>
                <w:szCs w:val="24"/>
              </w:rPr>
              <w:fldChar w:fldCharType="begin"/>
            </w:r>
            <w:r w:rsidR="004F7421">
              <w:rPr>
                <w:rFonts w:ascii="Times New Roman" w:hAnsi="Times New Roman" w:cs="Times New Roman"/>
                <w:sz w:val="24"/>
                <w:szCs w:val="24"/>
              </w:rPr>
              <w:instrText xml:space="preserve"> PAGEREF _Toc153989659 \h </w:instrText>
            </w:r>
            <w:r w:rsidR="004F7421">
              <w:rPr>
                <w:rFonts w:ascii="Times New Roman" w:hAnsi="Times New Roman" w:cs="Times New Roman"/>
                <w:sz w:val="24"/>
                <w:szCs w:val="24"/>
              </w:rPr>
            </w:r>
            <w:r w:rsidR="004F7421">
              <w:rPr>
                <w:rFonts w:ascii="Times New Roman" w:hAnsi="Times New Roman" w:cs="Times New Roman"/>
                <w:sz w:val="24"/>
                <w:szCs w:val="24"/>
              </w:rPr>
              <w:fldChar w:fldCharType="separate"/>
            </w:r>
            <w:r w:rsidR="004F7421">
              <w:rPr>
                <w:rFonts w:ascii="Times New Roman" w:hAnsi="Times New Roman" w:cs="Times New Roman"/>
                <w:sz w:val="24"/>
                <w:szCs w:val="24"/>
              </w:rPr>
              <w:t>4</w:t>
            </w:r>
            <w:r w:rsidR="004F7421">
              <w:rPr>
                <w:rFonts w:ascii="Times New Roman" w:hAnsi="Times New Roman" w:cs="Times New Roman"/>
                <w:sz w:val="24"/>
                <w:szCs w:val="24"/>
              </w:rPr>
              <w:fldChar w:fldCharType="end"/>
            </w:r>
          </w:hyperlink>
        </w:p>
        <w:p w:rsidR="00167F4B" w:rsidRDefault="002C7AAB">
          <w:pPr>
            <w:pStyle w:val="TOC1"/>
            <w:tabs>
              <w:tab w:val="right" w:leader="dot" w:pos="9350"/>
            </w:tabs>
            <w:rPr>
              <w:rFonts w:ascii="Times New Roman" w:hAnsi="Times New Roman" w:cs="Times New Roman"/>
              <w:sz w:val="24"/>
              <w:szCs w:val="24"/>
            </w:rPr>
          </w:pPr>
          <w:hyperlink w:anchor="_Toc153989660" w:history="1">
            <w:r w:rsidR="004F7421">
              <w:rPr>
                <w:rStyle w:val="Hyperlink"/>
                <w:rFonts w:ascii="Times New Roman" w:hAnsi="Times New Roman" w:cs="Times New Roman"/>
                <w:sz w:val="24"/>
                <w:szCs w:val="24"/>
              </w:rPr>
              <w:t>Regulatory Reforms of another Selected Country after 2008 Financial Crisis:</w:t>
            </w:r>
            <w:r w:rsidR="004F7421">
              <w:rPr>
                <w:rFonts w:ascii="Times New Roman" w:hAnsi="Times New Roman" w:cs="Times New Roman"/>
                <w:sz w:val="24"/>
                <w:szCs w:val="24"/>
              </w:rPr>
              <w:tab/>
            </w:r>
            <w:r w:rsidR="004F7421">
              <w:rPr>
                <w:rFonts w:ascii="Times New Roman" w:hAnsi="Times New Roman" w:cs="Times New Roman"/>
                <w:sz w:val="24"/>
                <w:szCs w:val="24"/>
              </w:rPr>
              <w:fldChar w:fldCharType="begin"/>
            </w:r>
            <w:r w:rsidR="004F7421">
              <w:rPr>
                <w:rFonts w:ascii="Times New Roman" w:hAnsi="Times New Roman" w:cs="Times New Roman"/>
                <w:sz w:val="24"/>
                <w:szCs w:val="24"/>
              </w:rPr>
              <w:instrText xml:space="preserve"> PAGEREF _Toc153989660 \h </w:instrText>
            </w:r>
            <w:r w:rsidR="004F7421">
              <w:rPr>
                <w:rFonts w:ascii="Times New Roman" w:hAnsi="Times New Roman" w:cs="Times New Roman"/>
                <w:sz w:val="24"/>
                <w:szCs w:val="24"/>
              </w:rPr>
            </w:r>
            <w:r w:rsidR="004F7421">
              <w:rPr>
                <w:rFonts w:ascii="Times New Roman" w:hAnsi="Times New Roman" w:cs="Times New Roman"/>
                <w:sz w:val="24"/>
                <w:szCs w:val="24"/>
              </w:rPr>
              <w:fldChar w:fldCharType="separate"/>
            </w:r>
            <w:r w:rsidR="004F7421">
              <w:rPr>
                <w:rFonts w:ascii="Times New Roman" w:hAnsi="Times New Roman" w:cs="Times New Roman"/>
                <w:sz w:val="24"/>
                <w:szCs w:val="24"/>
              </w:rPr>
              <w:t>10</w:t>
            </w:r>
            <w:r w:rsidR="004F7421">
              <w:rPr>
                <w:rFonts w:ascii="Times New Roman" w:hAnsi="Times New Roman" w:cs="Times New Roman"/>
                <w:sz w:val="24"/>
                <w:szCs w:val="24"/>
              </w:rPr>
              <w:fldChar w:fldCharType="end"/>
            </w:r>
          </w:hyperlink>
        </w:p>
        <w:p w:rsidR="00167F4B" w:rsidRDefault="002C7AAB">
          <w:pPr>
            <w:pStyle w:val="TOC1"/>
            <w:tabs>
              <w:tab w:val="right" w:leader="dot" w:pos="9350"/>
            </w:tabs>
            <w:rPr>
              <w:rFonts w:ascii="Times New Roman" w:hAnsi="Times New Roman" w:cs="Times New Roman"/>
              <w:sz w:val="24"/>
              <w:szCs w:val="24"/>
            </w:rPr>
          </w:pPr>
          <w:hyperlink w:anchor="_Toc153989661" w:history="1">
            <w:r w:rsidR="004F7421">
              <w:rPr>
                <w:rStyle w:val="Hyperlink"/>
                <w:rFonts w:ascii="Times New Roman" w:hAnsi="Times New Roman" w:cs="Times New Roman"/>
                <w:sz w:val="24"/>
                <w:szCs w:val="24"/>
              </w:rPr>
              <w:t>Effectiveness of Different Reforms to Stabilize the Financial System:</w:t>
            </w:r>
            <w:r w:rsidR="004F7421">
              <w:rPr>
                <w:rFonts w:ascii="Times New Roman" w:hAnsi="Times New Roman" w:cs="Times New Roman"/>
                <w:sz w:val="24"/>
                <w:szCs w:val="24"/>
              </w:rPr>
              <w:tab/>
            </w:r>
            <w:r w:rsidR="004F7421">
              <w:rPr>
                <w:rFonts w:ascii="Times New Roman" w:hAnsi="Times New Roman" w:cs="Times New Roman"/>
                <w:sz w:val="24"/>
                <w:szCs w:val="24"/>
              </w:rPr>
              <w:fldChar w:fldCharType="begin"/>
            </w:r>
            <w:r w:rsidR="004F7421">
              <w:rPr>
                <w:rFonts w:ascii="Times New Roman" w:hAnsi="Times New Roman" w:cs="Times New Roman"/>
                <w:sz w:val="24"/>
                <w:szCs w:val="24"/>
              </w:rPr>
              <w:instrText xml:space="preserve"> PAGEREF _Toc153989661 \h </w:instrText>
            </w:r>
            <w:r w:rsidR="004F7421">
              <w:rPr>
                <w:rFonts w:ascii="Times New Roman" w:hAnsi="Times New Roman" w:cs="Times New Roman"/>
                <w:sz w:val="24"/>
                <w:szCs w:val="24"/>
              </w:rPr>
            </w:r>
            <w:r w:rsidR="004F7421">
              <w:rPr>
                <w:rFonts w:ascii="Times New Roman" w:hAnsi="Times New Roman" w:cs="Times New Roman"/>
                <w:sz w:val="24"/>
                <w:szCs w:val="24"/>
              </w:rPr>
              <w:fldChar w:fldCharType="separate"/>
            </w:r>
            <w:r w:rsidR="004F7421">
              <w:rPr>
                <w:rFonts w:ascii="Times New Roman" w:hAnsi="Times New Roman" w:cs="Times New Roman"/>
                <w:sz w:val="24"/>
                <w:szCs w:val="24"/>
              </w:rPr>
              <w:t>16</w:t>
            </w:r>
            <w:r w:rsidR="004F7421">
              <w:rPr>
                <w:rFonts w:ascii="Times New Roman" w:hAnsi="Times New Roman" w:cs="Times New Roman"/>
                <w:sz w:val="24"/>
                <w:szCs w:val="24"/>
              </w:rPr>
              <w:fldChar w:fldCharType="end"/>
            </w:r>
          </w:hyperlink>
        </w:p>
        <w:p w:rsidR="00167F4B" w:rsidRDefault="002C7AAB">
          <w:pPr>
            <w:pStyle w:val="TOC1"/>
            <w:tabs>
              <w:tab w:val="right" w:leader="dot" w:pos="9350"/>
            </w:tabs>
            <w:rPr>
              <w:rFonts w:ascii="Times New Roman" w:hAnsi="Times New Roman" w:cs="Times New Roman"/>
              <w:sz w:val="24"/>
              <w:szCs w:val="24"/>
            </w:rPr>
          </w:pPr>
          <w:hyperlink w:anchor="_Toc153989662" w:history="1">
            <w:r w:rsidR="004F7421">
              <w:rPr>
                <w:rStyle w:val="Hyperlink"/>
                <w:rFonts w:ascii="Times New Roman" w:hAnsi="Times New Roman" w:cs="Times New Roman"/>
                <w:sz w:val="24"/>
                <w:szCs w:val="24"/>
              </w:rPr>
              <w:t>Impact of the Identified Reforms on Selected Company (i.e. JP Morgan):</w:t>
            </w:r>
            <w:r w:rsidR="004F7421">
              <w:rPr>
                <w:rFonts w:ascii="Times New Roman" w:hAnsi="Times New Roman" w:cs="Times New Roman"/>
                <w:sz w:val="24"/>
                <w:szCs w:val="24"/>
              </w:rPr>
              <w:tab/>
            </w:r>
            <w:r w:rsidR="004F7421">
              <w:rPr>
                <w:rFonts w:ascii="Times New Roman" w:hAnsi="Times New Roman" w:cs="Times New Roman"/>
                <w:sz w:val="24"/>
                <w:szCs w:val="24"/>
              </w:rPr>
              <w:fldChar w:fldCharType="begin"/>
            </w:r>
            <w:r w:rsidR="004F7421">
              <w:rPr>
                <w:rFonts w:ascii="Times New Roman" w:hAnsi="Times New Roman" w:cs="Times New Roman"/>
                <w:sz w:val="24"/>
                <w:szCs w:val="24"/>
              </w:rPr>
              <w:instrText xml:space="preserve"> PAGEREF _Toc153989662 \h </w:instrText>
            </w:r>
            <w:r w:rsidR="004F7421">
              <w:rPr>
                <w:rFonts w:ascii="Times New Roman" w:hAnsi="Times New Roman" w:cs="Times New Roman"/>
                <w:sz w:val="24"/>
                <w:szCs w:val="24"/>
              </w:rPr>
            </w:r>
            <w:r w:rsidR="004F7421">
              <w:rPr>
                <w:rFonts w:ascii="Times New Roman" w:hAnsi="Times New Roman" w:cs="Times New Roman"/>
                <w:sz w:val="24"/>
                <w:szCs w:val="24"/>
              </w:rPr>
              <w:fldChar w:fldCharType="separate"/>
            </w:r>
            <w:r w:rsidR="004F7421">
              <w:rPr>
                <w:rFonts w:ascii="Times New Roman" w:hAnsi="Times New Roman" w:cs="Times New Roman"/>
                <w:sz w:val="24"/>
                <w:szCs w:val="24"/>
              </w:rPr>
              <w:t>18</w:t>
            </w:r>
            <w:r w:rsidR="004F7421">
              <w:rPr>
                <w:rFonts w:ascii="Times New Roman" w:hAnsi="Times New Roman" w:cs="Times New Roman"/>
                <w:sz w:val="24"/>
                <w:szCs w:val="24"/>
              </w:rPr>
              <w:fldChar w:fldCharType="end"/>
            </w:r>
          </w:hyperlink>
        </w:p>
        <w:p w:rsidR="00167F4B" w:rsidRDefault="002C7AAB">
          <w:pPr>
            <w:pStyle w:val="TOC1"/>
            <w:tabs>
              <w:tab w:val="right" w:leader="dot" w:pos="9350"/>
            </w:tabs>
            <w:rPr>
              <w:rFonts w:ascii="Times New Roman" w:hAnsi="Times New Roman" w:cs="Times New Roman"/>
              <w:sz w:val="24"/>
              <w:szCs w:val="24"/>
            </w:rPr>
          </w:pPr>
          <w:hyperlink w:anchor="_Toc153989663" w:history="1">
            <w:r w:rsidR="004F7421">
              <w:rPr>
                <w:rStyle w:val="Hyperlink"/>
                <w:rFonts w:ascii="Times New Roman" w:hAnsi="Times New Roman" w:cs="Times New Roman"/>
                <w:sz w:val="24"/>
                <w:szCs w:val="24"/>
              </w:rPr>
              <w:t>Conclusion</w:t>
            </w:r>
            <w:r w:rsidR="004F7421">
              <w:rPr>
                <w:rFonts w:ascii="Times New Roman" w:hAnsi="Times New Roman" w:cs="Times New Roman"/>
                <w:sz w:val="24"/>
                <w:szCs w:val="24"/>
              </w:rPr>
              <w:tab/>
            </w:r>
            <w:r w:rsidR="004F7421">
              <w:rPr>
                <w:rFonts w:ascii="Times New Roman" w:hAnsi="Times New Roman" w:cs="Times New Roman"/>
                <w:sz w:val="24"/>
                <w:szCs w:val="24"/>
              </w:rPr>
              <w:fldChar w:fldCharType="begin"/>
            </w:r>
            <w:r w:rsidR="004F7421">
              <w:rPr>
                <w:rFonts w:ascii="Times New Roman" w:hAnsi="Times New Roman" w:cs="Times New Roman"/>
                <w:sz w:val="24"/>
                <w:szCs w:val="24"/>
              </w:rPr>
              <w:instrText xml:space="preserve"> PAGEREF _Toc153989663 \h </w:instrText>
            </w:r>
            <w:r w:rsidR="004F7421">
              <w:rPr>
                <w:rFonts w:ascii="Times New Roman" w:hAnsi="Times New Roman" w:cs="Times New Roman"/>
                <w:sz w:val="24"/>
                <w:szCs w:val="24"/>
              </w:rPr>
            </w:r>
            <w:r w:rsidR="004F7421">
              <w:rPr>
                <w:rFonts w:ascii="Times New Roman" w:hAnsi="Times New Roman" w:cs="Times New Roman"/>
                <w:sz w:val="24"/>
                <w:szCs w:val="24"/>
              </w:rPr>
              <w:fldChar w:fldCharType="separate"/>
            </w:r>
            <w:r w:rsidR="004F7421">
              <w:rPr>
                <w:rFonts w:ascii="Times New Roman" w:hAnsi="Times New Roman" w:cs="Times New Roman"/>
                <w:sz w:val="24"/>
                <w:szCs w:val="24"/>
              </w:rPr>
              <w:t>20</w:t>
            </w:r>
            <w:r w:rsidR="004F7421">
              <w:rPr>
                <w:rFonts w:ascii="Times New Roman" w:hAnsi="Times New Roman" w:cs="Times New Roman"/>
                <w:sz w:val="24"/>
                <w:szCs w:val="24"/>
              </w:rPr>
              <w:fldChar w:fldCharType="end"/>
            </w:r>
          </w:hyperlink>
        </w:p>
        <w:p w:rsidR="00167F4B" w:rsidRDefault="002C7AAB">
          <w:pPr>
            <w:pStyle w:val="TOC1"/>
            <w:tabs>
              <w:tab w:val="right" w:leader="dot" w:pos="9350"/>
            </w:tabs>
            <w:rPr>
              <w:rFonts w:ascii="Times New Roman" w:hAnsi="Times New Roman" w:cs="Times New Roman"/>
              <w:sz w:val="24"/>
              <w:szCs w:val="24"/>
            </w:rPr>
          </w:pPr>
          <w:hyperlink w:anchor="_Toc153989664" w:history="1">
            <w:r w:rsidR="004F7421">
              <w:rPr>
                <w:rStyle w:val="Hyperlink"/>
                <w:rFonts w:ascii="Times New Roman" w:hAnsi="Times New Roman" w:cs="Times New Roman"/>
                <w:sz w:val="24"/>
                <w:szCs w:val="24"/>
              </w:rPr>
              <w:t>References</w:t>
            </w:r>
            <w:r w:rsidR="004F7421">
              <w:rPr>
                <w:rFonts w:ascii="Times New Roman" w:hAnsi="Times New Roman" w:cs="Times New Roman"/>
                <w:sz w:val="24"/>
                <w:szCs w:val="24"/>
              </w:rPr>
              <w:tab/>
            </w:r>
            <w:r w:rsidR="004F7421">
              <w:rPr>
                <w:rFonts w:ascii="Times New Roman" w:hAnsi="Times New Roman" w:cs="Times New Roman"/>
                <w:sz w:val="24"/>
                <w:szCs w:val="24"/>
              </w:rPr>
              <w:fldChar w:fldCharType="begin"/>
            </w:r>
            <w:r w:rsidR="004F7421">
              <w:rPr>
                <w:rFonts w:ascii="Times New Roman" w:hAnsi="Times New Roman" w:cs="Times New Roman"/>
                <w:sz w:val="24"/>
                <w:szCs w:val="24"/>
              </w:rPr>
              <w:instrText xml:space="preserve"> PAGEREF _Toc153989664 \h </w:instrText>
            </w:r>
            <w:r w:rsidR="004F7421">
              <w:rPr>
                <w:rFonts w:ascii="Times New Roman" w:hAnsi="Times New Roman" w:cs="Times New Roman"/>
                <w:sz w:val="24"/>
                <w:szCs w:val="24"/>
              </w:rPr>
            </w:r>
            <w:r w:rsidR="004F7421">
              <w:rPr>
                <w:rFonts w:ascii="Times New Roman" w:hAnsi="Times New Roman" w:cs="Times New Roman"/>
                <w:sz w:val="24"/>
                <w:szCs w:val="24"/>
              </w:rPr>
              <w:fldChar w:fldCharType="separate"/>
            </w:r>
            <w:r w:rsidR="004F7421">
              <w:rPr>
                <w:rFonts w:ascii="Times New Roman" w:hAnsi="Times New Roman" w:cs="Times New Roman"/>
                <w:sz w:val="24"/>
                <w:szCs w:val="24"/>
              </w:rPr>
              <w:t>21</w:t>
            </w:r>
            <w:r w:rsidR="004F7421">
              <w:rPr>
                <w:rFonts w:ascii="Times New Roman" w:hAnsi="Times New Roman" w:cs="Times New Roman"/>
                <w:sz w:val="24"/>
                <w:szCs w:val="24"/>
              </w:rPr>
              <w:fldChar w:fldCharType="end"/>
            </w:r>
          </w:hyperlink>
        </w:p>
        <w:p w:rsidR="00167F4B" w:rsidRDefault="004F7421">
          <w:pPr>
            <w:rPr>
              <w:rFonts w:ascii="Times New Roman" w:hAnsi="Times New Roman" w:cs="Times New Roman"/>
              <w:sz w:val="24"/>
              <w:szCs w:val="24"/>
            </w:rPr>
          </w:pPr>
          <w:r>
            <w:rPr>
              <w:rFonts w:ascii="Times New Roman" w:hAnsi="Times New Roman" w:cs="Times New Roman"/>
              <w:sz w:val="24"/>
              <w:szCs w:val="24"/>
            </w:rPr>
            <w:fldChar w:fldCharType="end"/>
          </w:r>
        </w:p>
      </w:sdtContent>
    </w:sdt>
    <w:p w:rsidR="00167F4B" w:rsidRDefault="00167F4B">
      <w:pPr>
        <w:spacing w:after="0" w:line="480" w:lineRule="auto"/>
        <w:jc w:val="both"/>
        <w:rPr>
          <w:rFonts w:ascii="Times New Roman" w:hAnsi="Times New Roman" w:cs="Times New Roman"/>
          <w:sz w:val="24"/>
          <w:szCs w:val="24"/>
        </w:rPr>
      </w:pPr>
    </w:p>
    <w:p w:rsidR="00167F4B" w:rsidRDefault="00167F4B">
      <w:pPr>
        <w:spacing w:after="0" w:line="480" w:lineRule="auto"/>
        <w:jc w:val="both"/>
        <w:rPr>
          <w:rFonts w:ascii="Times New Roman" w:hAnsi="Times New Roman" w:cs="Times New Roman"/>
          <w:sz w:val="24"/>
          <w:szCs w:val="24"/>
        </w:rPr>
      </w:pPr>
    </w:p>
    <w:p w:rsidR="00167F4B" w:rsidRDefault="004F7421">
      <w:pPr>
        <w:spacing w:after="0" w:line="480" w:lineRule="auto"/>
        <w:rPr>
          <w:rFonts w:ascii="Times New Roman" w:hAnsi="Times New Roman" w:cs="Times New Roman"/>
          <w:sz w:val="24"/>
          <w:szCs w:val="24"/>
        </w:rPr>
      </w:pPr>
      <w:r>
        <w:rPr>
          <w:rFonts w:ascii="Times New Roman" w:hAnsi="Times New Roman" w:cs="Times New Roman"/>
          <w:sz w:val="24"/>
          <w:szCs w:val="24"/>
        </w:rPr>
        <w:br w:type="page"/>
      </w:r>
    </w:p>
    <w:p w:rsidR="00167F4B" w:rsidRDefault="004F7421">
      <w:pPr>
        <w:pStyle w:val="Heading1"/>
        <w:spacing w:before="0" w:line="480" w:lineRule="auto"/>
        <w:jc w:val="center"/>
        <w:rPr>
          <w:rFonts w:ascii="Times New Roman" w:hAnsi="Times New Roman" w:cs="Times New Roman"/>
          <w:sz w:val="24"/>
          <w:szCs w:val="24"/>
        </w:rPr>
      </w:pPr>
      <w:bookmarkStart w:id="0" w:name="_Toc153989658"/>
      <w:r>
        <w:rPr>
          <w:rFonts w:ascii="Times New Roman" w:hAnsi="Times New Roman" w:cs="Times New Roman"/>
          <w:sz w:val="24"/>
          <w:szCs w:val="24"/>
        </w:rPr>
        <w:lastRenderedPageBreak/>
        <w:t>Introduction</w:t>
      </w:r>
      <w:bookmarkEnd w:id="0"/>
    </w:p>
    <w:p w:rsidR="00167F4B" w:rsidRDefault="004F7421">
      <w:pPr>
        <w:spacing w:after="0" w:line="480" w:lineRule="auto"/>
        <w:jc w:val="both"/>
        <w:rPr>
          <w:rFonts w:ascii="Times New Roman" w:hAnsi="Times New Roman" w:cs="Times New Roman"/>
          <w:sz w:val="24"/>
          <w:szCs w:val="24"/>
        </w:rPr>
      </w:pPr>
      <w:r>
        <w:rPr>
          <w:rFonts w:ascii="Times New Roman" w:hAnsi="Times New Roman" w:cs="Times New Roman"/>
          <w:sz w:val="24"/>
          <w:szCs w:val="24"/>
        </w:rPr>
        <w:t>This report is prepared with the purpose of evaluation of key concepts related to the field of financial markets and banking financial management. In order to design this report, JP Morgan Company has been selected. This company operates in financial service industry. Main purpose of this report is to identify and evaluate different regulatory change and legal reforms that have taken place in United States of America after the incident of financial crisis of 2008. It is also an important aim of this report to compare the legal and regulatory changes or reforms of USA with similar advancements or reforms of other selected country after the incident of financial crisis of 2008. Main purpose of this report is to identify and evaluate influence of such regulations to stabilize the financial system of countries after the 2008 financial crisis. It is an also important aim of this report to evaluate the impact of identified reforms on the business model of JP Morgan.</w:t>
      </w:r>
    </w:p>
    <w:p w:rsidR="00167F4B" w:rsidRDefault="004F7421">
      <w:pPr>
        <w:spacing w:after="0" w:line="480" w:lineRule="auto"/>
        <w:rPr>
          <w:rFonts w:ascii="Times New Roman" w:hAnsi="Times New Roman" w:cs="Times New Roman"/>
          <w:sz w:val="24"/>
          <w:szCs w:val="24"/>
        </w:rPr>
      </w:pPr>
      <w:r>
        <w:rPr>
          <w:rFonts w:ascii="Times New Roman" w:hAnsi="Times New Roman" w:cs="Times New Roman"/>
          <w:sz w:val="24"/>
          <w:szCs w:val="24"/>
        </w:rPr>
        <w:br w:type="page"/>
      </w:r>
    </w:p>
    <w:p w:rsidR="00167F4B" w:rsidRDefault="004F7421">
      <w:pPr>
        <w:pStyle w:val="Heading1"/>
        <w:spacing w:before="0" w:line="480" w:lineRule="auto"/>
        <w:rPr>
          <w:rFonts w:ascii="Times New Roman" w:hAnsi="Times New Roman" w:cs="Times New Roman"/>
          <w:sz w:val="24"/>
          <w:szCs w:val="24"/>
        </w:rPr>
      </w:pPr>
      <w:bookmarkStart w:id="1" w:name="_Toc153989659"/>
      <w:r>
        <w:rPr>
          <w:rFonts w:ascii="Times New Roman" w:hAnsi="Times New Roman" w:cs="Times New Roman"/>
          <w:sz w:val="24"/>
          <w:szCs w:val="24"/>
        </w:rPr>
        <w:lastRenderedPageBreak/>
        <w:t>Laws and Regulations of USA that were enacted After 2008 Financial Crisis:</w:t>
      </w:r>
      <w:bookmarkEnd w:id="1"/>
    </w:p>
    <w:p w:rsidR="00167F4B" w:rsidRDefault="004F7421">
      <w:pPr>
        <w:spacing w:after="0" w:line="480" w:lineRule="auto"/>
        <w:jc w:val="both"/>
        <w:rPr>
          <w:rFonts w:ascii="Times New Roman" w:hAnsi="Times New Roman" w:cs="Times New Roman"/>
          <w:sz w:val="24"/>
          <w:szCs w:val="24"/>
        </w:rPr>
      </w:pPr>
      <w:r>
        <w:rPr>
          <w:rFonts w:ascii="Times New Roman" w:hAnsi="Times New Roman" w:cs="Times New Roman"/>
          <w:sz w:val="24"/>
          <w:szCs w:val="24"/>
        </w:rPr>
        <w:t>The financial crisis of 2008 has significantly impacted the economy and financial system of United States of America. The government and regulatory bodies of USA have taken active steps for reducing the likelihood of occurrence of similar incidents in the future. In this regard, the government has focused on development and passing of legislation of Dodd-Frank Act (i.e. Dodd-Frank Wall Street Reform and Consumer Protection Act) after the incident of 2008 financial crisis. Due to this legislation, USA has experienced faster and effective recovery of economy from the financial crisis of 2008. After this financial crisis, the economy of USA has observed bull market for very long timeline as compared to the past records of capital market. This was longest ever bull market in the economy of USA. This bull market f the country was started on 9</w:t>
      </w:r>
      <w:r>
        <w:rPr>
          <w:rFonts w:ascii="Times New Roman" w:hAnsi="Times New Roman" w:cs="Times New Roman"/>
          <w:sz w:val="24"/>
          <w:szCs w:val="24"/>
          <w:vertAlign w:val="superscript"/>
        </w:rPr>
        <w:t>th</w:t>
      </w:r>
      <w:r>
        <w:rPr>
          <w:rFonts w:ascii="Times New Roman" w:hAnsi="Times New Roman" w:cs="Times New Roman"/>
          <w:sz w:val="24"/>
          <w:szCs w:val="24"/>
        </w:rPr>
        <w:t xml:space="preserve"> March 2009. Total duration or length of this bull market was 9 years, 5 months, and 13 days (</w:t>
      </w:r>
      <w:proofErr w:type="spellStart"/>
      <w:r>
        <w:rPr>
          <w:rFonts w:ascii="Times New Roman" w:hAnsi="Times New Roman" w:cs="Times New Roman"/>
          <w:sz w:val="24"/>
          <w:szCs w:val="24"/>
        </w:rPr>
        <w:t>Cazenove</w:t>
      </w:r>
      <w:proofErr w:type="spellEnd"/>
      <w:r>
        <w:rPr>
          <w:rFonts w:ascii="Times New Roman" w:hAnsi="Times New Roman" w:cs="Times New Roman"/>
          <w:sz w:val="24"/>
          <w:szCs w:val="24"/>
        </w:rPr>
        <w:t xml:space="preserve"> Capital, 2023). This kind of performance of capital market has also </w:t>
      </w:r>
      <w:proofErr w:type="spellStart"/>
      <w:r>
        <w:rPr>
          <w:rFonts w:ascii="Times New Roman" w:hAnsi="Times New Roman" w:cs="Times New Roman"/>
          <w:sz w:val="24"/>
          <w:szCs w:val="24"/>
        </w:rPr>
        <w:t>beated</w:t>
      </w:r>
      <w:proofErr w:type="spellEnd"/>
      <w:r>
        <w:rPr>
          <w:rFonts w:ascii="Times New Roman" w:hAnsi="Times New Roman" w:cs="Times New Roman"/>
          <w:sz w:val="24"/>
          <w:szCs w:val="24"/>
        </w:rPr>
        <w:t xml:space="preserve"> the great equity performance of 1990s. In general, the bull market can be defined as market performance, in which the capital market of country rises with time without more than 20% fall from peak during the time period. As reported on 22 August 2018, the capital market of United States of America has arisen by 323%. Total return of the market index of US stocks including the dividend payments was observed as 415% since the financial crisis.</w:t>
      </w:r>
    </w:p>
    <w:p w:rsidR="00167F4B" w:rsidRDefault="004F7421">
      <w:pPr>
        <w:spacing w:after="0" w:line="480" w:lineRule="auto"/>
        <w:jc w:val="both"/>
        <w:rPr>
          <w:rFonts w:ascii="Times New Roman" w:hAnsi="Times New Roman" w:cs="Times New Roman"/>
          <w:sz w:val="24"/>
          <w:szCs w:val="24"/>
        </w:rPr>
      </w:pPr>
      <w:r>
        <w:rPr>
          <w:rFonts w:ascii="Times New Roman" w:hAnsi="Times New Roman" w:cs="Times New Roman"/>
          <w:sz w:val="24"/>
          <w:szCs w:val="24"/>
        </w:rPr>
        <w:t xml:space="preserve">The financial crisis was faced by economy of USA during 2007 to 2008. Main reason behind occurrence of this financial crisis was identified as the inappropriate banking behavior of large banks of the country. Dodd-Frank Act was designed with the aim of eliminating banking behavior and risk factors that may be responsible for occurrence of similar financial crisis in future. In simple words, it can be said that designed legislation encourages market players of financial system of USA to run banking transactions in ethical and regulated manner (LA Times, </w:t>
      </w:r>
      <w:r>
        <w:rPr>
          <w:rFonts w:ascii="Times New Roman" w:hAnsi="Times New Roman" w:cs="Times New Roman"/>
          <w:sz w:val="24"/>
          <w:szCs w:val="24"/>
        </w:rPr>
        <w:lastRenderedPageBreak/>
        <w:t>2023). Following diagram is helpful to demonstrate change in housing prices of US economy during financial crisis of 2008:</w:t>
      </w:r>
    </w:p>
    <w:p w:rsidR="00167F4B" w:rsidRDefault="004F7421">
      <w:pPr>
        <w:spacing w:after="0" w:line="480" w:lineRule="auto"/>
        <w:jc w:val="center"/>
        <w:rPr>
          <w:rFonts w:ascii="Times New Roman" w:hAnsi="Times New Roman" w:cs="Times New Roman"/>
          <w:sz w:val="24"/>
          <w:szCs w:val="24"/>
        </w:rPr>
      </w:pPr>
      <w:r>
        <w:rPr>
          <w:rFonts w:ascii="Times New Roman" w:hAnsi="Times New Roman" w:cs="Times New Roman"/>
          <w:noProof/>
          <w:sz w:val="24"/>
          <w:szCs w:val="24"/>
        </w:rPr>
        <w:drawing>
          <wp:inline distT="0" distB="0" distL="0" distR="0">
            <wp:extent cx="3238500" cy="2247900"/>
            <wp:effectExtent l="1905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8"/>
                    <a:srcRect/>
                    <a:stretch>
                      <a:fillRect/>
                    </a:stretch>
                  </pic:blipFill>
                  <pic:spPr>
                    <a:xfrm>
                      <a:off x="0" y="0"/>
                      <a:ext cx="3238500" cy="2247900"/>
                    </a:xfrm>
                    <a:prstGeom prst="rect">
                      <a:avLst/>
                    </a:prstGeom>
                    <a:noFill/>
                    <a:ln w="9525">
                      <a:noFill/>
                      <a:miter lim="800000"/>
                      <a:headEnd/>
                      <a:tailEnd/>
                    </a:ln>
                  </pic:spPr>
                </pic:pic>
              </a:graphicData>
            </a:graphic>
          </wp:inline>
        </w:drawing>
      </w:r>
    </w:p>
    <w:p w:rsidR="00167F4B" w:rsidRDefault="004F7421">
      <w:pPr>
        <w:spacing w:after="0" w:line="480" w:lineRule="auto"/>
        <w:jc w:val="center"/>
        <w:rPr>
          <w:rFonts w:ascii="Times New Roman" w:hAnsi="Times New Roman" w:cs="Times New Roman"/>
          <w:sz w:val="24"/>
          <w:szCs w:val="24"/>
        </w:rPr>
      </w:pPr>
      <w:r>
        <w:rPr>
          <w:rFonts w:ascii="Times New Roman" w:hAnsi="Times New Roman" w:cs="Times New Roman"/>
          <w:sz w:val="24"/>
          <w:szCs w:val="24"/>
        </w:rPr>
        <w:t>(LA Times, 2023)</w:t>
      </w:r>
    </w:p>
    <w:p w:rsidR="00167F4B" w:rsidRDefault="004F7421">
      <w:pPr>
        <w:spacing w:after="0" w:line="480" w:lineRule="auto"/>
        <w:jc w:val="both"/>
        <w:rPr>
          <w:rFonts w:ascii="Times New Roman" w:hAnsi="Times New Roman" w:cs="Times New Roman"/>
          <w:sz w:val="24"/>
          <w:szCs w:val="24"/>
        </w:rPr>
      </w:pPr>
      <w:r>
        <w:rPr>
          <w:rFonts w:ascii="Times New Roman" w:hAnsi="Times New Roman" w:cs="Times New Roman"/>
          <w:sz w:val="24"/>
          <w:szCs w:val="24"/>
        </w:rPr>
        <w:t>On basis of analysis of above chart, it is evidential that during 1995 to 2008, the level of outstanding mortgage debt of US economy increased significantly. Similar to this, the level of housing price index of USA increased during timeline of 1995 to 2008 (LA Times, 2023). These are some important factors, which have caused situation of financial crisis of 2008.</w:t>
      </w:r>
    </w:p>
    <w:p w:rsidR="00167F4B" w:rsidRDefault="004F7421">
      <w:pPr>
        <w:spacing w:after="0" w:line="480" w:lineRule="auto"/>
        <w:jc w:val="both"/>
        <w:rPr>
          <w:rFonts w:ascii="Times New Roman" w:hAnsi="Times New Roman" w:cs="Times New Roman"/>
          <w:sz w:val="24"/>
          <w:szCs w:val="24"/>
        </w:rPr>
      </w:pPr>
      <w:r>
        <w:rPr>
          <w:rFonts w:ascii="Times New Roman" w:hAnsi="Times New Roman" w:cs="Times New Roman"/>
          <w:sz w:val="24"/>
          <w:szCs w:val="24"/>
        </w:rPr>
        <w:t xml:space="preserve">The economy of United States of America has experienced deregulations in financial sector of economy during period prior to 2008 financial crisis. This incident has also encouraged the banks or financing organizations to focus on generating extra ordinary business in the market. In order to compete the other market players in banking business, many market players had started undertaking bigger gambles. For example, the banks started providing financing facility in market to clients with high risk of default also. In other words, the banks started giving loan in riskier way in the market (LA Times, 2023). This kind of competitive market environment of USA has caused the occurrence of situation of pricing bubble across key industries like housing sector. The incident of housing pricing bubble had ultimately caused incident of wrecking of </w:t>
      </w:r>
      <w:r>
        <w:rPr>
          <w:rFonts w:ascii="Times New Roman" w:hAnsi="Times New Roman" w:cs="Times New Roman"/>
          <w:sz w:val="24"/>
          <w:szCs w:val="24"/>
        </w:rPr>
        <w:lastRenderedPageBreak/>
        <w:t>banking and financing industry of USA as well as the crash of capital market of country. This incident is also identified as an event responsible for global recession.</w:t>
      </w:r>
    </w:p>
    <w:p w:rsidR="00167F4B" w:rsidRDefault="004F7421">
      <w:pPr>
        <w:spacing w:after="0" w:line="480" w:lineRule="auto"/>
        <w:jc w:val="both"/>
        <w:rPr>
          <w:rFonts w:ascii="Times New Roman" w:hAnsi="Times New Roman" w:cs="Times New Roman"/>
          <w:sz w:val="24"/>
          <w:szCs w:val="24"/>
        </w:rPr>
      </w:pPr>
      <w:r>
        <w:rPr>
          <w:rFonts w:ascii="Times New Roman" w:hAnsi="Times New Roman" w:cs="Times New Roman"/>
          <w:sz w:val="24"/>
          <w:szCs w:val="24"/>
        </w:rPr>
        <w:t>Dodd-Frank Act was signed by former US president Barak Obama in 2010. It was passed in legislative assembly of USA by Congress. This legislation focuses on achieving higher stability of financial industry as well as the financial system of US economy. In reality, the government and regulatory bodies of USA have taken various types of regulatory reforms and actions for achieving higher stability of financial system of country (LA Times, 2023). It is also an important purpose of the Dodd-Frank Act to provide protection to the customers of banking and finance sector from unethical behavior of banking practices of banks or financial organizations.</w:t>
      </w:r>
    </w:p>
    <w:p w:rsidR="00167F4B" w:rsidRDefault="004F7421">
      <w:pPr>
        <w:spacing w:after="0" w:line="480" w:lineRule="auto"/>
        <w:jc w:val="both"/>
        <w:rPr>
          <w:rFonts w:ascii="Times New Roman" w:hAnsi="Times New Roman" w:cs="Times New Roman"/>
          <w:sz w:val="24"/>
          <w:szCs w:val="24"/>
        </w:rPr>
      </w:pPr>
      <w:r>
        <w:rPr>
          <w:rFonts w:ascii="Times New Roman" w:hAnsi="Times New Roman" w:cs="Times New Roman"/>
          <w:sz w:val="24"/>
          <w:szCs w:val="24"/>
        </w:rPr>
        <w:t>The government and regulatory bodies of USA have focused on development of Office of Credit Ratings (i.e. OCR) at SEC. The OCR is responsible for effective monitoring of core processes and business activities of the bond rating agencies of country. Example of such organizations involves Standard &amp; Poor’s, Moody’s, and Fitch Ratings. In reality, the bond rating agencies have duty to offer valuable information about risks of making investment in specific bond or other type of credit issuing instruments. The behavior of credit rating agencies of USA was also identified as an important factor as cause of higher risk of financial crisis of 2008 (Kim et al., 2020). It is so because the bond rating agencies of United States have reported the special financial products with best ratings. In reality, these financial products were too risky as compared to other debt instruments. Due to wrong rating of such financing instruments, the banks or financial institutions have sold these products as safe debt instruments.</w:t>
      </w:r>
    </w:p>
    <w:p w:rsidR="00167F4B" w:rsidRDefault="004F7421">
      <w:pPr>
        <w:spacing w:after="0" w:line="480" w:lineRule="auto"/>
        <w:jc w:val="both"/>
        <w:rPr>
          <w:rFonts w:ascii="Times New Roman" w:hAnsi="Times New Roman" w:cs="Times New Roman"/>
          <w:sz w:val="24"/>
          <w:szCs w:val="24"/>
        </w:rPr>
      </w:pPr>
      <w:r>
        <w:rPr>
          <w:rFonts w:ascii="Times New Roman" w:hAnsi="Times New Roman" w:cs="Times New Roman"/>
          <w:sz w:val="24"/>
          <w:szCs w:val="24"/>
        </w:rPr>
        <w:t>It was also main task of OCR</w:t>
      </w:r>
      <w:r>
        <w:rPr>
          <w:rFonts w:ascii="Times New Roman" w:hAnsi="Times New Roman" w:cs="Times New Roman"/>
          <w:sz w:val="24"/>
          <w:szCs w:val="24"/>
        </w:rPr>
        <w:tab/>
        <w:t xml:space="preserve">to develop effective rules and policies for measurement of risk associated with different credit instruments. In simple words, it may be said that OCR focuses on protection of the interest and welfare of the customers in financial service sector. It is important for banks to ensure proper disclosure of terms and conditions related to different credit </w:t>
      </w:r>
      <w:r>
        <w:rPr>
          <w:rFonts w:ascii="Times New Roman" w:hAnsi="Times New Roman" w:cs="Times New Roman"/>
          <w:sz w:val="24"/>
          <w:szCs w:val="24"/>
        </w:rPr>
        <w:lastRenderedPageBreak/>
        <w:t>instruments or debt instruments (LA Times, 2023). The banks and financing authorities have prime duty to disclose information about risk associated with a credit instrument before selling the same to them. Proper power has been given to OCR for inquiry of methodology or technique used by different credit rating agencies for rating of different financing instruments. Moreover to this, the OCR has right to cancel registration of credit rating agencies, if they method of rating is found faulty or bad.</w:t>
      </w:r>
    </w:p>
    <w:p w:rsidR="00167F4B" w:rsidRDefault="004F7421">
      <w:pPr>
        <w:spacing w:after="0" w:line="480" w:lineRule="auto"/>
        <w:jc w:val="both"/>
        <w:rPr>
          <w:rFonts w:ascii="Times New Roman" w:hAnsi="Times New Roman" w:cs="Times New Roman"/>
          <w:sz w:val="24"/>
          <w:szCs w:val="24"/>
        </w:rPr>
      </w:pPr>
      <w:r>
        <w:rPr>
          <w:rFonts w:ascii="Times New Roman" w:hAnsi="Times New Roman" w:cs="Times New Roman"/>
          <w:sz w:val="24"/>
          <w:szCs w:val="24"/>
        </w:rPr>
        <w:t>FIO (i.e. Federal Insurance Office) is the name of another regulatory body, which was established by regulators in USA after 2008 financial crisis. This organization operates its activities under the Treasury department of country. Main task of this agency is to effectively monitor activities of different insurance companies operating across USA. It aims at ensuring that all the insurance companies of country comply with applicable legislations and industry standards while planning and carrying out their core business operations. In reality, the FIO is also a member at advisor level of FSOC (Kim et al., 2020). FIO also focuses on analysis of access of different people like underserved communities and consumers of the country to different affordable non-health insurance products. It is prime responsibility of the FIO to detect and evaluate key signs of possible collapse financial and insurance market of country. It provides valuable suggestions on different national and international matters of the market.</w:t>
      </w:r>
    </w:p>
    <w:p w:rsidR="00167F4B" w:rsidRDefault="004F7421">
      <w:pPr>
        <w:spacing w:after="0" w:line="480" w:lineRule="auto"/>
        <w:jc w:val="both"/>
        <w:rPr>
          <w:rFonts w:ascii="Times New Roman" w:hAnsi="Times New Roman" w:cs="Times New Roman"/>
          <w:sz w:val="24"/>
          <w:szCs w:val="24"/>
        </w:rPr>
      </w:pPr>
      <w:r>
        <w:rPr>
          <w:rFonts w:ascii="Times New Roman" w:hAnsi="Times New Roman" w:cs="Times New Roman"/>
          <w:sz w:val="24"/>
          <w:szCs w:val="24"/>
        </w:rPr>
        <w:t>Financial crisis of 2008 has significantly affected the economy and investors in economy of USA. Hedge fund is also observed and reported by different agencies as a factor, which is responsible for increased risk of financial crisis of 2008 in USA. Hedge fund is highly complex and confusing concept in the financing sector. After development of Dodd-Frank Act, it has been mandated for all banks and financing organizations in USA to register their hedge funds with SEC (</w:t>
      </w:r>
      <w:proofErr w:type="spellStart"/>
      <w:r>
        <w:rPr>
          <w:rFonts w:ascii="Times New Roman" w:hAnsi="Times New Roman" w:cs="Times New Roman"/>
          <w:sz w:val="24"/>
          <w:szCs w:val="24"/>
        </w:rPr>
        <w:t>Spano</w:t>
      </w:r>
      <w:proofErr w:type="spellEnd"/>
      <w:r>
        <w:rPr>
          <w:rFonts w:ascii="Times New Roman" w:hAnsi="Times New Roman" w:cs="Times New Roman"/>
          <w:sz w:val="24"/>
          <w:szCs w:val="24"/>
        </w:rPr>
        <w:t xml:space="preserve">, 2021). It is important for the banks and financial organizations to disclose </w:t>
      </w:r>
      <w:r>
        <w:rPr>
          <w:rFonts w:ascii="Times New Roman" w:hAnsi="Times New Roman" w:cs="Times New Roman"/>
          <w:sz w:val="24"/>
          <w:szCs w:val="24"/>
        </w:rPr>
        <w:lastRenderedPageBreak/>
        <w:t>information about key trades and portfolios associated with the hedge funds. Main purpose this practice is to inform SEC about risks associated with the hedge funds.</w:t>
      </w:r>
    </w:p>
    <w:p w:rsidR="00167F4B" w:rsidRDefault="004F7421">
      <w:pPr>
        <w:spacing w:after="0" w:line="480" w:lineRule="auto"/>
        <w:jc w:val="both"/>
        <w:rPr>
          <w:rFonts w:ascii="Times New Roman" w:hAnsi="Times New Roman" w:cs="Times New Roman"/>
          <w:sz w:val="24"/>
          <w:szCs w:val="24"/>
        </w:rPr>
      </w:pPr>
      <w:r>
        <w:rPr>
          <w:rFonts w:ascii="Times New Roman" w:hAnsi="Times New Roman" w:cs="Times New Roman"/>
          <w:sz w:val="24"/>
          <w:szCs w:val="24"/>
        </w:rPr>
        <w:t>The government and regulatory authorities of United States of America have focused on strengthening the regulations and provisions of the Sarbanes-Oxley Act. The legislation of the Sarbanes-Oxley Act was originally developed in 2002 in order to decrease risk of corporate scandals in public limited companies in the USA. It is so because corporate scandals like Enron significantly impact the welfare of investors and economy in nation. Corporate responsibility has been modified and reformed by the legislation of the Sarbanes-Oxley Act (</w:t>
      </w:r>
      <w:proofErr w:type="spellStart"/>
      <w:r>
        <w:rPr>
          <w:rFonts w:ascii="Times New Roman" w:hAnsi="Times New Roman" w:cs="Times New Roman"/>
          <w:sz w:val="24"/>
          <w:szCs w:val="24"/>
        </w:rPr>
        <w:t>Notteboom</w:t>
      </w:r>
      <w:proofErr w:type="spellEnd"/>
      <w:r>
        <w:rPr>
          <w:rFonts w:ascii="Times New Roman" w:hAnsi="Times New Roman" w:cs="Times New Roman"/>
          <w:sz w:val="24"/>
          <w:szCs w:val="24"/>
        </w:rPr>
        <w:t xml:space="preserve"> et al., 2021). Higher authorities of large public limited companies like CEOs have been made personally liable for incidents of accounting in company by the legislation of the Sarbanes-Oxley Act. This decision would encourage higher authorities to adopt strict monitoring and policies for minimizing the risk f corporate scandals. This legislation has also highlighted significance of providing protection to Whistleblowers in public limited organizations.</w:t>
      </w:r>
    </w:p>
    <w:p w:rsidR="00167F4B" w:rsidRDefault="004F7421">
      <w:pPr>
        <w:spacing w:after="0" w:line="480" w:lineRule="auto"/>
        <w:jc w:val="both"/>
        <w:rPr>
          <w:rFonts w:ascii="Times New Roman" w:hAnsi="Times New Roman" w:cs="Times New Roman"/>
          <w:sz w:val="24"/>
          <w:szCs w:val="24"/>
        </w:rPr>
      </w:pPr>
      <w:r>
        <w:rPr>
          <w:rFonts w:ascii="Times New Roman" w:hAnsi="Times New Roman" w:cs="Times New Roman"/>
          <w:sz w:val="24"/>
          <w:szCs w:val="24"/>
        </w:rPr>
        <w:t>This legislation has designed an effective bounty program for motivation of whistleblowers to report the incidents of accounting error or possible scandals. According to this bounty program, the individuals, who reports such incidents are entitled for receiving 10 to 30% of proceeds resulting from successful litigation settlement of incident reported by them (Kim et al., 2020). This kind of program is considered effective for motivating the employees and staff members for informing relevant regulatory bodies about detected bad behavior in company. The time limit of duration available for raising complaint has been enhanced from 90 days to 180 days.</w:t>
      </w:r>
    </w:p>
    <w:p w:rsidR="00167F4B" w:rsidRDefault="004F7421">
      <w:pPr>
        <w:spacing w:after="0" w:line="480" w:lineRule="auto"/>
        <w:jc w:val="both"/>
        <w:rPr>
          <w:rFonts w:ascii="Times New Roman" w:hAnsi="Times New Roman" w:cs="Times New Roman"/>
          <w:sz w:val="24"/>
          <w:szCs w:val="24"/>
        </w:rPr>
      </w:pPr>
      <w:r>
        <w:rPr>
          <w:rFonts w:ascii="Times New Roman" w:hAnsi="Times New Roman" w:cs="Times New Roman"/>
          <w:sz w:val="24"/>
          <w:szCs w:val="24"/>
        </w:rPr>
        <w:t xml:space="preserve">The regulations and provisions of Dodd-Frank Act have provided authority to SEC in USA for monitoring and regulation of trading related to derivative instruments. This legislation emphasizes on proper regulation and control of trading of derivative contracts in financial market of the country. Example of different derivative contracts includes exchange of bonds, </w:t>
      </w:r>
      <w:r>
        <w:rPr>
          <w:rFonts w:ascii="Times New Roman" w:hAnsi="Times New Roman" w:cs="Times New Roman"/>
          <w:sz w:val="24"/>
          <w:szCs w:val="24"/>
        </w:rPr>
        <w:lastRenderedPageBreak/>
        <w:t>commodities, currencies, interest rates, market indexes, and stocks (</w:t>
      </w:r>
      <w:proofErr w:type="spellStart"/>
      <w:r>
        <w:rPr>
          <w:rFonts w:ascii="Times New Roman" w:hAnsi="Times New Roman" w:cs="Times New Roman"/>
          <w:sz w:val="24"/>
          <w:szCs w:val="24"/>
        </w:rPr>
        <w:t>Notteboom</w:t>
      </w:r>
      <w:proofErr w:type="spellEnd"/>
      <w:r>
        <w:rPr>
          <w:rFonts w:ascii="Times New Roman" w:hAnsi="Times New Roman" w:cs="Times New Roman"/>
          <w:sz w:val="24"/>
          <w:szCs w:val="24"/>
        </w:rPr>
        <w:t xml:space="preserve"> et al., 2021). The regulatory agencies are developed in the country for taking effective actions in order to minimize risk of financial crisis in timely manner.</w:t>
      </w:r>
    </w:p>
    <w:p w:rsidR="00167F4B" w:rsidRDefault="004F7421">
      <w:pPr>
        <w:spacing w:after="0" w:line="480" w:lineRule="auto"/>
        <w:jc w:val="both"/>
        <w:rPr>
          <w:rFonts w:ascii="Times New Roman" w:hAnsi="Times New Roman" w:cs="Times New Roman"/>
          <w:sz w:val="24"/>
          <w:szCs w:val="24"/>
        </w:rPr>
      </w:pPr>
      <w:r>
        <w:rPr>
          <w:rFonts w:ascii="Times New Roman" w:hAnsi="Times New Roman" w:cs="Times New Roman"/>
          <w:sz w:val="24"/>
          <w:szCs w:val="24"/>
        </w:rPr>
        <w:t>One of the most effective regulations identified in USA after financial crisis of 2008 is the implementation of The Volcker Rule. This regulation is developed and introduced in the country for prohibiting banks from undertaking speculative trading practices. The banks or financing organizations have not authority or right of the proprietary trading. These organizations do not have any authority to undertake activities of purchase or selling of securities, derivatives, futures, or commodities in the bank’s accounts (Li, 2019). This kind of practice was also reported during the financial crisis of 2008. The financing organizations were identified engaged in activities of account creation and trading of derivative instruments. These kinds of trading practices have caused increased liabilities as well as the increase in number of incidents of bankruptcy of financing organizations.</w:t>
      </w:r>
    </w:p>
    <w:p w:rsidR="00167F4B" w:rsidRDefault="004F7421">
      <w:pPr>
        <w:spacing w:after="0" w:line="480" w:lineRule="auto"/>
        <w:jc w:val="both"/>
        <w:rPr>
          <w:rFonts w:ascii="Times New Roman" w:hAnsi="Times New Roman" w:cs="Times New Roman"/>
          <w:sz w:val="24"/>
          <w:szCs w:val="24"/>
        </w:rPr>
      </w:pPr>
      <w:r>
        <w:rPr>
          <w:rFonts w:ascii="Times New Roman" w:hAnsi="Times New Roman" w:cs="Times New Roman"/>
          <w:sz w:val="24"/>
          <w:szCs w:val="24"/>
        </w:rPr>
        <w:t>The Volcker rule depicts that banks and financial organizations are not allowed to conduct the trading practices by use of own funds for purpose of making profit. According to the Volcker rule, banks or financing organizations should become a boring entity same like the situation of prior of addiction to trading profits. However, the banks and financial organization may carry out trading of key commodities, which is necessary for running the core banking operations like trading of foreign currencies. The banks and financial organizations are also provided authority to undertake the trading on behalf of their client or customer (Li, 2019). This activity is done by banks or financial institutions in the form of role of broker or custodian of the client. Volcker rule has also prevented banks or similar organizations in USA from the activities of sponsorship of hedge funds, private equity firms, etc.</w:t>
      </w:r>
    </w:p>
    <w:p w:rsidR="00167F4B" w:rsidRDefault="004F7421">
      <w:pPr>
        <w:spacing w:after="0" w:line="480" w:lineRule="auto"/>
        <w:jc w:val="both"/>
        <w:rPr>
          <w:rFonts w:ascii="Times New Roman" w:hAnsi="Times New Roman" w:cs="Times New Roman"/>
          <w:sz w:val="24"/>
          <w:szCs w:val="24"/>
        </w:rPr>
      </w:pPr>
      <w:r>
        <w:rPr>
          <w:rFonts w:ascii="Times New Roman" w:hAnsi="Times New Roman" w:cs="Times New Roman"/>
          <w:sz w:val="24"/>
          <w:szCs w:val="24"/>
        </w:rPr>
        <w:lastRenderedPageBreak/>
        <w:t>The Dodd-Frank Act of USA has focused on development of CFPB (i.e. Consumer Financial Protection Bureau) in country. Primary purpose behind set-up of this organization is to provide high level of protection to customers from risky financial products. CFPB has authority to regulate the behavior of organizations selling financial products in USA. It also has power to implement laws related to elimination of eliminate discriminatory practices with consumers in financial sector (</w:t>
      </w:r>
      <w:proofErr w:type="spellStart"/>
      <w:r>
        <w:rPr>
          <w:rFonts w:ascii="Times New Roman" w:hAnsi="Times New Roman" w:cs="Times New Roman"/>
          <w:sz w:val="24"/>
          <w:szCs w:val="24"/>
        </w:rPr>
        <w:t>Spano</w:t>
      </w:r>
      <w:proofErr w:type="spellEnd"/>
      <w:r>
        <w:rPr>
          <w:rFonts w:ascii="Times New Roman" w:hAnsi="Times New Roman" w:cs="Times New Roman"/>
          <w:sz w:val="24"/>
          <w:szCs w:val="24"/>
        </w:rPr>
        <w:t>, 2021). This agency has power to impose fines on financial organizations that have breached the applicable industry regulations. Customers can directly make complain in CFPB for inappropriate behavior of financial organizations in USA.</w:t>
      </w:r>
    </w:p>
    <w:p w:rsidR="00167F4B" w:rsidRDefault="004F7421">
      <w:pPr>
        <w:pStyle w:val="Heading1"/>
        <w:spacing w:before="0" w:line="480" w:lineRule="auto"/>
        <w:rPr>
          <w:rFonts w:ascii="Times New Roman" w:hAnsi="Times New Roman" w:cs="Times New Roman"/>
          <w:sz w:val="24"/>
          <w:szCs w:val="24"/>
        </w:rPr>
      </w:pPr>
      <w:bookmarkStart w:id="2" w:name="_Toc153989660"/>
      <w:r>
        <w:rPr>
          <w:rFonts w:ascii="Times New Roman" w:hAnsi="Times New Roman" w:cs="Times New Roman"/>
          <w:sz w:val="24"/>
          <w:szCs w:val="24"/>
        </w:rPr>
        <w:t>Regulatory Reforms of another Selected Country after 2008 Financial Crisis:</w:t>
      </w:r>
      <w:bookmarkEnd w:id="2"/>
    </w:p>
    <w:p w:rsidR="00167F4B" w:rsidRDefault="004F7421">
      <w:pPr>
        <w:spacing w:after="0" w:line="480" w:lineRule="auto"/>
        <w:jc w:val="both"/>
        <w:rPr>
          <w:rFonts w:ascii="Times New Roman" w:hAnsi="Times New Roman" w:cs="Times New Roman"/>
          <w:sz w:val="24"/>
          <w:szCs w:val="24"/>
        </w:rPr>
      </w:pPr>
      <w:r>
        <w:rPr>
          <w:rFonts w:ascii="Times New Roman" w:hAnsi="Times New Roman" w:cs="Times New Roman"/>
          <w:sz w:val="24"/>
          <w:szCs w:val="24"/>
        </w:rPr>
        <w:t xml:space="preserve">It has been finalized that legislative reforms and policy development initiatives of on-US agencies will be discussed and evaluated n context of United Kingdom. It is so because the financial crisis of 2008 has badly impacted the housing market and capital market of UK. An important type of legislative reform, which was seen in UK, is the Ring-fencing regime. This ring-fencing regime was launched by regulatory authorities of country for purpose of separating the retail banking activities of banks from investment bank activities. Due to this initiative, the regulatory bodies of United Kingdom have focused on minimizing impact of investment banking market over retail banking activities (CNBC, 2023). This initiative is also aimed at minimizing risk of occurrence of failure of retail banks in United Kingdom. The ring fencing regime also focuses on ensuring that state can directly support the retail bank, if it fails without putting the tax payer’s money. In reality, the ring-fencing regime was developed across rulebook, FSMA, and specific legislations. This regime will apply to all the banks of United Kingdom with the value of minimum deposit amount of £25 million. This investment amount of the banks is composed of deposits done from both retail customers and business customers. The ring-fencing </w:t>
      </w:r>
      <w:r>
        <w:rPr>
          <w:rFonts w:ascii="Times New Roman" w:hAnsi="Times New Roman" w:cs="Times New Roman"/>
          <w:sz w:val="24"/>
          <w:szCs w:val="24"/>
        </w:rPr>
        <w:lastRenderedPageBreak/>
        <w:t>regime has provided restrictions over fenced banks from the involvement in purchase or sell of investment banking products and services such as stocks, derivatives, and investment funds.</w:t>
      </w:r>
    </w:p>
    <w:p w:rsidR="00167F4B" w:rsidRDefault="004F7421">
      <w:pPr>
        <w:spacing w:after="0" w:line="480" w:lineRule="auto"/>
        <w:jc w:val="both"/>
        <w:rPr>
          <w:rFonts w:ascii="Times New Roman" w:hAnsi="Times New Roman" w:cs="Times New Roman"/>
          <w:sz w:val="24"/>
          <w:szCs w:val="24"/>
        </w:rPr>
      </w:pPr>
      <w:r>
        <w:rPr>
          <w:rFonts w:ascii="Times New Roman" w:hAnsi="Times New Roman" w:cs="Times New Roman"/>
          <w:sz w:val="24"/>
          <w:szCs w:val="24"/>
        </w:rPr>
        <w:t>Example of another important initiative, which was undertaken by government bodies in UK during post 2008-financial crisis era, is imposing requirement of minimum ratio of capital to total assets. In addition to this, all the banks in country are required to maintain minimum 6.5% value of common equity capital of total risk weighted assets. It is also mandatory for all the banking organizations of UK to maintain leverage ratio of 3% in the business. There is strict focus on separation of retail banks from investment banking practices in market (Parliament UK, 2023). It is also an important requirement that there should be focus on implementation of strict regulations of banking and investment practices of the financial organizations in UK for minimizing risk of likelihood of occurrence of similar financial crisis in future. There should be restrictions or ban over trading of high risk lending and financial products in banking sector of the country. It is so because high risk lending products can enhance level of total NPAs of the banking and financing organizations.</w:t>
      </w:r>
    </w:p>
    <w:p w:rsidR="00167F4B" w:rsidRDefault="004F7421">
      <w:pPr>
        <w:spacing w:after="0" w:line="480" w:lineRule="auto"/>
        <w:jc w:val="both"/>
        <w:rPr>
          <w:rFonts w:ascii="Times New Roman" w:hAnsi="Times New Roman" w:cs="Times New Roman"/>
          <w:sz w:val="24"/>
          <w:szCs w:val="24"/>
        </w:rPr>
      </w:pPr>
      <w:r>
        <w:rPr>
          <w:rFonts w:ascii="Times New Roman" w:hAnsi="Times New Roman" w:cs="Times New Roman"/>
          <w:sz w:val="24"/>
          <w:szCs w:val="24"/>
        </w:rPr>
        <w:t xml:space="preserve">It is a true fact that there is higher need of imposing effective regulations and restrictions over unethical banking practices of the banks or financial organizations. In addition to this, government and regulatory authorities of United Kingdom have expressed concerns that there should be restrictions over banking entities that provide online access to trading venues and relevant services of the European Union (CNBC, 2023). Moreover to this, there is emphasis on introducing strong capital standards for the banks. It is so because there is higher significance of resilience of banking and financial companies towards the events related to variation in the total value of their assets. It is so because the banking firms often experience change in value of their assets due to circumstances of economic downturn in economy. ‘The Financial Conduct Authority’ (i.e. FCA) is example of an important regulatory authority, which was set-up by the </w:t>
      </w:r>
      <w:r>
        <w:rPr>
          <w:rFonts w:ascii="Times New Roman" w:hAnsi="Times New Roman" w:cs="Times New Roman"/>
          <w:sz w:val="24"/>
          <w:szCs w:val="24"/>
        </w:rPr>
        <w:lastRenderedPageBreak/>
        <w:t xml:space="preserve">government of UK after incident of 2008 financial crisis (Parliament UK, 2023). The responsibility of FCA is to regulate and monitor the banking activities of different banks and financial organizations of country. It also emphasizes on monitoring the conduct and decisions of key employees working across banking organizations. In reality, the FCA has increased accountability of senior employees of banks and financial organizations like CEO, directors, </w:t>
      </w:r>
      <w:proofErr w:type="spellStart"/>
      <w:r>
        <w:rPr>
          <w:rFonts w:ascii="Times New Roman" w:hAnsi="Times New Roman" w:cs="Times New Roman"/>
          <w:sz w:val="24"/>
          <w:szCs w:val="24"/>
        </w:rPr>
        <w:t>etc</w:t>
      </w:r>
      <w:proofErr w:type="spellEnd"/>
      <w:r>
        <w:rPr>
          <w:rFonts w:ascii="Times New Roman" w:hAnsi="Times New Roman" w:cs="Times New Roman"/>
          <w:sz w:val="24"/>
          <w:szCs w:val="24"/>
        </w:rPr>
        <w:t xml:space="preserve"> for the situation of short-termism and excessive risk taking behavior.</w:t>
      </w:r>
    </w:p>
    <w:p w:rsidR="00167F4B" w:rsidRDefault="004F7421">
      <w:pPr>
        <w:spacing w:after="0" w:line="480" w:lineRule="auto"/>
        <w:jc w:val="both"/>
        <w:rPr>
          <w:rFonts w:ascii="Times New Roman" w:hAnsi="Times New Roman" w:cs="Times New Roman"/>
          <w:sz w:val="24"/>
          <w:szCs w:val="24"/>
        </w:rPr>
      </w:pPr>
      <w:r>
        <w:rPr>
          <w:rFonts w:ascii="Times New Roman" w:hAnsi="Times New Roman" w:cs="Times New Roman"/>
          <w:sz w:val="24"/>
          <w:szCs w:val="24"/>
        </w:rPr>
        <w:t>Similar to this, the government of UK has established the body known as Prudential Regulation Authority. This authority was set-up in 2013. It is also considered as an active arm of the Bank of England in UK. This regulatory authority ensures that all the banks and financial institutions of country have written will that that would entirely support the regulatory authority in the event of failure of their business for eliminating the risk of failure (OBR UK, 2023). This agency is also responsible for enhancing likelihood of stability of the banking and financial system of United Kingdom. New financial committee uses its power and authorities from time to time for evaluating the incidents of high risk like housing bubble in country, high risk lending practices, etc.</w:t>
      </w:r>
    </w:p>
    <w:p w:rsidR="00167F4B" w:rsidRDefault="004F7421">
      <w:pPr>
        <w:spacing w:after="0" w:line="480" w:lineRule="auto"/>
        <w:jc w:val="both"/>
        <w:rPr>
          <w:rFonts w:ascii="Times New Roman" w:hAnsi="Times New Roman" w:cs="Times New Roman"/>
          <w:sz w:val="24"/>
          <w:szCs w:val="24"/>
        </w:rPr>
      </w:pPr>
      <w:r>
        <w:rPr>
          <w:rFonts w:ascii="Times New Roman" w:hAnsi="Times New Roman" w:cs="Times New Roman"/>
          <w:sz w:val="24"/>
          <w:szCs w:val="24"/>
        </w:rPr>
        <w:t xml:space="preserve">The government of UK and central bank of United Kingdom have been actively working for improving the regulatory environment of country in order to minimize risk of market failures and financial system. The enhanced regulatory environment emphasizes on eliminating risk factors of bank failure and to minimize impact of such failures on financial system and economy of country as a whole (Parliament UK, 2023). Example of an important regulatory reform in financial system of United Kingdom is the development of Financial Policy Committee (i.e. FPC). This committee focuses on identification of risks exposed to stability of financial system of country and to take appropriate decisions for eliminating such kinds of risk factors. It is very important to ensure that all the banking organizations as well as regulatory agencies of country follow holistic </w:t>
      </w:r>
      <w:r>
        <w:rPr>
          <w:rFonts w:ascii="Times New Roman" w:hAnsi="Times New Roman" w:cs="Times New Roman"/>
          <w:sz w:val="24"/>
          <w:szCs w:val="24"/>
        </w:rPr>
        <w:lastRenderedPageBreak/>
        <w:t>approach for enhancing the stability of financial system of UK (CNBC, 2023). The banking organizations of UK have emphasized on creation of capital resources after the event of 2008 financial crisis. The value of risk weighted capital ratio of banking organizations in UK has increased significantly after this financial crisis. The value of this ratio is very consistent with the regulatory requirements being described by regulatory agencies.</w:t>
      </w:r>
    </w:p>
    <w:p w:rsidR="00167F4B" w:rsidRDefault="004F7421">
      <w:pPr>
        <w:spacing w:after="0" w:line="480" w:lineRule="auto"/>
        <w:jc w:val="both"/>
        <w:rPr>
          <w:rFonts w:ascii="Times New Roman" w:hAnsi="Times New Roman" w:cs="Times New Roman"/>
          <w:sz w:val="24"/>
          <w:szCs w:val="24"/>
        </w:rPr>
      </w:pPr>
      <w:r>
        <w:rPr>
          <w:rFonts w:ascii="Times New Roman" w:hAnsi="Times New Roman" w:cs="Times New Roman"/>
          <w:sz w:val="24"/>
          <w:szCs w:val="24"/>
        </w:rPr>
        <w:t>An important type of tool, which was used by regulatory authorities in United Kingdom, is the annual stress test. This stress test is conducted by central bank of country (i.e. Bank of England) for the banking and financial organizations of country. This test is helpful to evaluate and ensure that particular banking organization is able to continue its banking activities during crisis of financial stress. In 2016, the FPC has outlined that banking and financial system of country is god based on outcomes of this test. It is so because the banking system of UK economy is highly capitalized and is capable to support the economy in severe, broad, and synchronized financial stress situations (OBR UK, 2023). Example of different possible situations of financial stress includes global recession, misconduct of any banking organization, etc. The central banks of country as well as other regulatory authorities of UK have used the exploratory scenario approach for evaluation of resilience of the banking and financial sector of country for different possible market risks. But, this approach is not linked with financial cycles experienced from time to time in an economy or country.</w:t>
      </w:r>
    </w:p>
    <w:p w:rsidR="00167F4B" w:rsidRDefault="004F7421">
      <w:pPr>
        <w:spacing w:after="0" w:line="480" w:lineRule="auto"/>
        <w:jc w:val="both"/>
        <w:rPr>
          <w:rFonts w:ascii="Times New Roman" w:hAnsi="Times New Roman" w:cs="Times New Roman"/>
          <w:sz w:val="24"/>
          <w:szCs w:val="24"/>
        </w:rPr>
      </w:pPr>
      <w:r>
        <w:rPr>
          <w:rFonts w:ascii="Times New Roman" w:hAnsi="Times New Roman" w:cs="Times New Roman"/>
          <w:sz w:val="24"/>
          <w:szCs w:val="24"/>
        </w:rPr>
        <w:t xml:space="preserve">The government and other regulatory bodies of United Kingdom have developed legislative and regulatory reforms for ensuring that financial system of country can be effectively protected in the event of failure of banks. There is focus on taking effective actions in timely manner in the event of banking failures or capital market crash (GLI, 2023). Main purpose behind such actions is to prevent situation of complete fall-down and bankruptcy of organization. In other words, the </w:t>
      </w:r>
      <w:r>
        <w:rPr>
          <w:rFonts w:ascii="Times New Roman" w:hAnsi="Times New Roman" w:cs="Times New Roman"/>
          <w:sz w:val="24"/>
          <w:szCs w:val="24"/>
        </w:rPr>
        <w:lastRenderedPageBreak/>
        <w:t>government and regulatory authorities focus on avoiding situation of disorderly insolvency of different organizations in banking sector.</w:t>
      </w:r>
    </w:p>
    <w:p w:rsidR="00167F4B" w:rsidRDefault="004F7421">
      <w:pPr>
        <w:spacing w:after="0" w:line="480" w:lineRule="auto"/>
        <w:jc w:val="both"/>
        <w:rPr>
          <w:rFonts w:ascii="Times New Roman" w:hAnsi="Times New Roman" w:cs="Times New Roman"/>
          <w:sz w:val="24"/>
          <w:szCs w:val="24"/>
        </w:rPr>
      </w:pPr>
      <w:r>
        <w:rPr>
          <w:rFonts w:ascii="Times New Roman" w:hAnsi="Times New Roman" w:cs="Times New Roman"/>
          <w:sz w:val="24"/>
          <w:szCs w:val="24"/>
        </w:rPr>
        <w:t>Moreover to this, the Financial Services (Banking Reform) Act 2013 was developed and passed by the government of UK in 2013 for protection of the economy of country in future from the future financial crisis. This legislation also focuses on separation of the retail banking practices from investment banking practices in the economy of UK. This separation need to be done by all banking and financial organization by end of 2019 (Frank, 2019). This kind of action is called as ring-fencing reform. The resolution authority of UK has right and authority to provide solution, if any banking organization require for process of separation of the retail banking from investment banking. Main purpose behind such separation is to provide separate treatment of the retail banking transactions in organizations. It is so because banks are involved in development of large balance sheets related to investment banking.</w:t>
      </w:r>
    </w:p>
    <w:p w:rsidR="00167F4B" w:rsidRDefault="004F7421">
      <w:pPr>
        <w:spacing w:after="0" w:line="480" w:lineRule="auto"/>
        <w:jc w:val="both"/>
        <w:rPr>
          <w:rFonts w:ascii="Times New Roman" w:hAnsi="Times New Roman" w:cs="Times New Roman"/>
          <w:sz w:val="24"/>
          <w:szCs w:val="24"/>
        </w:rPr>
      </w:pPr>
      <w:r>
        <w:rPr>
          <w:rFonts w:ascii="Times New Roman" w:hAnsi="Times New Roman" w:cs="Times New Roman"/>
          <w:sz w:val="24"/>
          <w:szCs w:val="24"/>
        </w:rPr>
        <w:t>The government of UK has also designed and introduced the regime of comprehensive banking resolution after the era of financial crisis of 2008. This resolution was created with the purpose of managing possible situations of banking failures in financial system of UK. Bank of England has been given authority of “bail-in” to the shareholders and creditors for the banking organizations with incidents of failure (GLI, 2023). Under the arrangement of “bail-in”, the bank of England focuses on recapitalizing of bank by the use of own resources of bank and for purpose of absorbing the losses resulting from incident of failure. In this regard, the regulatory authorities and banks issue the debt absorbing debt instruments in market.</w:t>
      </w:r>
    </w:p>
    <w:p w:rsidR="00167F4B" w:rsidRDefault="004F7421">
      <w:pPr>
        <w:spacing w:after="0" w:line="480" w:lineRule="auto"/>
        <w:jc w:val="both"/>
        <w:rPr>
          <w:rFonts w:ascii="Times New Roman" w:hAnsi="Times New Roman" w:cs="Times New Roman"/>
          <w:sz w:val="24"/>
          <w:szCs w:val="24"/>
        </w:rPr>
      </w:pPr>
      <w:r>
        <w:rPr>
          <w:rFonts w:ascii="Times New Roman" w:hAnsi="Times New Roman" w:cs="Times New Roman"/>
          <w:sz w:val="24"/>
          <w:szCs w:val="24"/>
        </w:rPr>
        <w:t xml:space="preserve">It is also clarified by the government authorities of UK that responses related to response to financial crisis of 2008 would not influence the banking operations of retail focused banks in country. It was also clarified that rules and policies related to accountability of senior authorities of banks would be reviewed and updated. In this regard, the senior manager regime was designed </w:t>
      </w:r>
      <w:r>
        <w:rPr>
          <w:rFonts w:ascii="Times New Roman" w:hAnsi="Times New Roman" w:cs="Times New Roman"/>
          <w:sz w:val="24"/>
          <w:szCs w:val="24"/>
        </w:rPr>
        <w:lastRenderedPageBreak/>
        <w:t>and launched by UK government in 2016 for the banking organizations. In accordance to this regulation, the senior managers and directors of the large banking organizations of country can directly be made liable for poor decision making in the organization, poor quality of work culture, accounting errors, and their own actions (Frank, 2019). They can face penalties and other actions for their inappropriate actions taken in the banking organizations. This kind of change or reform was introduced by UK government under the Edinburgh Reforms. The document of Edinburgh Reforms has provided rules and regulations related to insurer’s balance sheets, real estate investment trusts, short selling, and listing of new stocks over capital market or stock exchanges of country.</w:t>
      </w:r>
    </w:p>
    <w:p w:rsidR="00167F4B" w:rsidRDefault="004F7421">
      <w:pPr>
        <w:spacing w:after="0" w:line="480" w:lineRule="auto"/>
        <w:jc w:val="both"/>
        <w:rPr>
          <w:rFonts w:ascii="Times New Roman" w:hAnsi="Times New Roman" w:cs="Times New Roman"/>
          <w:sz w:val="24"/>
          <w:szCs w:val="24"/>
        </w:rPr>
      </w:pPr>
      <w:r>
        <w:rPr>
          <w:rFonts w:ascii="Times New Roman" w:hAnsi="Times New Roman" w:cs="Times New Roman"/>
          <w:sz w:val="24"/>
          <w:szCs w:val="24"/>
        </w:rPr>
        <w:t>The regulatory authorities of UK have also focused on enhancing competitiveness of financial system of United Kingdom for domestic as well as foreign market players in banking sector. However, the regulatory authorities have focused on identification and elimination of bottlenecks of financial system of country for minimizing risk of financial crisis in future (</w:t>
      </w:r>
      <w:proofErr w:type="spellStart"/>
      <w:r>
        <w:rPr>
          <w:rFonts w:ascii="Times New Roman" w:hAnsi="Times New Roman" w:cs="Times New Roman"/>
          <w:sz w:val="24"/>
          <w:szCs w:val="24"/>
        </w:rPr>
        <w:t>Malewska</w:t>
      </w:r>
      <w:proofErr w:type="spellEnd"/>
      <w:r>
        <w:rPr>
          <w:rFonts w:ascii="Times New Roman" w:hAnsi="Times New Roman" w:cs="Times New Roman"/>
          <w:sz w:val="24"/>
          <w:szCs w:val="24"/>
        </w:rPr>
        <w:t>, 2021). These authorities focus on achievement of sustainable financial performance of the banking and financial organizations. The limitation or cap of bonus of the bankers was also removed by the regulatory bodies of country. Effective regulatory reform is also important in financial system of country for achievement of sustainable performance of economy and financial system in the nation.</w:t>
      </w:r>
    </w:p>
    <w:p w:rsidR="00AE2A08" w:rsidRDefault="00AE2A08">
      <w:pPr>
        <w:spacing w:after="0" w:line="480" w:lineRule="auto"/>
        <w:jc w:val="both"/>
        <w:rPr>
          <w:rFonts w:ascii="Times New Roman" w:hAnsi="Times New Roman" w:cs="Times New Roman"/>
          <w:sz w:val="24"/>
          <w:szCs w:val="24"/>
        </w:rPr>
      </w:pPr>
    </w:p>
    <w:p w:rsidR="00A2629C" w:rsidRDefault="00A2629C" w:rsidP="00A2629C">
      <w:pPr>
        <w:rPr>
          <w:rFonts w:ascii="Times New Roman" w:hAnsi="Times New Roman" w:cs="Times New Roman"/>
          <w:sz w:val="24"/>
          <w:szCs w:val="24"/>
        </w:rPr>
      </w:pPr>
      <w:bookmarkStart w:id="3" w:name="_Toc153209400"/>
      <w:bookmarkStart w:id="4" w:name="_Toc153989661"/>
    </w:p>
    <w:p w:rsidR="000D2875" w:rsidRDefault="000D2875">
      <w:pPr>
        <w:pStyle w:val="Heading1"/>
        <w:spacing w:before="0" w:line="480" w:lineRule="auto"/>
        <w:rPr>
          <w:rFonts w:ascii="Times New Roman" w:hAnsi="Times New Roman" w:cs="Times New Roman"/>
          <w:sz w:val="24"/>
          <w:szCs w:val="24"/>
        </w:rPr>
      </w:pPr>
    </w:p>
    <w:p w:rsidR="000D2875" w:rsidRPr="000D2875" w:rsidRDefault="000D2875" w:rsidP="000D2875"/>
    <w:p w:rsidR="00167F4B" w:rsidRDefault="004F7421">
      <w:pPr>
        <w:pStyle w:val="Heading1"/>
        <w:spacing w:before="0" w:line="480" w:lineRule="auto"/>
        <w:rPr>
          <w:rFonts w:ascii="Times New Roman" w:hAnsi="Times New Roman" w:cs="Times New Roman"/>
          <w:sz w:val="24"/>
          <w:szCs w:val="24"/>
        </w:rPr>
      </w:pPr>
      <w:r>
        <w:rPr>
          <w:rFonts w:ascii="Times New Roman" w:hAnsi="Times New Roman" w:cs="Times New Roman"/>
          <w:sz w:val="24"/>
          <w:szCs w:val="24"/>
        </w:rPr>
        <w:lastRenderedPageBreak/>
        <w:t>Effectiveness of Different Reforms to Stabilize the Financial System</w:t>
      </w:r>
      <w:bookmarkEnd w:id="3"/>
      <w:r>
        <w:rPr>
          <w:rFonts w:ascii="Times New Roman" w:hAnsi="Times New Roman" w:cs="Times New Roman"/>
          <w:sz w:val="24"/>
          <w:szCs w:val="24"/>
        </w:rPr>
        <w:t>:</w:t>
      </w:r>
      <w:bookmarkEnd w:id="4"/>
    </w:p>
    <w:p w:rsidR="00167F4B" w:rsidRDefault="004F7421">
      <w:pPr>
        <w:spacing w:after="0" w:line="480" w:lineRule="auto"/>
        <w:jc w:val="both"/>
        <w:rPr>
          <w:rFonts w:ascii="Times New Roman" w:hAnsi="Times New Roman" w:cs="Times New Roman"/>
          <w:sz w:val="24"/>
          <w:szCs w:val="24"/>
        </w:rPr>
      </w:pPr>
      <w:r>
        <w:rPr>
          <w:rFonts w:ascii="Times New Roman" w:hAnsi="Times New Roman" w:cs="Times New Roman"/>
          <w:sz w:val="24"/>
          <w:szCs w:val="24"/>
        </w:rPr>
        <w:t>On basis of review and analysis of regulatory reforms of USA and UK, it is observed that reforms and legislations of both countries are effective. It is so because both regulations have emphasized on enhancing regulation and control of banking practices of the banks and financial entities. The regulations of both countries are focused on ensuring that banks run the banking operations in well disciplined manner. It is an important finding of the analysis of regulatory reforms, there is similarity in different actions of the USA and UK. For example, governments of both countries have focused on nationalization of the banks (Frank, 2019). This decision was also taken for enhancing stability of financial system of country. There are various banks that were nationalized in UK involves Royal Bank of Scotland (RBS) and Lloyds Banking Group. Example of bank that was nationalized after crisis of 2008 in USA is Citigroup. Main purpose of nationalization of banks is to ensure sustainable operations of banks after crisis.</w:t>
      </w:r>
    </w:p>
    <w:p w:rsidR="00167F4B" w:rsidRDefault="004F7421">
      <w:pPr>
        <w:spacing w:after="0" w:line="480" w:lineRule="auto"/>
        <w:jc w:val="both"/>
        <w:rPr>
          <w:rFonts w:ascii="Times New Roman" w:hAnsi="Times New Roman" w:cs="Times New Roman"/>
          <w:sz w:val="24"/>
          <w:szCs w:val="24"/>
        </w:rPr>
      </w:pPr>
      <w:r>
        <w:rPr>
          <w:rFonts w:ascii="Times New Roman" w:hAnsi="Times New Roman" w:cs="Times New Roman"/>
          <w:sz w:val="24"/>
          <w:szCs w:val="24"/>
        </w:rPr>
        <w:t>The government of UK has also launched the deposit protection scheme after the incident of financial crisis of 2008. This scheme has been designed by government for purpose of ensuring insurance of the depositor’s money across different banks and financial organizations of country. This protection scheme aims at ensuring security of the households and business firms from events of failure of one or more banks in country (GLI, 2023). In addition to this, government of UK has launched the enterprise finance guarantee scheme. This scheme aims at providing guarantee for the loan provided to different SME firms in country by the banks. Another important regulatory reform of banking industry of UK is Financial Services Act of 2012. This legislation emphasizes on increasing transparency and oversight of financial organizations for better protection of consumers.</w:t>
      </w:r>
    </w:p>
    <w:p w:rsidR="00167F4B" w:rsidRDefault="004F7421">
      <w:pPr>
        <w:spacing w:after="0" w:line="480" w:lineRule="auto"/>
        <w:jc w:val="both"/>
        <w:rPr>
          <w:rFonts w:ascii="Times New Roman" w:hAnsi="Times New Roman" w:cs="Times New Roman"/>
          <w:sz w:val="24"/>
          <w:szCs w:val="24"/>
        </w:rPr>
      </w:pPr>
      <w:r>
        <w:rPr>
          <w:rFonts w:ascii="Times New Roman" w:hAnsi="Times New Roman" w:cs="Times New Roman"/>
          <w:sz w:val="24"/>
          <w:szCs w:val="24"/>
        </w:rPr>
        <w:t xml:space="preserve">In reality, the legislation of Dodd-Frank Act of USA is very effective for monitoring of banking organizations in country. It has made the monitoring of such organizations by Federal Reserve f </w:t>
      </w:r>
      <w:r>
        <w:rPr>
          <w:rFonts w:ascii="Times New Roman" w:hAnsi="Times New Roman" w:cs="Times New Roman"/>
          <w:sz w:val="24"/>
          <w:szCs w:val="24"/>
        </w:rPr>
        <w:lastRenderedPageBreak/>
        <w:t>country mandatory. Similar to this, the annual stress test of such organization was also made mandatory. It is so because annual stress test helps to ensure that banking organizations of country are well prepared to survive in events of potential unforeseen financial stress. The financial stress is carried out for different banking organizations for possible or hypothetical financial stress situations (Federal Reserve, 2023). The federal reserve of USA has power to impose restrictions on suspension of decisions related to buyback of shares, dividend decisions, etc. The regulatory authorities emphasize on ensuring that banking organizations in financial system of country are capable to survive in any potential situation of financial stress.</w:t>
      </w:r>
    </w:p>
    <w:p w:rsidR="00167F4B" w:rsidRDefault="004F7421">
      <w:pPr>
        <w:spacing w:after="0" w:line="480" w:lineRule="auto"/>
        <w:jc w:val="both"/>
        <w:rPr>
          <w:rFonts w:ascii="Times New Roman" w:hAnsi="Times New Roman" w:cs="Times New Roman"/>
          <w:sz w:val="24"/>
          <w:szCs w:val="24"/>
        </w:rPr>
      </w:pPr>
      <w:r>
        <w:rPr>
          <w:rFonts w:ascii="Times New Roman" w:hAnsi="Times New Roman" w:cs="Times New Roman"/>
          <w:sz w:val="24"/>
          <w:szCs w:val="24"/>
        </w:rPr>
        <w:t xml:space="preserve">The regulatory authorities of USA have developed FSOC for purpose of ensuring that any banks or financial organizations do not become ‘too large to fail’. Main reason behind such decision was that recent incident of financial crisis of 2008 has evidenced that several banking organizations were too large to be managed in financial system of USA. So, the decision of avoiding situation of banking organizations to become too large was motivated with aim of enhancing their effectiveness during the financial crisis (Hood and </w:t>
      </w:r>
      <w:proofErr w:type="spellStart"/>
      <w:r>
        <w:rPr>
          <w:rFonts w:ascii="Times New Roman" w:hAnsi="Times New Roman" w:cs="Times New Roman"/>
          <w:sz w:val="24"/>
          <w:szCs w:val="24"/>
        </w:rPr>
        <w:t>Piotrowska</w:t>
      </w:r>
      <w:proofErr w:type="spellEnd"/>
      <w:r>
        <w:rPr>
          <w:rFonts w:ascii="Times New Roman" w:hAnsi="Times New Roman" w:cs="Times New Roman"/>
          <w:sz w:val="24"/>
          <w:szCs w:val="24"/>
        </w:rPr>
        <w:t>, 2023). FSOC also obtains the valuable insights from academic experts and industry experts for taking high quality of decisions for enhancing stability of financial system. FSOC has use its powers for imposing restrictions on banks and financial organizations that are found engaged in risky banking behavior.</w:t>
      </w:r>
    </w:p>
    <w:p w:rsidR="00FD1754" w:rsidRDefault="00FD1754" w:rsidP="00FD1754">
      <w:bookmarkStart w:id="5" w:name="_Toc153209401"/>
      <w:bookmarkStart w:id="6" w:name="_Toc153989662"/>
    </w:p>
    <w:p w:rsidR="00B35210" w:rsidRDefault="00B35210" w:rsidP="00FD1754"/>
    <w:p w:rsidR="00B35210" w:rsidRDefault="00B35210" w:rsidP="00FD1754"/>
    <w:p w:rsidR="00FD1754" w:rsidRDefault="00FD1754">
      <w:pPr>
        <w:pStyle w:val="Heading1"/>
        <w:spacing w:before="0" w:line="480" w:lineRule="auto"/>
        <w:rPr>
          <w:rFonts w:ascii="Times New Roman" w:hAnsi="Times New Roman" w:cs="Times New Roman"/>
          <w:b w:val="0"/>
          <w:bCs w:val="0"/>
          <w:sz w:val="24"/>
          <w:szCs w:val="24"/>
        </w:rPr>
      </w:pPr>
    </w:p>
    <w:p w:rsidR="001F09AF" w:rsidRPr="001F09AF" w:rsidRDefault="001F09AF" w:rsidP="001F09AF"/>
    <w:p w:rsidR="00167F4B" w:rsidRDefault="004F7421">
      <w:pPr>
        <w:pStyle w:val="Heading1"/>
        <w:spacing w:before="0" w:line="480" w:lineRule="auto"/>
        <w:rPr>
          <w:rFonts w:ascii="Times New Roman" w:hAnsi="Times New Roman" w:cs="Times New Roman"/>
          <w:sz w:val="24"/>
          <w:szCs w:val="24"/>
        </w:rPr>
      </w:pPr>
      <w:r>
        <w:rPr>
          <w:rFonts w:ascii="Times New Roman" w:hAnsi="Times New Roman" w:cs="Times New Roman"/>
          <w:sz w:val="24"/>
          <w:szCs w:val="24"/>
        </w:rPr>
        <w:lastRenderedPageBreak/>
        <w:t>Impact of the Identified Reforms on Selected Company (i.e. JP Morgan)</w:t>
      </w:r>
      <w:bookmarkEnd w:id="5"/>
      <w:r>
        <w:rPr>
          <w:rFonts w:ascii="Times New Roman" w:hAnsi="Times New Roman" w:cs="Times New Roman"/>
          <w:sz w:val="24"/>
          <w:szCs w:val="24"/>
        </w:rPr>
        <w:t>:</w:t>
      </w:r>
      <w:bookmarkEnd w:id="6"/>
    </w:p>
    <w:p w:rsidR="00167F4B" w:rsidRDefault="004F7421">
      <w:pPr>
        <w:spacing w:after="0" w:line="480" w:lineRule="auto"/>
        <w:jc w:val="both"/>
        <w:rPr>
          <w:rFonts w:ascii="Times New Roman" w:hAnsi="Times New Roman" w:cs="Times New Roman"/>
          <w:sz w:val="24"/>
          <w:szCs w:val="24"/>
        </w:rPr>
      </w:pPr>
      <w:r>
        <w:rPr>
          <w:rFonts w:ascii="Times New Roman" w:hAnsi="Times New Roman" w:cs="Times New Roman"/>
          <w:sz w:val="24"/>
          <w:szCs w:val="24"/>
        </w:rPr>
        <w:t>JP Morgan is a public listed company of USA, which operates in banking and financial sector of country. This company is specialized in different types of banking practices such as private banking, asset management, and investment banking. This company was established in 1871 by JP Morgan. The stock of JP Morgan is listed on NASDAQ. The business practices of JP Morgan were significantly influenced by the regulatory reforms of USA after 2008 financial crisis. Prior to the incident of 2008 financial crisis, JP Morgan was committed to its “universal bank” strategy (</w:t>
      </w:r>
      <w:proofErr w:type="spellStart"/>
      <w:r>
        <w:rPr>
          <w:rFonts w:ascii="Times New Roman" w:hAnsi="Times New Roman" w:cs="Times New Roman"/>
          <w:sz w:val="24"/>
          <w:szCs w:val="24"/>
        </w:rPr>
        <w:t>Malewska</w:t>
      </w:r>
      <w:proofErr w:type="spellEnd"/>
      <w:r>
        <w:rPr>
          <w:rFonts w:ascii="Times New Roman" w:hAnsi="Times New Roman" w:cs="Times New Roman"/>
          <w:sz w:val="24"/>
          <w:szCs w:val="24"/>
        </w:rPr>
        <w:t>, 2021). Under this strategy, the bank has focused on selling full range of banking products and services to wholesale as well as retail banking clients. The incident of financial crisis of 2008 has significantly damaged the banking practices of JP Morgan. In addition to this, the further recession occurred after the financial crisis had also affected the banking practices of the JP Morgan.</w:t>
      </w:r>
    </w:p>
    <w:p w:rsidR="00167F4B" w:rsidRDefault="004F7421">
      <w:pPr>
        <w:spacing w:after="0" w:line="480" w:lineRule="auto"/>
        <w:jc w:val="both"/>
        <w:rPr>
          <w:rFonts w:ascii="Times New Roman" w:hAnsi="Times New Roman" w:cs="Times New Roman"/>
          <w:sz w:val="24"/>
          <w:szCs w:val="24"/>
        </w:rPr>
      </w:pPr>
      <w:r>
        <w:rPr>
          <w:rFonts w:ascii="Times New Roman" w:hAnsi="Times New Roman" w:cs="Times New Roman"/>
          <w:sz w:val="24"/>
          <w:szCs w:val="24"/>
        </w:rPr>
        <w:t xml:space="preserve">The regulations like Dodd-Frank bill have significantly affected the banking practices of JP Morgan. It has enhanced that capital requirement for bank. In addition to this, the banking practices of JP Morgan were also influenced by Volcker rule, as it influenced ability of the bank to pursue proprietary trading (Hood and </w:t>
      </w:r>
      <w:proofErr w:type="spellStart"/>
      <w:r>
        <w:rPr>
          <w:rFonts w:ascii="Times New Roman" w:hAnsi="Times New Roman" w:cs="Times New Roman"/>
          <w:sz w:val="24"/>
          <w:szCs w:val="24"/>
        </w:rPr>
        <w:t>Piotrowska</w:t>
      </w:r>
      <w:proofErr w:type="spellEnd"/>
      <w:r>
        <w:rPr>
          <w:rFonts w:ascii="Times New Roman" w:hAnsi="Times New Roman" w:cs="Times New Roman"/>
          <w:sz w:val="24"/>
          <w:szCs w:val="24"/>
        </w:rPr>
        <w:t>, 2023). In response to the reforms of government of USA, the banking organizations like JP Morgan have focused on reshaping their scope and product and service portfolio.</w:t>
      </w:r>
    </w:p>
    <w:p w:rsidR="00167F4B" w:rsidRDefault="004F7421">
      <w:pPr>
        <w:spacing w:after="0" w:line="480" w:lineRule="auto"/>
        <w:jc w:val="both"/>
        <w:rPr>
          <w:rFonts w:ascii="Times New Roman" w:hAnsi="Times New Roman" w:cs="Times New Roman"/>
          <w:sz w:val="24"/>
          <w:szCs w:val="24"/>
        </w:rPr>
      </w:pPr>
      <w:r>
        <w:rPr>
          <w:rFonts w:ascii="Times New Roman" w:hAnsi="Times New Roman" w:cs="Times New Roman"/>
          <w:sz w:val="24"/>
          <w:szCs w:val="24"/>
        </w:rPr>
        <w:t xml:space="preserve">Since 2011, JP Morgan has been identified as largest bank of USA by the size of total assets. It had effectively weathered the situation of financial crisis of 2008. It is so because the business practices of JP Morgan were attributed by fortress balance sheet and diversification. JP Morgan has also experienced pressure from various directions like analyst’s arguments elated to conglomerate discounts, large civil fines for settlement, and the regulations that penalized the size of business (Collis and Hartman, 2023). JP Morgan has focused on effective allocation of its </w:t>
      </w:r>
      <w:r>
        <w:rPr>
          <w:rFonts w:ascii="Times New Roman" w:hAnsi="Times New Roman" w:cs="Times New Roman"/>
          <w:sz w:val="24"/>
          <w:szCs w:val="24"/>
        </w:rPr>
        <w:lastRenderedPageBreak/>
        <w:t>resources across diverse lines of business for better survival of business in dynamic market environment.</w:t>
      </w:r>
    </w:p>
    <w:p w:rsidR="00167F4B" w:rsidRDefault="004F7421">
      <w:pPr>
        <w:spacing w:after="0" w:line="480" w:lineRule="auto"/>
        <w:jc w:val="both"/>
        <w:rPr>
          <w:rFonts w:ascii="Times New Roman" w:hAnsi="Times New Roman" w:cs="Times New Roman"/>
          <w:sz w:val="24"/>
          <w:szCs w:val="24"/>
        </w:rPr>
      </w:pPr>
      <w:r>
        <w:rPr>
          <w:rFonts w:ascii="Times New Roman" w:hAnsi="Times New Roman" w:cs="Times New Roman"/>
          <w:noProof/>
          <w:sz w:val="24"/>
          <w:szCs w:val="24"/>
        </w:rPr>
        <w:drawing>
          <wp:inline distT="0" distB="0" distL="0" distR="0">
            <wp:extent cx="5943600" cy="4201160"/>
            <wp:effectExtent l="1905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a:picLocks noChangeAspect="1" noChangeArrowheads="1"/>
                    </pic:cNvPicPr>
                  </pic:nvPicPr>
                  <pic:blipFill>
                    <a:blip r:embed="rId9"/>
                    <a:srcRect/>
                    <a:stretch>
                      <a:fillRect/>
                    </a:stretch>
                  </pic:blipFill>
                  <pic:spPr>
                    <a:xfrm>
                      <a:off x="0" y="0"/>
                      <a:ext cx="5943600" cy="4201510"/>
                    </a:xfrm>
                    <a:prstGeom prst="rect">
                      <a:avLst/>
                    </a:prstGeom>
                    <a:noFill/>
                    <a:ln w="9525">
                      <a:noFill/>
                      <a:miter lim="800000"/>
                      <a:headEnd/>
                      <a:tailEnd/>
                    </a:ln>
                  </pic:spPr>
                </pic:pic>
              </a:graphicData>
            </a:graphic>
          </wp:inline>
        </w:drawing>
      </w:r>
    </w:p>
    <w:p w:rsidR="00167F4B" w:rsidRDefault="004F7421">
      <w:pPr>
        <w:spacing w:after="0" w:line="480" w:lineRule="auto"/>
        <w:jc w:val="center"/>
        <w:rPr>
          <w:rFonts w:ascii="Times New Roman" w:hAnsi="Times New Roman" w:cs="Times New Roman"/>
          <w:sz w:val="24"/>
          <w:szCs w:val="24"/>
        </w:rPr>
      </w:pPr>
      <w:r>
        <w:rPr>
          <w:rFonts w:ascii="Times New Roman" w:hAnsi="Times New Roman" w:cs="Times New Roman"/>
          <w:sz w:val="24"/>
          <w:szCs w:val="24"/>
        </w:rPr>
        <w:t>(Source: JP Morgan, 2023)</w:t>
      </w:r>
    </w:p>
    <w:p w:rsidR="00167F4B" w:rsidRDefault="004F7421">
      <w:pPr>
        <w:spacing w:after="0" w:line="480" w:lineRule="auto"/>
        <w:jc w:val="both"/>
        <w:rPr>
          <w:rFonts w:ascii="Times New Roman" w:hAnsi="Times New Roman" w:cs="Times New Roman"/>
          <w:sz w:val="24"/>
          <w:szCs w:val="24"/>
        </w:rPr>
      </w:pPr>
      <w:r>
        <w:rPr>
          <w:rFonts w:ascii="Times New Roman" w:hAnsi="Times New Roman" w:cs="Times New Roman"/>
          <w:sz w:val="24"/>
          <w:szCs w:val="24"/>
        </w:rPr>
        <w:t>On basis of analysis of above chart, the decrease is experienced in total household leverage in US-economy. However, the increase was experienced in total corporate leverage (JP Morgan, 2023). The top authorities of JP Morgan have dedicated major financial resources of the bank in advanced research and development activities. This kind of investment helps it to find out best ways to survive in banking industry according to current market situation and future possible circumstances.</w:t>
      </w:r>
    </w:p>
    <w:p w:rsidR="00167F4B" w:rsidRDefault="004F7421">
      <w:pPr>
        <w:spacing w:after="0" w:line="480" w:lineRule="auto"/>
        <w:rPr>
          <w:rFonts w:ascii="Times New Roman" w:hAnsi="Times New Roman" w:cs="Times New Roman"/>
          <w:sz w:val="24"/>
          <w:szCs w:val="24"/>
        </w:rPr>
      </w:pPr>
      <w:r>
        <w:rPr>
          <w:rFonts w:ascii="Times New Roman" w:hAnsi="Times New Roman" w:cs="Times New Roman"/>
          <w:sz w:val="24"/>
          <w:szCs w:val="24"/>
        </w:rPr>
        <w:br w:type="page"/>
      </w:r>
    </w:p>
    <w:p w:rsidR="00167F4B" w:rsidRDefault="004F7421">
      <w:pPr>
        <w:pStyle w:val="Heading1"/>
        <w:spacing w:before="0" w:line="480" w:lineRule="auto"/>
        <w:jc w:val="center"/>
        <w:rPr>
          <w:rFonts w:ascii="Times New Roman" w:hAnsi="Times New Roman" w:cs="Times New Roman"/>
          <w:sz w:val="24"/>
          <w:szCs w:val="24"/>
        </w:rPr>
      </w:pPr>
      <w:bookmarkStart w:id="7" w:name="_Toc153209402"/>
      <w:bookmarkStart w:id="8" w:name="_Toc153989663"/>
      <w:r>
        <w:rPr>
          <w:rFonts w:ascii="Times New Roman" w:hAnsi="Times New Roman" w:cs="Times New Roman"/>
          <w:sz w:val="24"/>
          <w:szCs w:val="24"/>
        </w:rPr>
        <w:lastRenderedPageBreak/>
        <w:t>Conclusion</w:t>
      </w:r>
      <w:bookmarkEnd w:id="7"/>
      <w:bookmarkEnd w:id="8"/>
    </w:p>
    <w:p w:rsidR="00167F4B" w:rsidRDefault="004F7421">
      <w:pPr>
        <w:spacing w:after="0" w:line="480" w:lineRule="auto"/>
        <w:jc w:val="both"/>
        <w:rPr>
          <w:rFonts w:ascii="Times New Roman" w:hAnsi="Times New Roman" w:cs="Times New Roman"/>
          <w:sz w:val="24"/>
          <w:szCs w:val="24"/>
        </w:rPr>
      </w:pPr>
      <w:r>
        <w:rPr>
          <w:rFonts w:ascii="Times New Roman" w:hAnsi="Times New Roman" w:cs="Times New Roman"/>
          <w:sz w:val="24"/>
          <w:szCs w:val="24"/>
        </w:rPr>
        <w:t>After completion of above report, it is found that detrimental impact was created by the financial crisis of 2008 over banking and financial system of USA. One of the reasons behind occurrence was identified as inappropriate banking behavior of banks and financial organizations. For example, banks had started giving loans with higher risk of default. The credit rating agencies of USA have not performed their role properly while rating of financial credit or debt instruments. Government of USA has introduced various reforms after financial crisis of 2008 like updating provisions of Sarbanes Oxley Act, development and passing of Dodd-Frank Act, nationalization of banks, etc.</w:t>
      </w:r>
    </w:p>
    <w:p w:rsidR="00167F4B" w:rsidRDefault="004F7421">
      <w:pPr>
        <w:spacing w:after="0" w:line="480" w:lineRule="auto"/>
        <w:rPr>
          <w:rFonts w:ascii="Times New Roman" w:hAnsi="Times New Roman" w:cs="Times New Roman"/>
          <w:sz w:val="24"/>
          <w:szCs w:val="24"/>
        </w:rPr>
      </w:pPr>
      <w:r>
        <w:rPr>
          <w:rFonts w:ascii="Times New Roman" w:hAnsi="Times New Roman" w:cs="Times New Roman"/>
          <w:sz w:val="24"/>
          <w:szCs w:val="24"/>
        </w:rPr>
        <w:br w:type="page"/>
      </w:r>
    </w:p>
    <w:p w:rsidR="00167F4B" w:rsidRDefault="004F7421">
      <w:pPr>
        <w:pStyle w:val="Heading1"/>
        <w:spacing w:before="0" w:line="480" w:lineRule="auto"/>
        <w:jc w:val="center"/>
        <w:rPr>
          <w:rFonts w:ascii="Times New Roman" w:hAnsi="Times New Roman" w:cs="Times New Roman"/>
          <w:sz w:val="24"/>
          <w:szCs w:val="24"/>
        </w:rPr>
      </w:pPr>
      <w:bookmarkStart w:id="9" w:name="_Toc153989664"/>
      <w:r>
        <w:rPr>
          <w:rFonts w:ascii="Times New Roman" w:hAnsi="Times New Roman" w:cs="Times New Roman"/>
          <w:sz w:val="24"/>
          <w:szCs w:val="24"/>
        </w:rPr>
        <w:lastRenderedPageBreak/>
        <w:t>References</w:t>
      </w:r>
      <w:bookmarkEnd w:id="9"/>
    </w:p>
    <w:p w:rsidR="00167F4B" w:rsidRDefault="004F7421">
      <w:pPr>
        <w:spacing w:after="0" w:line="480" w:lineRule="auto"/>
        <w:jc w:val="both"/>
        <w:rPr>
          <w:rFonts w:ascii="Times New Roman" w:hAnsi="Times New Roman" w:cs="Times New Roman"/>
          <w:sz w:val="24"/>
          <w:szCs w:val="24"/>
        </w:rPr>
      </w:pPr>
      <w:proofErr w:type="spellStart"/>
      <w:r>
        <w:rPr>
          <w:rFonts w:ascii="Times New Roman" w:hAnsi="Times New Roman" w:cs="Times New Roman"/>
          <w:sz w:val="24"/>
          <w:szCs w:val="24"/>
        </w:rPr>
        <w:t>Cazenove</w:t>
      </w:r>
      <w:proofErr w:type="spellEnd"/>
      <w:r>
        <w:rPr>
          <w:rFonts w:ascii="Times New Roman" w:hAnsi="Times New Roman" w:cs="Times New Roman"/>
          <w:sz w:val="24"/>
          <w:szCs w:val="24"/>
        </w:rPr>
        <w:t xml:space="preserve"> Capital (2023) </w:t>
      </w:r>
      <w:r>
        <w:rPr>
          <w:rFonts w:ascii="Times New Roman" w:hAnsi="Times New Roman" w:cs="Times New Roman"/>
          <w:i/>
          <w:sz w:val="24"/>
          <w:szCs w:val="24"/>
        </w:rPr>
        <w:t>The longest bull market in history: five charts that tell the story.</w:t>
      </w:r>
      <w:r>
        <w:rPr>
          <w:rFonts w:ascii="Times New Roman" w:hAnsi="Times New Roman" w:cs="Times New Roman"/>
          <w:sz w:val="24"/>
          <w:szCs w:val="24"/>
        </w:rPr>
        <w:t xml:space="preserve"> [Online]. Available at: </w:t>
      </w:r>
      <w:hyperlink r:id="rId10" w:history="1">
        <w:r>
          <w:rPr>
            <w:rStyle w:val="Hyperlink"/>
            <w:rFonts w:ascii="Times New Roman" w:hAnsi="Times New Roman" w:cs="Times New Roman"/>
            <w:sz w:val="24"/>
            <w:szCs w:val="24"/>
          </w:rPr>
          <w:t>https://www.cazenovecapital.com/en-gb/uk/wealth-management/insights/the-longest-bull-market-in-history-in-five-charts/</w:t>
        </w:r>
      </w:hyperlink>
      <w:r>
        <w:rPr>
          <w:rFonts w:ascii="Times New Roman" w:hAnsi="Times New Roman" w:cs="Times New Roman"/>
          <w:sz w:val="24"/>
          <w:szCs w:val="24"/>
        </w:rPr>
        <w:t xml:space="preserve"> (Accessed: 19 December 2023).</w:t>
      </w:r>
    </w:p>
    <w:p w:rsidR="00167F4B" w:rsidRDefault="004F7421">
      <w:pPr>
        <w:spacing w:after="0" w:line="480" w:lineRule="auto"/>
        <w:jc w:val="both"/>
        <w:rPr>
          <w:rFonts w:ascii="Times New Roman" w:hAnsi="Times New Roman" w:cs="Times New Roman"/>
          <w:sz w:val="24"/>
          <w:szCs w:val="24"/>
        </w:rPr>
      </w:pPr>
      <w:r>
        <w:rPr>
          <w:rFonts w:ascii="Times New Roman" w:hAnsi="Times New Roman" w:cs="Times New Roman"/>
          <w:sz w:val="24"/>
          <w:szCs w:val="24"/>
        </w:rPr>
        <w:t xml:space="preserve">CNBC (2023) </w:t>
      </w:r>
      <w:r>
        <w:rPr>
          <w:rFonts w:ascii="Times New Roman" w:hAnsi="Times New Roman" w:cs="Times New Roman"/>
          <w:i/>
          <w:sz w:val="24"/>
          <w:szCs w:val="24"/>
        </w:rPr>
        <w:t>UK announces major overhaul of its financial sector in attempt to spur growth.</w:t>
      </w:r>
      <w:r>
        <w:rPr>
          <w:rFonts w:ascii="Times New Roman" w:hAnsi="Times New Roman" w:cs="Times New Roman"/>
          <w:sz w:val="24"/>
          <w:szCs w:val="24"/>
        </w:rPr>
        <w:t xml:space="preserve"> [Online]. Available at: </w:t>
      </w:r>
      <w:hyperlink r:id="rId11" w:history="1">
        <w:r>
          <w:rPr>
            <w:rStyle w:val="Hyperlink"/>
            <w:rFonts w:ascii="Times New Roman" w:hAnsi="Times New Roman" w:cs="Times New Roman"/>
            <w:sz w:val="24"/>
            <w:szCs w:val="24"/>
          </w:rPr>
          <w:t>https://www.cnbc.com/2022/12/09/uk-announces-major-overhaul-of-its-financial-sector-in-attempt-to-spur-growth.html</w:t>
        </w:r>
      </w:hyperlink>
      <w:r>
        <w:rPr>
          <w:rFonts w:ascii="Times New Roman" w:hAnsi="Times New Roman" w:cs="Times New Roman"/>
          <w:sz w:val="24"/>
          <w:szCs w:val="24"/>
        </w:rPr>
        <w:t xml:space="preserve"> (Accessed: 20 December 2023).</w:t>
      </w:r>
    </w:p>
    <w:p w:rsidR="00167F4B" w:rsidRDefault="004F7421">
      <w:pPr>
        <w:spacing w:after="0" w:line="480" w:lineRule="auto"/>
        <w:jc w:val="both"/>
        <w:rPr>
          <w:rFonts w:ascii="Times New Roman" w:hAnsi="Times New Roman" w:cs="Times New Roman"/>
          <w:sz w:val="24"/>
          <w:szCs w:val="24"/>
        </w:rPr>
      </w:pPr>
      <w:r>
        <w:rPr>
          <w:rFonts w:ascii="Times New Roman" w:hAnsi="Times New Roman" w:cs="Times New Roman"/>
          <w:sz w:val="24"/>
          <w:szCs w:val="24"/>
        </w:rPr>
        <w:t xml:space="preserve">Collis, D. and Hartman, A. (2023) </w:t>
      </w:r>
      <w:r>
        <w:rPr>
          <w:rFonts w:ascii="Times New Roman" w:hAnsi="Times New Roman" w:cs="Times New Roman"/>
          <w:i/>
          <w:sz w:val="24"/>
          <w:szCs w:val="24"/>
        </w:rPr>
        <w:t>JPMorgan Chase after the Financial Crisis: What Is the Optimal Scope of the Largest Bank in the U.S.?.</w:t>
      </w:r>
      <w:r>
        <w:rPr>
          <w:rFonts w:ascii="Times New Roman" w:hAnsi="Times New Roman" w:cs="Times New Roman"/>
          <w:sz w:val="24"/>
          <w:szCs w:val="24"/>
        </w:rPr>
        <w:t xml:space="preserve"> [</w:t>
      </w:r>
      <w:proofErr w:type="spellStart"/>
      <w:r>
        <w:rPr>
          <w:rFonts w:ascii="Times New Roman" w:hAnsi="Times New Roman" w:cs="Times New Roman"/>
          <w:sz w:val="24"/>
          <w:szCs w:val="24"/>
        </w:rPr>
        <w:t>Onlne</w:t>
      </w:r>
      <w:proofErr w:type="spellEnd"/>
      <w:r>
        <w:rPr>
          <w:rFonts w:ascii="Times New Roman" w:hAnsi="Times New Roman" w:cs="Times New Roman"/>
          <w:sz w:val="24"/>
          <w:szCs w:val="24"/>
        </w:rPr>
        <w:t xml:space="preserve">]. Available at: </w:t>
      </w:r>
      <w:hyperlink r:id="rId12" w:history="1">
        <w:r>
          <w:rPr>
            <w:rStyle w:val="Hyperlink"/>
            <w:rFonts w:ascii="Times New Roman" w:hAnsi="Times New Roman" w:cs="Times New Roman"/>
            <w:sz w:val="24"/>
            <w:szCs w:val="24"/>
          </w:rPr>
          <w:t>https://www.hbs.edu/faculty/Pages/item.aspx?num=50835</w:t>
        </w:r>
      </w:hyperlink>
      <w:r>
        <w:rPr>
          <w:rFonts w:ascii="Times New Roman" w:hAnsi="Times New Roman" w:cs="Times New Roman"/>
          <w:sz w:val="24"/>
          <w:szCs w:val="24"/>
        </w:rPr>
        <w:t xml:space="preserve"> (Accessed: 20 December 2023).</w:t>
      </w:r>
    </w:p>
    <w:p w:rsidR="00167F4B" w:rsidRDefault="004F7421">
      <w:pPr>
        <w:spacing w:after="0" w:line="480" w:lineRule="auto"/>
        <w:jc w:val="both"/>
        <w:rPr>
          <w:rFonts w:ascii="Times New Roman" w:hAnsi="Times New Roman" w:cs="Times New Roman"/>
          <w:sz w:val="24"/>
          <w:szCs w:val="24"/>
        </w:rPr>
      </w:pPr>
      <w:r>
        <w:rPr>
          <w:rFonts w:ascii="Times New Roman" w:hAnsi="Times New Roman" w:cs="Times New Roman"/>
          <w:sz w:val="24"/>
          <w:szCs w:val="24"/>
        </w:rPr>
        <w:t xml:space="preserve">Federal Reserve (2023) </w:t>
      </w:r>
      <w:r>
        <w:rPr>
          <w:rFonts w:ascii="Times New Roman" w:hAnsi="Times New Roman" w:cs="Times New Roman"/>
          <w:i/>
          <w:sz w:val="24"/>
          <w:szCs w:val="24"/>
        </w:rPr>
        <w:t>Agencies announce results of resolution plan review for largest and most complex domestic banks.</w:t>
      </w:r>
      <w:r>
        <w:rPr>
          <w:rFonts w:ascii="Times New Roman" w:hAnsi="Times New Roman" w:cs="Times New Roman"/>
          <w:sz w:val="24"/>
          <w:szCs w:val="24"/>
        </w:rPr>
        <w:t xml:space="preserve"> [Online]. Available at: </w:t>
      </w:r>
      <w:hyperlink r:id="rId13" w:anchor=":~:text=In%20Citigroup's%20resolution%20plan%2C%20the,its%20October%202020%20enforcement%20action" w:history="1">
        <w:r>
          <w:rPr>
            <w:rStyle w:val="Hyperlink"/>
            <w:rFonts w:ascii="Times New Roman" w:hAnsi="Times New Roman" w:cs="Times New Roman"/>
            <w:sz w:val="24"/>
            <w:szCs w:val="24"/>
          </w:rPr>
          <w:t>https://www.federalreserve.gov/newsevents/pressreleases/bcreg20221123a.htm#:~:text=In%20Citigroup's%20resolution%20plan%2C%20the,its%20October%202020%20enforcement%20action</w:t>
        </w:r>
      </w:hyperlink>
      <w:r>
        <w:rPr>
          <w:rFonts w:ascii="Times New Roman" w:hAnsi="Times New Roman" w:cs="Times New Roman"/>
          <w:sz w:val="24"/>
          <w:szCs w:val="24"/>
        </w:rPr>
        <w:t>. (Accessed: 20 December 2023).</w:t>
      </w:r>
    </w:p>
    <w:p w:rsidR="00167F4B" w:rsidRDefault="004F7421">
      <w:pPr>
        <w:spacing w:after="0" w:line="480" w:lineRule="auto"/>
        <w:jc w:val="both"/>
        <w:rPr>
          <w:rFonts w:ascii="Times New Roman" w:hAnsi="Times New Roman" w:cs="Times New Roman"/>
          <w:sz w:val="24"/>
          <w:szCs w:val="24"/>
        </w:rPr>
      </w:pPr>
      <w:r>
        <w:rPr>
          <w:rFonts w:ascii="Times New Roman" w:hAnsi="Times New Roman" w:cs="Times New Roman"/>
          <w:sz w:val="24"/>
          <w:szCs w:val="24"/>
        </w:rPr>
        <w:t>Frank, B. (2019) The economic and political implications of the Dodd-Frank Act. In </w:t>
      </w:r>
      <w:r>
        <w:rPr>
          <w:rFonts w:ascii="Times New Roman" w:hAnsi="Times New Roman" w:cs="Times New Roman"/>
          <w:i/>
          <w:iCs/>
          <w:sz w:val="24"/>
          <w:szCs w:val="24"/>
        </w:rPr>
        <w:t>After the crash: Financial crises and regulatory responses</w:t>
      </w:r>
      <w:r>
        <w:rPr>
          <w:rFonts w:ascii="Times New Roman" w:hAnsi="Times New Roman" w:cs="Times New Roman"/>
          <w:sz w:val="24"/>
          <w:szCs w:val="24"/>
        </w:rPr>
        <w:t> (pp. 261-280). Columbia University Press.</w:t>
      </w:r>
    </w:p>
    <w:p w:rsidR="00167F4B" w:rsidRDefault="004F7421">
      <w:pPr>
        <w:spacing w:after="0" w:line="480" w:lineRule="auto"/>
        <w:jc w:val="both"/>
        <w:rPr>
          <w:rFonts w:ascii="Times New Roman" w:hAnsi="Times New Roman" w:cs="Times New Roman"/>
          <w:sz w:val="24"/>
          <w:szCs w:val="24"/>
        </w:rPr>
      </w:pPr>
      <w:r>
        <w:rPr>
          <w:rFonts w:ascii="Times New Roman" w:hAnsi="Times New Roman" w:cs="Times New Roman"/>
          <w:sz w:val="24"/>
          <w:szCs w:val="24"/>
        </w:rPr>
        <w:t xml:space="preserve">GLI (2023) </w:t>
      </w:r>
      <w:r>
        <w:rPr>
          <w:rFonts w:ascii="Times New Roman" w:hAnsi="Times New Roman" w:cs="Times New Roman"/>
          <w:i/>
          <w:sz w:val="24"/>
          <w:szCs w:val="24"/>
        </w:rPr>
        <w:t>Banking Laws and Regulations 2023 | United Kingdom.</w:t>
      </w:r>
      <w:r>
        <w:rPr>
          <w:rFonts w:ascii="Times New Roman" w:hAnsi="Times New Roman" w:cs="Times New Roman"/>
          <w:sz w:val="24"/>
          <w:szCs w:val="24"/>
        </w:rPr>
        <w:t xml:space="preserve"> [Online]. Available at: </w:t>
      </w:r>
      <w:hyperlink r:id="rId14" w:anchor=":~:text=In%20the%20aftermath%20of%20the,activities%20from%20retail%20banking%20activities" w:history="1">
        <w:r>
          <w:rPr>
            <w:rStyle w:val="Hyperlink"/>
            <w:rFonts w:ascii="Times New Roman" w:hAnsi="Times New Roman" w:cs="Times New Roman"/>
            <w:sz w:val="24"/>
            <w:szCs w:val="24"/>
          </w:rPr>
          <w:t>https://www.globallegalinsights.com/practice-areas/banking-and-finance-laws-and-regulations/united-kingdom#:~:text=In%20the%20aftermath%20of%20the,activities%20from%20retail%20banking%20activities</w:t>
        </w:r>
      </w:hyperlink>
      <w:r>
        <w:rPr>
          <w:rFonts w:ascii="Times New Roman" w:hAnsi="Times New Roman" w:cs="Times New Roman"/>
          <w:sz w:val="24"/>
          <w:szCs w:val="24"/>
        </w:rPr>
        <w:t>. (Accessed: 20 December 2023).</w:t>
      </w:r>
    </w:p>
    <w:p w:rsidR="00167F4B" w:rsidRDefault="004F7421">
      <w:pPr>
        <w:spacing w:after="0" w:line="48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Hood, C. and </w:t>
      </w:r>
      <w:proofErr w:type="spellStart"/>
      <w:r>
        <w:rPr>
          <w:rFonts w:ascii="Times New Roman" w:hAnsi="Times New Roman" w:cs="Times New Roman"/>
          <w:sz w:val="24"/>
          <w:szCs w:val="24"/>
        </w:rPr>
        <w:t>Piotrowska</w:t>
      </w:r>
      <w:proofErr w:type="spellEnd"/>
      <w:r>
        <w:rPr>
          <w:rFonts w:ascii="Times New Roman" w:hAnsi="Times New Roman" w:cs="Times New Roman"/>
          <w:sz w:val="24"/>
          <w:szCs w:val="24"/>
        </w:rPr>
        <w:t>, B.M. (2023) Who loves input controls? What happened to “outputs not inputs” in UK Public Financial Management, and why?. </w:t>
      </w:r>
      <w:r>
        <w:rPr>
          <w:rFonts w:ascii="Times New Roman" w:hAnsi="Times New Roman" w:cs="Times New Roman"/>
          <w:i/>
          <w:iCs/>
          <w:sz w:val="24"/>
          <w:szCs w:val="24"/>
        </w:rPr>
        <w:t>Public Administration</w:t>
      </w:r>
      <w:r>
        <w:rPr>
          <w:rFonts w:ascii="Times New Roman" w:hAnsi="Times New Roman" w:cs="Times New Roman"/>
          <w:sz w:val="24"/>
          <w:szCs w:val="24"/>
        </w:rPr>
        <w:t>, </w:t>
      </w:r>
      <w:r>
        <w:rPr>
          <w:rFonts w:ascii="Times New Roman" w:hAnsi="Times New Roman" w:cs="Times New Roman"/>
          <w:i/>
          <w:iCs/>
          <w:sz w:val="24"/>
          <w:szCs w:val="24"/>
        </w:rPr>
        <w:t>101</w:t>
      </w:r>
      <w:r>
        <w:rPr>
          <w:rFonts w:ascii="Times New Roman" w:hAnsi="Times New Roman" w:cs="Times New Roman"/>
          <w:sz w:val="24"/>
          <w:szCs w:val="24"/>
        </w:rPr>
        <w:t>(1), pp. 303-317.</w:t>
      </w:r>
    </w:p>
    <w:p w:rsidR="00167F4B" w:rsidRDefault="004F7421">
      <w:pPr>
        <w:spacing w:after="0" w:line="480" w:lineRule="auto"/>
        <w:jc w:val="both"/>
        <w:rPr>
          <w:rFonts w:ascii="Times New Roman" w:hAnsi="Times New Roman" w:cs="Times New Roman"/>
          <w:sz w:val="24"/>
          <w:szCs w:val="24"/>
        </w:rPr>
      </w:pPr>
      <w:r>
        <w:rPr>
          <w:rFonts w:ascii="Times New Roman" w:hAnsi="Times New Roman" w:cs="Times New Roman"/>
          <w:sz w:val="24"/>
          <w:szCs w:val="24"/>
        </w:rPr>
        <w:t xml:space="preserve">JP Morgan (2023) </w:t>
      </w:r>
      <w:r>
        <w:rPr>
          <w:rFonts w:ascii="Times New Roman" w:hAnsi="Times New Roman" w:cs="Times New Roman"/>
          <w:i/>
          <w:sz w:val="24"/>
          <w:szCs w:val="24"/>
        </w:rPr>
        <w:t>10 years after the financial crisis.</w:t>
      </w:r>
      <w:r>
        <w:rPr>
          <w:rFonts w:ascii="Times New Roman" w:hAnsi="Times New Roman" w:cs="Times New Roman"/>
          <w:sz w:val="24"/>
          <w:szCs w:val="24"/>
        </w:rPr>
        <w:t xml:space="preserve"> [Online]. Available at: </w:t>
      </w:r>
      <w:hyperlink r:id="rId15" w:history="1">
        <w:r>
          <w:rPr>
            <w:rStyle w:val="Hyperlink"/>
            <w:rFonts w:ascii="Times New Roman" w:hAnsi="Times New Roman" w:cs="Times New Roman"/>
            <w:sz w:val="24"/>
            <w:szCs w:val="24"/>
          </w:rPr>
          <w:t>https://www.jpmorgan.com/insights/global-research/markets/10-years-after-financial-crisis</w:t>
        </w:r>
      </w:hyperlink>
      <w:r>
        <w:rPr>
          <w:rFonts w:ascii="Times New Roman" w:hAnsi="Times New Roman" w:cs="Times New Roman"/>
          <w:sz w:val="24"/>
          <w:szCs w:val="24"/>
        </w:rPr>
        <w:t xml:space="preserve"> (Accessed: 20 December 2023).</w:t>
      </w:r>
    </w:p>
    <w:p w:rsidR="00167F4B" w:rsidRDefault="004F7421">
      <w:pPr>
        <w:spacing w:after="0" w:line="480" w:lineRule="auto"/>
        <w:jc w:val="both"/>
        <w:rPr>
          <w:rFonts w:ascii="Times New Roman" w:hAnsi="Times New Roman" w:cs="Times New Roman"/>
          <w:sz w:val="24"/>
          <w:szCs w:val="24"/>
        </w:rPr>
      </w:pPr>
      <w:r>
        <w:rPr>
          <w:rFonts w:ascii="Times New Roman" w:hAnsi="Times New Roman" w:cs="Times New Roman"/>
          <w:sz w:val="24"/>
          <w:szCs w:val="24"/>
        </w:rPr>
        <w:t xml:space="preserve">Kim, H., Batten, J.A. and </w:t>
      </w:r>
      <w:proofErr w:type="spellStart"/>
      <w:r>
        <w:rPr>
          <w:rFonts w:ascii="Times New Roman" w:hAnsi="Times New Roman" w:cs="Times New Roman"/>
          <w:sz w:val="24"/>
          <w:szCs w:val="24"/>
        </w:rPr>
        <w:t>Ryu</w:t>
      </w:r>
      <w:proofErr w:type="spellEnd"/>
      <w:r>
        <w:rPr>
          <w:rFonts w:ascii="Times New Roman" w:hAnsi="Times New Roman" w:cs="Times New Roman"/>
          <w:sz w:val="24"/>
          <w:szCs w:val="24"/>
        </w:rPr>
        <w:t>, D. (2020) Financial crisis, bank diversification, and financial stability: OECD countries. </w:t>
      </w:r>
      <w:r>
        <w:rPr>
          <w:rFonts w:ascii="Times New Roman" w:hAnsi="Times New Roman" w:cs="Times New Roman"/>
          <w:i/>
          <w:iCs/>
          <w:sz w:val="24"/>
          <w:szCs w:val="24"/>
        </w:rPr>
        <w:t>International Review of Economics &amp; Finance</w:t>
      </w:r>
      <w:r>
        <w:rPr>
          <w:rFonts w:ascii="Times New Roman" w:hAnsi="Times New Roman" w:cs="Times New Roman"/>
          <w:sz w:val="24"/>
          <w:szCs w:val="24"/>
        </w:rPr>
        <w:t>, </w:t>
      </w:r>
      <w:r>
        <w:rPr>
          <w:rFonts w:ascii="Times New Roman" w:hAnsi="Times New Roman" w:cs="Times New Roman"/>
          <w:i/>
          <w:iCs/>
          <w:sz w:val="24"/>
          <w:szCs w:val="24"/>
        </w:rPr>
        <w:t>65</w:t>
      </w:r>
      <w:r>
        <w:rPr>
          <w:rFonts w:ascii="Times New Roman" w:hAnsi="Times New Roman" w:cs="Times New Roman"/>
          <w:sz w:val="24"/>
          <w:szCs w:val="24"/>
        </w:rPr>
        <w:t>, pp. 94-104.</w:t>
      </w:r>
    </w:p>
    <w:p w:rsidR="00167F4B" w:rsidRDefault="004F7421">
      <w:pPr>
        <w:spacing w:after="0" w:line="480" w:lineRule="auto"/>
        <w:jc w:val="both"/>
        <w:rPr>
          <w:rFonts w:ascii="Times New Roman" w:hAnsi="Times New Roman" w:cs="Times New Roman"/>
          <w:sz w:val="24"/>
          <w:szCs w:val="24"/>
        </w:rPr>
      </w:pPr>
      <w:r>
        <w:rPr>
          <w:rFonts w:ascii="Times New Roman" w:hAnsi="Times New Roman" w:cs="Times New Roman"/>
          <w:sz w:val="24"/>
          <w:szCs w:val="24"/>
        </w:rPr>
        <w:t xml:space="preserve">LA Times (2023) </w:t>
      </w:r>
      <w:r>
        <w:rPr>
          <w:rFonts w:ascii="Times New Roman" w:hAnsi="Times New Roman" w:cs="Times New Roman"/>
          <w:i/>
          <w:sz w:val="24"/>
          <w:szCs w:val="24"/>
        </w:rPr>
        <w:t>U.S. turns a $12-billion profit on Citigroup bailout.</w:t>
      </w:r>
      <w:r>
        <w:rPr>
          <w:rFonts w:ascii="Times New Roman" w:hAnsi="Times New Roman" w:cs="Times New Roman"/>
          <w:sz w:val="24"/>
          <w:szCs w:val="24"/>
        </w:rPr>
        <w:t xml:space="preserve"> [Online]. Available at: </w:t>
      </w:r>
      <w:hyperlink r:id="rId16" w:anchor=":~:text=Taxpayers%20earned%20a%20%2412%2Dbillion,%244.35%20apiece%2C%20raising%20%2410.5%20billion" w:history="1">
        <w:r>
          <w:rPr>
            <w:rStyle w:val="Hyperlink"/>
            <w:rFonts w:ascii="Times New Roman" w:hAnsi="Times New Roman" w:cs="Times New Roman"/>
            <w:sz w:val="24"/>
            <w:szCs w:val="24"/>
          </w:rPr>
          <w:t>https://www.latimes.com/archives/la-xpm-2010-dec-08-la-fi-citigroup-treasury-20101208-story.html#:~:text=Taxpayers%20earned%20a%20%2412%2Dbillion,%244.35%20apiece%2C%20raising%20%2410.5%20billion</w:t>
        </w:r>
      </w:hyperlink>
      <w:r>
        <w:rPr>
          <w:rFonts w:ascii="Times New Roman" w:hAnsi="Times New Roman" w:cs="Times New Roman"/>
          <w:sz w:val="24"/>
          <w:szCs w:val="24"/>
        </w:rPr>
        <w:t>. (Accessed: 20 December 2023).</w:t>
      </w:r>
    </w:p>
    <w:p w:rsidR="00167F4B" w:rsidRDefault="004F7421">
      <w:pPr>
        <w:spacing w:after="0" w:line="480" w:lineRule="auto"/>
        <w:jc w:val="both"/>
        <w:rPr>
          <w:rFonts w:ascii="Times New Roman" w:hAnsi="Times New Roman" w:cs="Times New Roman"/>
          <w:sz w:val="24"/>
          <w:szCs w:val="24"/>
        </w:rPr>
      </w:pPr>
      <w:r>
        <w:rPr>
          <w:rFonts w:ascii="Times New Roman" w:hAnsi="Times New Roman" w:cs="Times New Roman"/>
          <w:sz w:val="24"/>
          <w:szCs w:val="24"/>
        </w:rPr>
        <w:t>Li, C. (2019) Examining the Influence of the Volcker Rule On Post-Crisis Credit Risk Management Conditions in the US Financial Institutions, pp. 01-18.</w:t>
      </w:r>
    </w:p>
    <w:p w:rsidR="00167F4B" w:rsidRDefault="004F7421">
      <w:pPr>
        <w:spacing w:after="0" w:line="480" w:lineRule="auto"/>
        <w:jc w:val="both"/>
        <w:rPr>
          <w:rFonts w:ascii="Times New Roman" w:hAnsi="Times New Roman" w:cs="Times New Roman"/>
          <w:sz w:val="24"/>
          <w:szCs w:val="24"/>
        </w:rPr>
      </w:pPr>
      <w:proofErr w:type="spellStart"/>
      <w:r>
        <w:rPr>
          <w:rFonts w:ascii="Times New Roman" w:hAnsi="Times New Roman" w:cs="Times New Roman"/>
          <w:sz w:val="24"/>
          <w:szCs w:val="24"/>
        </w:rPr>
        <w:t>Malewska</w:t>
      </w:r>
      <w:proofErr w:type="spellEnd"/>
      <w:r>
        <w:rPr>
          <w:rFonts w:ascii="Times New Roman" w:hAnsi="Times New Roman" w:cs="Times New Roman"/>
          <w:sz w:val="24"/>
          <w:szCs w:val="24"/>
        </w:rPr>
        <w:t>, A. (2021) Failed Attempt to Break Up the Oligopoly in Sovereign Credit Rating Market after Financial Crises. </w:t>
      </w:r>
      <w:r>
        <w:rPr>
          <w:rFonts w:ascii="Times New Roman" w:hAnsi="Times New Roman" w:cs="Times New Roman"/>
          <w:i/>
          <w:iCs/>
          <w:sz w:val="24"/>
          <w:szCs w:val="24"/>
        </w:rPr>
        <w:t>Contemporary Economics</w:t>
      </w:r>
      <w:r>
        <w:rPr>
          <w:rFonts w:ascii="Times New Roman" w:hAnsi="Times New Roman" w:cs="Times New Roman"/>
          <w:sz w:val="24"/>
          <w:szCs w:val="24"/>
        </w:rPr>
        <w:t>, </w:t>
      </w:r>
      <w:r>
        <w:rPr>
          <w:rFonts w:ascii="Times New Roman" w:hAnsi="Times New Roman" w:cs="Times New Roman"/>
          <w:i/>
          <w:iCs/>
          <w:sz w:val="24"/>
          <w:szCs w:val="24"/>
        </w:rPr>
        <w:t>15</w:t>
      </w:r>
      <w:r>
        <w:rPr>
          <w:rFonts w:ascii="Times New Roman" w:hAnsi="Times New Roman" w:cs="Times New Roman"/>
          <w:sz w:val="24"/>
          <w:szCs w:val="24"/>
        </w:rPr>
        <w:t>(2), pp. 153-163.</w:t>
      </w:r>
    </w:p>
    <w:p w:rsidR="00167F4B" w:rsidRDefault="004F7421">
      <w:pPr>
        <w:spacing w:after="0" w:line="480" w:lineRule="auto"/>
        <w:jc w:val="both"/>
        <w:rPr>
          <w:rFonts w:ascii="Times New Roman" w:hAnsi="Times New Roman" w:cs="Times New Roman"/>
          <w:sz w:val="24"/>
          <w:szCs w:val="24"/>
        </w:rPr>
      </w:pPr>
      <w:proofErr w:type="spellStart"/>
      <w:r>
        <w:rPr>
          <w:rFonts w:ascii="Times New Roman" w:hAnsi="Times New Roman" w:cs="Times New Roman"/>
          <w:sz w:val="24"/>
          <w:szCs w:val="24"/>
        </w:rPr>
        <w:t>Notteboom</w:t>
      </w:r>
      <w:proofErr w:type="spellEnd"/>
      <w:r>
        <w:rPr>
          <w:rFonts w:ascii="Times New Roman" w:hAnsi="Times New Roman" w:cs="Times New Roman"/>
          <w:sz w:val="24"/>
          <w:szCs w:val="24"/>
        </w:rPr>
        <w:t xml:space="preserve">, T., </w:t>
      </w:r>
      <w:proofErr w:type="spellStart"/>
      <w:r>
        <w:rPr>
          <w:rFonts w:ascii="Times New Roman" w:hAnsi="Times New Roman" w:cs="Times New Roman"/>
          <w:sz w:val="24"/>
          <w:szCs w:val="24"/>
        </w:rPr>
        <w:t>Pallis</w:t>
      </w:r>
      <w:proofErr w:type="spellEnd"/>
      <w:r>
        <w:rPr>
          <w:rFonts w:ascii="Times New Roman" w:hAnsi="Times New Roman" w:cs="Times New Roman"/>
          <w:sz w:val="24"/>
          <w:szCs w:val="24"/>
        </w:rPr>
        <w:t xml:space="preserve">, T. and </w:t>
      </w:r>
      <w:proofErr w:type="spellStart"/>
      <w:r>
        <w:rPr>
          <w:rFonts w:ascii="Times New Roman" w:hAnsi="Times New Roman" w:cs="Times New Roman"/>
          <w:sz w:val="24"/>
          <w:szCs w:val="24"/>
        </w:rPr>
        <w:t>Rodrigue</w:t>
      </w:r>
      <w:proofErr w:type="spellEnd"/>
      <w:r>
        <w:rPr>
          <w:rFonts w:ascii="Times New Roman" w:hAnsi="Times New Roman" w:cs="Times New Roman"/>
          <w:sz w:val="24"/>
          <w:szCs w:val="24"/>
        </w:rPr>
        <w:t>, J.P. (2021) Disruptions and resilience in global container shipping and ports: the COVID-19 pandemic versus the 2008–2009 financial crisis. </w:t>
      </w:r>
      <w:r>
        <w:rPr>
          <w:rFonts w:ascii="Times New Roman" w:hAnsi="Times New Roman" w:cs="Times New Roman"/>
          <w:i/>
          <w:iCs/>
          <w:sz w:val="24"/>
          <w:szCs w:val="24"/>
        </w:rPr>
        <w:t>Maritime Economics &amp; Logistics</w:t>
      </w:r>
      <w:r>
        <w:rPr>
          <w:rFonts w:ascii="Times New Roman" w:hAnsi="Times New Roman" w:cs="Times New Roman"/>
          <w:sz w:val="24"/>
          <w:szCs w:val="24"/>
        </w:rPr>
        <w:t>, </w:t>
      </w:r>
      <w:r>
        <w:rPr>
          <w:rFonts w:ascii="Times New Roman" w:hAnsi="Times New Roman" w:cs="Times New Roman"/>
          <w:i/>
          <w:iCs/>
          <w:sz w:val="24"/>
          <w:szCs w:val="24"/>
        </w:rPr>
        <w:t>23</w:t>
      </w:r>
      <w:r>
        <w:rPr>
          <w:rFonts w:ascii="Times New Roman" w:hAnsi="Times New Roman" w:cs="Times New Roman"/>
          <w:sz w:val="24"/>
          <w:szCs w:val="24"/>
        </w:rPr>
        <w:t>, pp. 179-210.</w:t>
      </w:r>
    </w:p>
    <w:p w:rsidR="00167F4B" w:rsidRDefault="004F7421">
      <w:pPr>
        <w:spacing w:after="0" w:line="480" w:lineRule="auto"/>
        <w:jc w:val="both"/>
        <w:rPr>
          <w:rFonts w:ascii="Times New Roman" w:hAnsi="Times New Roman" w:cs="Times New Roman"/>
          <w:sz w:val="24"/>
          <w:szCs w:val="24"/>
        </w:rPr>
      </w:pPr>
      <w:r>
        <w:rPr>
          <w:rFonts w:ascii="Times New Roman" w:hAnsi="Times New Roman" w:cs="Times New Roman"/>
          <w:sz w:val="24"/>
          <w:szCs w:val="24"/>
        </w:rPr>
        <w:t xml:space="preserve">OBR UK (2023) </w:t>
      </w:r>
      <w:r>
        <w:rPr>
          <w:rFonts w:ascii="Times New Roman" w:hAnsi="Times New Roman" w:cs="Times New Roman"/>
          <w:i/>
          <w:sz w:val="24"/>
          <w:szCs w:val="24"/>
        </w:rPr>
        <w:t>The Government’s regulatory response to the financial crisis.</w:t>
      </w:r>
      <w:r>
        <w:rPr>
          <w:rFonts w:ascii="Times New Roman" w:hAnsi="Times New Roman" w:cs="Times New Roman"/>
          <w:sz w:val="24"/>
          <w:szCs w:val="24"/>
        </w:rPr>
        <w:t xml:space="preserve"> [Online]. Available at: </w:t>
      </w:r>
      <w:hyperlink r:id="rId17" w:history="1">
        <w:r>
          <w:rPr>
            <w:rStyle w:val="Hyperlink"/>
            <w:rFonts w:ascii="Times New Roman" w:hAnsi="Times New Roman" w:cs="Times New Roman"/>
            <w:sz w:val="24"/>
            <w:szCs w:val="24"/>
          </w:rPr>
          <w:t>https://obr.uk/box/the-governments-regulatory-response-to-the-financial-crisis/</w:t>
        </w:r>
      </w:hyperlink>
      <w:r>
        <w:rPr>
          <w:rFonts w:ascii="Times New Roman" w:hAnsi="Times New Roman" w:cs="Times New Roman"/>
          <w:sz w:val="24"/>
          <w:szCs w:val="24"/>
        </w:rPr>
        <w:t xml:space="preserve"> (Accessed: 20 December 2023).</w:t>
      </w:r>
    </w:p>
    <w:p w:rsidR="00167F4B" w:rsidRDefault="004F7421">
      <w:pPr>
        <w:spacing w:after="0" w:line="48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Parliament UK (2023) </w:t>
      </w:r>
      <w:r>
        <w:rPr>
          <w:rFonts w:ascii="Times New Roman" w:hAnsi="Times New Roman" w:cs="Times New Roman"/>
          <w:i/>
          <w:sz w:val="24"/>
          <w:szCs w:val="24"/>
        </w:rPr>
        <w:t>Regulating banks after 2008: Key issues for the 2015 Parliament.</w:t>
      </w:r>
      <w:r>
        <w:rPr>
          <w:rFonts w:ascii="Times New Roman" w:hAnsi="Times New Roman" w:cs="Times New Roman"/>
          <w:sz w:val="24"/>
          <w:szCs w:val="24"/>
        </w:rPr>
        <w:t xml:space="preserve"> [Online]. Available at: </w:t>
      </w:r>
      <w:hyperlink r:id="rId18" w:history="1">
        <w:r>
          <w:rPr>
            <w:rStyle w:val="Hyperlink"/>
            <w:rFonts w:ascii="Times New Roman" w:hAnsi="Times New Roman" w:cs="Times New Roman"/>
            <w:sz w:val="24"/>
            <w:szCs w:val="24"/>
          </w:rPr>
          <w:t>https://www.parliament.uk/business/publications/research/key-issues-parliament-2015/economy-public-finances/regulating-banks/</w:t>
        </w:r>
      </w:hyperlink>
      <w:r>
        <w:rPr>
          <w:rFonts w:ascii="Times New Roman" w:hAnsi="Times New Roman" w:cs="Times New Roman"/>
          <w:sz w:val="24"/>
          <w:szCs w:val="24"/>
        </w:rPr>
        <w:t xml:space="preserve"> (Accessed: 20 December 2023).</w:t>
      </w:r>
    </w:p>
    <w:p w:rsidR="00167F4B" w:rsidRDefault="004F7421">
      <w:pPr>
        <w:spacing w:after="0" w:line="480" w:lineRule="auto"/>
        <w:jc w:val="both"/>
        <w:rPr>
          <w:rFonts w:ascii="Times New Roman" w:hAnsi="Times New Roman" w:cs="Times New Roman"/>
          <w:sz w:val="24"/>
          <w:szCs w:val="24"/>
        </w:rPr>
      </w:pPr>
      <w:proofErr w:type="spellStart"/>
      <w:r>
        <w:rPr>
          <w:rFonts w:ascii="Times New Roman" w:hAnsi="Times New Roman" w:cs="Times New Roman"/>
          <w:sz w:val="24"/>
          <w:szCs w:val="24"/>
        </w:rPr>
        <w:t>Spano</w:t>
      </w:r>
      <w:proofErr w:type="spellEnd"/>
      <w:r>
        <w:rPr>
          <w:rFonts w:ascii="Times New Roman" w:hAnsi="Times New Roman" w:cs="Times New Roman"/>
          <w:sz w:val="24"/>
          <w:szCs w:val="24"/>
        </w:rPr>
        <w:t>, D. (2021) The 2008 financial recession and the Dodd-Frank act. </w:t>
      </w:r>
      <w:r>
        <w:rPr>
          <w:rFonts w:ascii="Times New Roman" w:hAnsi="Times New Roman" w:cs="Times New Roman"/>
          <w:i/>
          <w:iCs/>
          <w:sz w:val="24"/>
          <w:szCs w:val="24"/>
        </w:rPr>
        <w:t>HOLISTICA–Journal of Business and Public Administration</w:t>
      </w:r>
      <w:r>
        <w:rPr>
          <w:rFonts w:ascii="Times New Roman" w:hAnsi="Times New Roman" w:cs="Times New Roman"/>
          <w:sz w:val="24"/>
          <w:szCs w:val="24"/>
        </w:rPr>
        <w:t>, </w:t>
      </w:r>
      <w:r>
        <w:rPr>
          <w:rFonts w:ascii="Times New Roman" w:hAnsi="Times New Roman" w:cs="Times New Roman"/>
          <w:i/>
          <w:iCs/>
          <w:sz w:val="24"/>
          <w:szCs w:val="24"/>
        </w:rPr>
        <w:t>12</w:t>
      </w:r>
      <w:r>
        <w:rPr>
          <w:rFonts w:ascii="Times New Roman" w:hAnsi="Times New Roman" w:cs="Times New Roman"/>
          <w:sz w:val="24"/>
          <w:szCs w:val="24"/>
        </w:rPr>
        <w:t>(1), pp. 1-10.</w:t>
      </w:r>
    </w:p>
    <w:sectPr w:rsidR="00167F4B">
      <w:headerReference w:type="default" r:id="rId1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167F4B" w:rsidRDefault="004F7421">
      <w:pPr>
        <w:spacing w:line="240" w:lineRule="auto"/>
      </w:pPr>
      <w:r>
        <w:separator/>
      </w:r>
    </w:p>
  </w:endnote>
  <w:endnote w:type="continuationSeparator" w:id="0">
    <w:p w:rsidR="00167F4B" w:rsidRDefault="004F742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167F4B" w:rsidRDefault="004F7421">
      <w:pPr>
        <w:spacing w:after="0"/>
      </w:pPr>
      <w:r>
        <w:separator/>
      </w:r>
    </w:p>
  </w:footnote>
  <w:footnote w:type="continuationSeparator" w:id="0">
    <w:p w:rsidR="00167F4B" w:rsidRDefault="004F7421">
      <w:pPr>
        <w:spacing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sz w:val="24"/>
      </w:rPr>
      <w:id w:val="1728228657"/>
    </w:sdtPr>
    <w:sdtEndPr/>
    <w:sdtContent>
      <w:p w:rsidR="00167F4B" w:rsidRDefault="004F7421">
        <w:pPr>
          <w:pStyle w:val="Header"/>
          <w:jc w:val="right"/>
          <w:rPr>
            <w:rFonts w:ascii="Times New Roman" w:hAnsi="Times New Roman"/>
            <w:sz w:val="24"/>
          </w:rPr>
        </w:pPr>
        <w:r>
          <w:rPr>
            <w:rFonts w:ascii="Times New Roman" w:hAnsi="Times New Roman"/>
            <w:sz w:val="24"/>
          </w:rPr>
          <w:t xml:space="preserve">Banking Financial Management and Financial Markets     </w:t>
        </w:r>
        <w:r>
          <w:rPr>
            <w:rFonts w:ascii="Times New Roman" w:hAnsi="Times New Roman"/>
            <w:sz w:val="24"/>
          </w:rPr>
          <w:fldChar w:fldCharType="begin"/>
        </w:r>
        <w:r>
          <w:rPr>
            <w:rFonts w:ascii="Times New Roman" w:hAnsi="Times New Roman"/>
            <w:sz w:val="24"/>
          </w:rPr>
          <w:instrText xml:space="preserve"> PAGE   \* MERGEFORMAT </w:instrText>
        </w:r>
        <w:r>
          <w:rPr>
            <w:rFonts w:ascii="Times New Roman" w:hAnsi="Times New Roman"/>
            <w:sz w:val="24"/>
          </w:rPr>
          <w:fldChar w:fldCharType="separate"/>
        </w:r>
        <w:r>
          <w:rPr>
            <w:rFonts w:ascii="Times New Roman" w:hAnsi="Times New Roman"/>
            <w:sz w:val="24"/>
          </w:rPr>
          <w:t>18</w:t>
        </w:r>
        <w:r>
          <w:rPr>
            <w:rFonts w:ascii="Times New Roman" w:hAnsi="Times New Roman"/>
            <w:sz w:val="24"/>
          </w:rPr>
          <w:fldChar w:fldCharType="end"/>
        </w:r>
      </w:p>
    </w:sdtContent>
  </w:sdt>
  <w:p w:rsidR="00167F4B" w:rsidRDefault="00167F4B">
    <w:pPr>
      <w:pStyle w:val="Header"/>
      <w:rPr>
        <w:rFonts w:ascii="Times New Roman" w:hAnsi="Times New Roman"/>
        <w:sz w:val="24"/>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8"/>
  <w:proofState w:spelling="clean" w:grammar="clean"/>
  <w:revisionView w:inkAnnotations="0"/>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27734"/>
    <w:rsid w:val="000270B7"/>
    <w:rsid w:val="000332FD"/>
    <w:rsid w:val="00035554"/>
    <w:rsid w:val="00035B37"/>
    <w:rsid w:val="000369EB"/>
    <w:rsid w:val="0005097E"/>
    <w:rsid w:val="00053C3F"/>
    <w:rsid w:val="00053E69"/>
    <w:rsid w:val="00066BA0"/>
    <w:rsid w:val="00073C0B"/>
    <w:rsid w:val="0008163C"/>
    <w:rsid w:val="00082550"/>
    <w:rsid w:val="00090303"/>
    <w:rsid w:val="000A34CD"/>
    <w:rsid w:val="000A4371"/>
    <w:rsid w:val="000A5564"/>
    <w:rsid w:val="000B219D"/>
    <w:rsid w:val="000B3EA3"/>
    <w:rsid w:val="000D2875"/>
    <w:rsid w:val="000F500B"/>
    <w:rsid w:val="00100C7A"/>
    <w:rsid w:val="0010100B"/>
    <w:rsid w:val="00104F5D"/>
    <w:rsid w:val="001073B5"/>
    <w:rsid w:val="001178D7"/>
    <w:rsid w:val="00122B10"/>
    <w:rsid w:val="00125C9E"/>
    <w:rsid w:val="00137F21"/>
    <w:rsid w:val="0014045F"/>
    <w:rsid w:val="00142B08"/>
    <w:rsid w:val="00142E3F"/>
    <w:rsid w:val="00150331"/>
    <w:rsid w:val="001538A1"/>
    <w:rsid w:val="0015781E"/>
    <w:rsid w:val="00161E64"/>
    <w:rsid w:val="00167F4B"/>
    <w:rsid w:val="001706E9"/>
    <w:rsid w:val="001766A8"/>
    <w:rsid w:val="001A0FF5"/>
    <w:rsid w:val="001A1031"/>
    <w:rsid w:val="001A2B92"/>
    <w:rsid w:val="001B6D28"/>
    <w:rsid w:val="001C3B1F"/>
    <w:rsid w:val="001D0F47"/>
    <w:rsid w:val="001D32DB"/>
    <w:rsid w:val="001D5785"/>
    <w:rsid w:val="001F09AF"/>
    <w:rsid w:val="001F43A6"/>
    <w:rsid w:val="001F7ED7"/>
    <w:rsid w:val="00210445"/>
    <w:rsid w:val="00220D70"/>
    <w:rsid w:val="00221289"/>
    <w:rsid w:val="00246C4B"/>
    <w:rsid w:val="00247859"/>
    <w:rsid w:val="00262147"/>
    <w:rsid w:val="00270700"/>
    <w:rsid w:val="00271445"/>
    <w:rsid w:val="0028550A"/>
    <w:rsid w:val="002B1DCC"/>
    <w:rsid w:val="002B4FC0"/>
    <w:rsid w:val="002B6D79"/>
    <w:rsid w:val="002C112E"/>
    <w:rsid w:val="002C4365"/>
    <w:rsid w:val="002C6632"/>
    <w:rsid w:val="002C7AAB"/>
    <w:rsid w:val="002D10BD"/>
    <w:rsid w:val="002D149D"/>
    <w:rsid w:val="002D7CE4"/>
    <w:rsid w:val="002E0224"/>
    <w:rsid w:val="002E1465"/>
    <w:rsid w:val="002E4EFA"/>
    <w:rsid w:val="002E67D0"/>
    <w:rsid w:val="002F6739"/>
    <w:rsid w:val="00302C87"/>
    <w:rsid w:val="00302CD3"/>
    <w:rsid w:val="003174ED"/>
    <w:rsid w:val="00332217"/>
    <w:rsid w:val="003358EB"/>
    <w:rsid w:val="0033710A"/>
    <w:rsid w:val="003422B6"/>
    <w:rsid w:val="00352445"/>
    <w:rsid w:val="00356B60"/>
    <w:rsid w:val="00362900"/>
    <w:rsid w:val="00364976"/>
    <w:rsid w:val="0037580C"/>
    <w:rsid w:val="0038249A"/>
    <w:rsid w:val="00392753"/>
    <w:rsid w:val="003A22C7"/>
    <w:rsid w:val="003B3EA4"/>
    <w:rsid w:val="003B4626"/>
    <w:rsid w:val="003C35D7"/>
    <w:rsid w:val="003C6B00"/>
    <w:rsid w:val="003D0600"/>
    <w:rsid w:val="003E1BA4"/>
    <w:rsid w:val="003E5B85"/>
    <w:rsid w:val="00422E14"/>
    <w:rsid w:val="00437543"/>
    <w:rsid w:val="00441A6B"/>
    <w:rsid w:val="00456B33"/>
    <w:rsid w:val="00463CF5"/>
    <w:rsid w:val="00471542"/>
    <w:rsid w:val="00491F33"/>
    <w:rsid w:val="004B1742"/>
    <w:rsid w:val="004B7743"/>
    <w:rsid w:val="004C4ECF"/>
    <w:rsid w:val="004D5862"/>
    <w:rsid w:val="004E69AD"/>
    <w:rsid w:val="004F4BB7"/>
    <w:rsid w:val="004F7421"/>
    <w:rsid w:val="00500BBD"/>
    <w:rsid w:val="00503067"/>
    <w:rsid w:val="005044E2"/>
    <w:rsid w:val="00504CA5"/>
    <w:rsid w:val="00530D9C"/>
    <w:rsid w:val="00533912"/>
    <w:rsid w:val="00542B9C"/>
    <w:rsid w:val="005448AA"/>
    <w:rsid w:val="00544C47"/>
    <w:rsid w:val="00554FBA"/>
    <w:rsid w:val="0056632E"/>
    <w:rsid w:val="0057608D"/>
    <w:rsid w:val="005774D2"/>
    <w:rsid w:val="005820DB"/>
    <w:rsid w:val="00584DB1"/>
    <w:rsid w:val="00595A50"/>
    <w:rsid w:val="005B0CC7"/>
    <w:rsid w:val="005B3C95"/>
    <w:rsid w:val="005E393C"/>
    <w:rsid w:val="005F761A"/>
    <w:rsid w:val="005F7D9B"/>
    <w:rsid w:val="006031B9"/>
    <w:rsid w:val="00604625"/>
    <w:rsid w:val="00606A55"/>
    <w:rsid w:val="006114E6"/>
    <w:rsid w:val="0063304D"/>
    <w:rsid w:val="00637776"/>
    <w:rsid w:val="006400E5"/>
    <w:rsid w:val="00646F70"/>
    <w:rsid w:val="00650E71"/>
    <w:rsid w:val="00662AFF"/>
    <w:rsid w:val="00672BA5"/>
    <w:rsid w:val="00672FC4"/>
    <w:rsid w:val="00697FC2"/>
    <w:rsid w:val="006A39E6"/>
    <w:rsid w:val="006B5A82"/>
    <w:rsid w:val="006B79D8"/>
    <w:rsid w:val="006C3A51"/>
    <w:rsid w:val="006C79C8"/>
    <w:rsid w:val="006E46FB"/>
    <w:rsid w:val="006F0A72"/>
    <w:rsid w:val="006F4218"/>
    <w:rsid w:val="006F49C2"/>
    <w:rsid w:val="00711E3F"/>
    <w:rsid w:val="00717345"/>
    <w:rsid w:val="00720A0D"/>
    <w:rsid w:val="0072395B"/>
    <w:rsid w:val="00746200"/>
    <w:rsid w:val="007469F4"/>
    <w:rsid w:val="00757FD8"/>
    <w:rsid w:val="00762522"/>
    <w:rsid w:val="00771C21"/>
    <w:rsid w:val="0077709F"/>
    <w:rsid w:val="007851BC"/>
    <w:rsid w:val="0078614D"/>
    <w:rsid w:val="007B355E"/>
    <w:rsid w:val="007C3A84"/>
    <w:rsid w:val="007C5C9E"/>
    <w:rsid w:val="007E4945"/>
    <w:rsid w:val="00821F08"/>
    <w:rsid w:val="00825963"/>
    <w:rsid w:val="0082629C"/>
    <w:rsid w:val="00843981"/>
    <w:rsid w:val="008555AA"/>
    <w:rsid w:val="0086129F"/>
    <w:rsid w:val="00862023"/>
    <w:rsid w:val="008746D4"/>
    <w:rsid w:val="008811B8"/>
    <w:rsid w:val="008849E8"/>
    <w:rsid w:val="008913BF"/>
    <w:rsid w:val="0089258D"/>
    <w:rsid w:val="00893AD1"/>
    <w:rsid w:val="008B72A8"/>
    <w:rsid w:val="008D3E35"/>
    <w:rsid w:val="008D55EC"/>
    <w:rsid w:val="008E18DD"/>
    <w:rsid w:val="008F21DB"/>
    <w:rsid w:val="008F4DD3"/>
    <w:rsid w:val="00923E0C"/>
    <w:rsid w:val="00924F57"/>
    <w:rsid w:val="00932C33"/>
    <w:rsid w:val="00935DD5"/>
    <w:rsid w:val="0094079E"/>
    <w:rsid w:val="0094478E"/>
    <w:rsid w:val="0094532E"/>
    <w:rsid w:val="00977F34"/>
    <w:rsid w:val="00980FC9"/>
    <w:rsid w:val="00981426"/>
    <w:rsid w:val="00991F3A"/>
    <w:rsid w:val="009B0211"/>
    <w:rsid w:val="009B3A28"/>
    <w:rsid w:val="009D0D3F"/>
    <w:rsid w:val="009D2542"/>
    <w:rsid w:val="009E5F6F"/>
    <w:rsid w:val="009F0721"/>
    <w:rsid w:val="00A057C8"/>
    <w:rsid w:val="00A2287F"/>
    <w:rsid w:val="00A23535"/>
    <w:rsid w:val="00A246D3"/>
    <w:rsid w:val="00A257A3"/>
    <w:rsid w:val="00A2629C"/>
    <w:rsid w:val="00A269F9"/>
    <w:rsid w:val="00A36984"/>
    <w:rsid w:val="00A418A4"/>
    <w:rsid w:val="00A704C6"/>
    <w:rsid w:val="00A75A56"/>
    <w:rsid w:val="00A75B4D"/>
    <w:rsid w:val="00A80C7E"/>
    <w:rsid w:val="00A87203"/>
    <w:rsid w:val="00A93285"/>
    <w:rsid w:val="00AA1C03"/>
    <w:rsid w:val="00AD2702"/>
    <w:rsid w:val="00AE1AC8"/>
    <w:rsid w:val="00AE28C6"/>
    <w:rsid w:val="00AE2A08"/>
    <w:rsid w:val="00AF1645"/>
    <w:rsid w:val="00AF5446"/>
    <w:rsid w:val="00B02E86"/>
    <w:rsid w:val="00B11F00"/>
    <w:rsid w:val="00B17324"/>
    <w:rsid w:val="00B213EF"/>
    <w:rsid w:val="00B2182A"/>
    <w:rsid w:val="00B21B8B"/>
    <w:rsid w:val="00B27734"/>
    <w:rsid w:val="00B30B99"/>
    <w:rsid w:val="00B35210"/>
    <w:rsid w:val="00B43EA6"/>
    <w:rsid w:val="00B46488"/>
    <w:rsid w:val="00B50491"/>
    <w:rsid w:val="00B51A45"/>
    <w:rsid w:val="00B606B8"/>
    <w:rsid w:val="00B6087A"/>
    <w:rsid w:val="00B70052"/>
    <w:rsid w:val="00B744B9"/>
    <w:rsid w:val="00B75FC1"/>
    <w:rsid w:val="00B959A4"/>
    <w:rsid w:val="00BA70B9"/>
    <w:rsid w:val="00BB3457"/>
    <w:rsid w:val="00BE21DE"/>
    <w:rsid w:val="00BF0A28"/>
    <w:rsid w:val="00BF4B0C"/>
    <w:rsid w:val="00C032A1"/>
    <w:rsid w:val="00C05521"/>
    <w:rsid w:val="00C07BC6"/>
    <w:rsid w:val="00C20958"/>
    <w:rsid w:val="00C3283B"/>
    <w:rsid w:val="00C42C32"/>
    <w:rsid w:val="00C433EE"/>
    <w:rsid w:val="00C44881"/>
    <w:rsid w:val="00C47532"/>
    <w:rsid w:val="00C51F26"/>
    <w:rsid w:val="00C53986"/>
    <w:rsid w:val="00C62DEC"/>
    <w:rsid w:val="00C732E9"/>
    <w:rsid w:val="00C74ACC"/>
    <w:rsid w:val="00C7580F"/>
    <w:rsid w:val="00C76AF5"/>
    <w:rsid w:val="00C819EC"/>
    <w:rsid w:val="00C81C31"/>
    <w:rsid w:val="00C83E21"/>
    <w:rsid w:val="00C93E30"/>
    <w:rsid w:val="00C95DF2"/>
    <w:rsid w:val="00CA107F"/>
    <w:rsid w:val="00CA4B9B"/>
    <w:rsid w:val="00CC0D6B"/>
    <w:rsid w:val="00CD1BE1"/>
    <w:rsid w:val="00CE1756"/>
    <w:rsid w:val="00CE27BB"/>
    <w:rsid w:val="00CE613E"/>
    <w:rsid w:val="00CE7E44"/>
    <w:rsid w:val="00CF0788"/>
    <w:rsid w:val="00D02145"/>
    <w:rsid w:val="00D02FA6"/>
    <w:rsid w:val="00D10EC1"/>
    <w:rsid w:val="00D1350F"/>
    <w:rsid w:val="00D16AE6"/>
    <w:rsid w:val="00D2520C"/>
    <w:rsid w:val="00D323AC"/>
    <w:rsid w:val="00D35D3B"/>
    <w:rsid w:val="00D47EF5"/>
    <w:rsid w:val="00D649F8"/>
    <w:rsid w:val="00D779F3"/>
    <w:rsid w:val="00D83291"/>
    <w:rsid w:val="00D9099F"/>
    <w:rsid w:val="00D93BD6"/>
    <w:rsid w:val="00D94AFF"/>
    <w:rsid w:val="00D96C89"/>
    <w:rsid w:val="00DA6E2A"/>
    <w:rsid w:val="00DB7C46"/>
    <w:rsid w:val="00DC3318"/>
    <w:rsid w:val="00DD6B4B"/>
    <w:rsid w:val="00DE122A"/>
    <w:rsid w:val="00DE59ED"/>
    <w:rsid w:val="00DF3601"/>
    <w:rsid w:val="00E32F9B"/>
    <w:rsid w:val="00E33FB7"/>
    <w:rsid w:val="00E37C9A"/>
    <w:rsid w:val="00E404CB"/>
    <w:rsid w:val="00E54314"/>
    <w:rsid w:val="00E71F3F"/>
    <w:rsid w:val="00E7786C"/>
    <w:rsid w:val="00E83EFB"/>
    <w:rsid w:val="00E85005"/>
    <w:rsid w:val="00E91BCC"/>
    <w:rsid w:val="00E9445C"/>
    <w:rsid w:val="00EB6826"/>
    <w:rsid w:val="00EB762F"/>
    <w:rsid w:val="00EC5A15"/>
    <w:rsid w:val="00ED0D37"/>
    <w:rsid w:val="00ED68B2"/>
    <w:rsid w:val="00EE37B5"/>
    <w:rsid w:val="00EE3AC3"/>
    <w:rsid w:val="00EE652A"/>
    <w:rsid w:val="00EF63E0"/>
    <w:rsid w:val="00F03EE6"/>
    <w:rsid w:val="00F06A49"/>
    <w:rsid w:val="00F2141E"/>
    <w:rsid w:val="00F2183D"/>
    <w:rsid w:val="00F35A6A"/>
    <w:rsid w:val="00F36786"/>
    <w:rsid w:val="00F4514E"/>
    <w:rsid w:val="00F45176"/>
    <w:rsid w:val="00F57CA7"/>
    <w:rsid w:val="00F63D6D"/>
    <w:rsid w:val="00F648FB"/>
    <w:rsid w:val="00F65914"/>
    <w:rsid w:val="00F73AC1"/>
    <w:rsid w:val="00F80AAF"/>
    <w:rsid w:val="00F935AD"/>
    <w:rsid w:val="00FB0156"/>
    <w:rsid w:val="00FB33EB"/>
    <w:rsid w:val="00FC0E3D"/>
    <w:rsid w:val="00FC447C"/>
    <w:rsid w:val="00FD1589"/>
    <w:rsid w:val="00FD1754"/>
    <w:rsid w:val="00FE7647"/>
    <w:rsid w:val="00FF7390"/>
    <w:rsid w:val="75E529E0"/>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ecimalSymbol w:val="."/>
  <w:listSeparator w:val=","/>
  <w14:docId w14:val="460C3A5A"/>
  <w15:docId w15:val="{F8E0B9C4-6E31-FD41-BA90-E8AEADF4E8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IN"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qFormat="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qFormat="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qFormat="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semiHidden="1" w:unhideWhenUsed="1"/>
    <w:lsdException w:name="Quote" w:semiHidden="1" w:unhideWhenUsed="1"/>
    <w:lsdException w:name="Intense Quote"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200" w:line="276" w:lineRule="auto"/>
    </w:pPr>
    <w:rPr>
      <w:sz w:val="22"/>
      <w:szCs w:val="22"/>
      <w:lang w:val="en-US"/>
    </w:rPr>
  </w:style>
  <w:style w:type="paragraph" w:styleId="Heading1">
    <w:name w:val="heading 1"/>
    <w:basedOn w:val="Normal"/>
    <w:next w:val="Normal"/>
    <w:link w:val="Heading1Char"/>
    <w:uiPriority w:val="9"/>
    <w:qFormat/>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pPr>
      <w:spacing w:after="0" w:line="240" w:lineRule="auto"/>
    </w:pPr>
    <w:rPr>
      <w:rFonts w:ascii="Tahoma" w:hAnsi="Tahoma" w:cs="Tahoma"/>
      <w:sz w:val="16"/>
      <w:szCs w:val="16"/>
    </w:rPr>
  </w:style>
  <w:style w:type="paragraph" w:styleId="Footer">
    <w:name w:val="footer"/>
    <w:basedOn w:val="Normal"/>
    <w:link w:val="FooterChar"/>
    <w:uiPriority w:val="99"/>
    <w:semiHidden/>
    <w:unhideWhenUsed/>
    <w:pPr>
      <w:tabs>
        <w:tab w:val="center" w:pos="4680"/>
        <w:tab w:val="right" w:pos="9360"/>
      </w:tabs>
      <w:spacing w:after="0" w:line="240" w:lineRule="auto"/>
    </w:pPr>
  </w:style>
  <w:style w:type="paragraph" w:styleId="Header">
    <w:name w:val="header"/>
    <w:basedOn w:val="Normal"/>
    <w:link w:val="HeaderChar"/>
    <w:uiPriority w:val="99"/>
    <w:unhideWhenUsed/>
    <w:pPr>
      <w:tabs>
        <w:tab w:val="center" w:pos="4680"/>
        <w:tab w:val="right" w:pos="9360"/>
      </w:tabs>
      <w:spacing w:after="0" w:line="240" w:lineRule="auto"/>
    </w:pPr>
  </w:style>
  <w:style w:type="character" w:styleId="Hyperlink">
    <w:name w:val="Hyperlink"/>
    <w:basedOn w:val="DefaultParagraphFont"/>
    <w:uiPriority w:val="99"/>
    <w:unhideWhenUsed/>
    <w:qFormat/>
    <w:rPr>
      <w:color w:val="0000FF" w:themeColor="hyperlink"/>
      <w:u w:val="single"/>
    </w:rPr>
  </w:style>
  <w:style w:type="paragraph" w:styleId="TOC1">
    <w:name w:val="toc 1"/>
    <w:basedOn w:val="Normal"/>
    <w:next w:val="Normal"/>
    <w:uiPriority w:val="39"/>
    <w:unhideWhenUsed/>
    <w:qFormat/>
    <w:pPr>
      <w:spacing w:after="100"/>
    </w:pPr>
  </w:style>
  <w:style w:type="character" w:customStyle="1" w:styleId="HeaderChar">
    <w:name w:val="Header Char"/>
    <w:basedOn w:val="DefaultParagraphFont"/>
    <w:link w:val="Header"/>
    <w:uiPriority w:val="99"/>
  </w:style>
  <w:style w:type="character" w:customStyle="1" w:styleId="FooterChar">
    <w:name w:val="Footer Char"/>
    <w:basedOn w:val="DefaultParagraphFont"/>
    <w:link w:val="Footer"/>
    <w:uiPriority w:val="99"/>
    <w:semiHidden/>
    <w:qFormat/>
  </w:style>
  <w:style w:type="character" w:customStyle="1" w:styleId="Heading1Char">
    <w:name w:val="Heading 1 Char"/>
    <w:basedOn w:val="DefaultParagraphFont"/>
    <w:link w:val="Heading1"/>
    <w:uiPriority w:val="9"/>
    <w:rPr>
      <w:rFonts w:asciiTheme="majorHAnsi" w:eastAsiaTheme="majorEastAsia" w:hAnsiTheme="majorHAnsi" w:cstheme="majorBidi"/>
      <w:b/>
      <w:bCs/>
      <w:color w:val="365F91" w:themeColor="accent1" w:themeShade="BF"/>
      <w:sz w:val="28"/>
      <w:szCs w:val="28"/>
    </w:rPr>
  </w:style>
  <w:style w:type="character" w:customStyle="1" w:styleId="BalloonTextChar">
    <w:name w:val="Balloon Text Char"/>
    <w:basedOn w:val="DefaultParagraphFont"/>
    <w:link w:val="BalloonText"/>
    <w:uiPriority w:val="99"/>
    <w:semiHidden/>
    <w:rPr>
      <w:rFonts w:ascii="Tahoma" w:hAnsi="Tahoma" w:cs="Tahoma"/>
      <w:sz w:val="16"/>
      <w:szCs w:val="16"/>
    </w:rPr>
  </w:style>
  <w:style w:type="paragraph" w:customStyle="1" w:styleId="TOCHeading1">
    <w:name w:val="TOC Heading1"/>
    <w:basedOn w:val="Heading1"/>
    <w:next w:val="Normal"/>
    <w:uiPriority w:val="39"/>
    <w:semiHidden/>
    <w:unhideWhenUsed/>
    <w:qFormat/>
    <w:pPr>
      <w:outlineLvl w:val="9"/>
    </w:pPr>
  </w:style>
  <w:style w:type="character" w:styleId="FollowedHyperlink">
    <w:name w:val="FollowedHyperlink"/>
    <w:basedOn w:val="DefaultParagraphFont"/>
    <w:uiPriority w:val="99"/>
    <w:semiHidden/>
    <w:unhideWhenUsed/>
    <w:rsid w:val="00B21B8B"/>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 /><Relationship Id="rId13" Type="http://schemas.openxmlformats.org/officeDocument/2006/relationships/hyperlink" Target="https://www.federalreserve.gov/newsevents/pressreleases/bcreg20221123a.htm" TargetMode="External" /><Relationship Id="rId18" Type="http://schemas.openxmlformats.org/officeDocument/2006/relationships/hyperlink" Target="https://www.parliament.uk/business/publications/research/key-issues-parliament-2015/economy-public-finances/regulating-banks/" TargetMode="External" /><Relationship Id="rId3" Type="http://schemas.openxmlformats.org/officeDocument/2006/relationships/settings" Target="settings.xml" /><Relationship Id="rId21" Type="http://schemas.openxmlformats.org/officeDocument/2006/relationships/theme" Target="theme/theme1.xml" /><Relationship Id="rId7" Type="http://schemas.openxmlformats.org/officeDocument/2006/relationships/image" Target="media/image1.jpeg" /><Relationship Id="rId12" Type="http://schemas.openxmlformats.org/officeDocument/2006/relationships/hyperlink" Target="https://www.hbs.edu/faculty/Pages/item.aspx?num=50835" TargetMode="External" /><Relationship Id="rId17" Type="http://schemas.openxmlformats.org/officeDocument/2006/relationships/hyperlink" Target="https://obr.uk/box/the-governments-regulatory-response-to-the-financial-crisis/" TargetMode="External" /><Relationship Id="rId2" Type="http://schemas.openxmlformats.org/officeDocument/2006/relationships/styles" Target="styles.xml" /><Relationship Id="rId16" Type="http://schemas.openxmlformats.org/officeDocument/2006/relationships/hyperlink" Target="https://www.latimes.com/archives/la-xpm-2010-dec-08-la-fi-citigroup-treasury-20101208-story.html" TargetMode="External" /><Relationship Id="rId20" Type="http://schemas.openxmlformats.org/officeDocument/2006/relationships/fontTable" Target="fontTable.xml" /><Relationship Id="rId1" Type="http://schemas.openxmlformats.org/officeDocument/2006/relationships/customXml" Target="../customXml/item1.xml" /><Relationship Id="rId6" Type="http://schemas.openxmlformats.org/officeDocument/2006/relationships/endnotes" Target="endnotes.xml" /><Relationship Id="rId11" Type="http://schemas.openxmlformats.org/officeDocument/2006/relationships/hyperlink" Target="https://www.cnbc.com/2022/12/09/uk-announces-major-overhaul-of-its-financial-sector-in-attempt-to-spur-growth.html" TargetMode="External" /><Relationship Id="rId5" Type="http://schemas.openxmlformats.org/officeDocument/2006/relationships/footnotes" Target="footnotes.xml" /><Relationship Id="rId15" Type="http://schemas.openxmlformats.org/officeDocument/2006/relationships/hyperlink" Target="https://www.jpmorgan.com/insights/global-research/markets/10-years-after-financial-crisis" TargetMode="External" /><Relationship Id="rId10" Type="http://schemas.openxmlformats.org/officeDocument/2006/relationships/hyperlink" Target="https://www.cazenovecapital.com/en-gb/uk/wealth-management/insights/the-longest-bull-market-in-history-in-five-charts/" TargetMode="External" /><Relationship Id="rId19" Type="http://schemas.openxmlformats.org/officeDocument/2006/relationships/header" Target="header1.xml" /><Relationship Id="rId4" Type="http://schemas.openxmlformats.org/officeDocument/2006/relationships/webSettings" Target="webSettings.xml" /><Relationship Id="rId9" Type="http://schemas.openxmlformats.org/officeDocument/2006/relationships/image" Target="media/image3.png" /><Relationship Id="rId14" Type="http://schemas.openxmlformats.org/officeDocument/2006/relationships/hyperlink" Target="https://www.globallegalinsights.com/practice-areas/banking-and-finance-laws-and-regulations/united-kingdom"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CC1C328-7A17-426B-AF2F-3E7A8931E818}">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23</Pages>
  <Words>5755</Words>
  <Characters>32809</Characters>
  <Application>Microsoft Office Word</Application>
  <DocSecurity>0</DocSecurity>
  <Lines>273</Lines>
  <Paragraphs>76</Paragraphs>
  <ScaleCrop>false</ScaleCrop>
  <Company>by adguard</Company>
  <LinksUpToDate>false</LinksUpToDate>
  <CharactersWithSpaces>38488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dell</dc:creator>
  <cp:lastModifiedBy>Ibrahim Hazratali Sardar (2215769)</cp:lastModifiedBy>
  <cp:revision>2</cp:revision>
  <dcterms:created xsi:type="dcterms:W3CDTF">2024-01-02T11:20:00Z</dcterms:created>
  <dcterms:modified xsi:type="dcterms:W3CDTF">2024-01-02T11:20:00Z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1033-12.2.0.13359</vt:lpwstr>
  </property>
  <property fmtid="{D5CDD505-2E9C-101B-9397-08002B2CF9AE}" pid="3" name="ICV">
    <vt:lpwstr>09DCEFEA1C1243639CC3DFE9443A2426_13</vt:lpwstr>
  </property>
</Properties>
</file>