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BB6E1" w14:textId="77777777" w:rsidR="00D254B6" w:rsidRDefault="00D254B6" w:rsidP="006913D2">
      <w:pPr>
        <w:jc w:val="center"/>
        <w:rPr>
          <w:sz w:val="40"/>
          <w:szCs w:val="40"/>
          <w:u w:val="single"/>
        </w:rPr>
      </w:pPr>
      <w:r>
        <w:rPr>
          <w:noProof/>
          <w:sz w:val="40"/>
          <w:szCs w:val="40"/>
          <w:u w:val="single"/>
        </w:rPr>
        <w:drawing>
          <wp:inline distT="0" distB="0" distL="0" distR="0" wp14:anchorId="1B6D61D2" wp14:editId="33B69A9D">
            <wp:extent cx="5715000" cy="2857500"/>
            <wp:effectExtent l="0" t="0" r="0" b="0"/>
            <wp:docPr id="133699225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992254" name="Picture 1" descr="A logo for a university&#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15000" cy="2857500"/>
                    </a:xfrm>
                    <a:prstGeom prst="rect">
                      <a:avLst/>
                    </a:prstGeom>
                  </pic:spPr>
                </pic:pic>
              </a:graphicData>
            </a:graphic>
          </wp:inline>
        </w:drawing>
      </w:r>
    </w:p>
    <w:p w14:paraId="5B07517D" w14:textId="77777777" w:rsidR="00D254B6" w:rsidRDefault="00D254B6" w:rsidP="006913D2">
      <w:pPr>
        <w:jc w:val="center"/>
        <w:rPr>
          <w:sz w:val="40"/>
          <w:szCs w:val="40"/>
          <w:u w:val="single"/>
        </w:rPr>
      </w:pPr>
    </w:p>
    <w:p w14:paraId="2BC70EA4" w14:textId="5A5F34F1" w:rsidR="00D254B6" w:rsidRDefault="00D254B6" w:rsidP="006913D2">
      <w:pPr>
        <w:jc w:val="center"/>
        <w:rPr>
          <w:sz w:val="40"/>
          <w:szCs w:val="40"/>
          <w:u w:val="single"/>
        </w:rPr>
      </w:pPr>
      <w:r>
        <w:rPr>
          <w:sz w:val="40"/>
          <w:szCs w:val="40"/>
          <w:u w:val="single"/>
        </w:rPr>
        <w:t xml:space="preserve">Strategic Management and </w:t>
      </w:r>
      <w:r w:rsidR="00E43099">
        <w:rPr>
          <w:sz w:val="40"/>
          <w:szCs w:val="40"/>
          <w:u w:val="single"/>
        </w:rPr>
        <w:t>Sustainability</w:t>
      </w:r>
      <w:r>
        <w:rPr>
          <w:sz w:val="40"/>
          <w:szCs w:val="40"/>
          <w:u w:val="single"/>
        </w:rPr>
        <w:t xml:space="preserve"> </w:t>
      </w:r>
    </w:p>
    <w:p w14:paraId="48D49BF6" w14:textId="77777777" w:rsidR="00D254B6" w:rsidRDefault="00D254B6" w:rsidP="006913D2">
      <w:pPr>
        <w:jc w:val="center"/>
        <w:rPr>
          <w:sz w:val="40"/>
          <w:szCs w:val="40"/>
          <w:u w:val="single"/>
        </w:rPr>
      </w:pPr>
    </w:p>
    <w:p w14:paraId="28F2A22F" w14:textId="77777777" w:rsidR="00D254B6" w:rsidRDefault="00D254B6" w:rsidP="006913D2">
      <w:pPr>
        <w:jc w:val="center"/>
        <w:rPr>
          <w:sz w:val="40"/>
          <w:szCs w:val="40"/>
          <w:u w:val="single"/>
        </w:rPr>
      </w:pPr>
    </w:p>
    <w:p w14:paraId="09E179C1" w14:textId="77777777" w:rsidR="00D254B6" w:rsidRDefault="00D254B6" w:rsidP="006913D2">
      <w:pPr>
        <w:jc w:val="center"/>
        <w:rPr>
          <w:sz w:val="40"/>
          <w:szCs w:val="40"/>
          <w:u w:val="single"/>
        </w:rPr>
      </w:pPr>
    </w:p>
    <w:p w14:paraId="04860BFE" w14:textId="77777777" w:rsidR="00D254B6" w:rsidRDefault="00D254B6" w:rsidP="006913D2">
      <w:pPr>
        <w:jc w:val="center"/>
        <w:rPr>
          <w:sz w:val="40"/>
          <w:szCs w:val="40"/>
          <w:u w:val="single"/>
        </w:rPr>
      </w:pPr>
    </w:p>
    <w:p w14:paraId="3C68E2C1" w14:textId="77777777" w:rsidR="00D254B6" w:rsidRDefault="00D254B6" w:rsidP="006913D2">
      <w:pPr>
        <w:jc w:val="center"/>
        <w:rPr>
          <w:sz w:val="40"/>
          <w:szCs w:val="40"/>
          <w:u w:val="single"/>
        </w:rPr>
      </w:pPr>
    </w:p>
    <w:p w14:paraId="42691EED" w14:textId="77777777" w:rsidR="00D254B6" w:rsidRDefault="00D254B6" w:rsidP="006913D2">
      <w:pPr>
        <w:jc w:val="center"/>
        <w:rPr>
          <w:sz w:val="40"/>
          <w:szCs w:val="40"/>
          <w:u w:val="single"/>
        </w:rPr>
      </w:pPr>
      <w:r>
        <w:rPr>
          <w:sz w:val="40"/>
          <w:szCs w:val="40"/>
          <w:u w:val="single"/>
        </w:rPr>
        <w:t xml:space="preserve">Student </w:t>
      </w:r>
      <w:proofErr w:type="gramStart"/>
      <w:r>
        <w:rPr>
          <w:sz w:val="40"/>
          <w:szCs w:val="40"/>
          <w:u w:val="single"/>
        </w:rPr>
        <w:t>name :</w:t>
      </w:r>
      <w:proofErr w:type="gramEnd"/>
      <w:r>
        <w:rPr>
          <w:sz w:val="40"/>
          <w:szCs w:val="40"/>
          <w:u w:val="single"/>
        </w:rPr>
        <w:t xml:space="preserve"> Alexandra Alina </w:t>
      </w:r>
      <w:proofErr w:type="spellStart"/>
      <w:r>
        <w:rPr>
          <w:sz w:val="40"/>
          <w:szCs w:val="40"/>
          <w:u w:val="single"/>
        </w:rPr>
        <w:t>Tinca</w:t>
      </w:r>
      <w:proofErr w:type="spellEnd"/>
      <w:r>
        <w:rPr>
          <w:sz w:val="40"/>
          <w:szCs w:val="40"/>
          <w:u w:val="single"/>
        </w:rPr>
        <w:t xml:space="preserve"> </w:t>
      </w:r>
    </w:p>
    <w:p w14:paraId="2201FE67" w14:textId="0D9339DF" w:rsidR="000D1E45" w:rsidRPr="006913D2" w:rsidRDefault="00D254B6" w:rsidP="006913D2">
      <w:pPr>
        <w:jc w:val="center"/>
        <w:rPr>
          <w:rFonts w:ascii="Times New Roman" w:eastAsia="Times New Roman" w:hAnsi="Times New Roman" w:cs="Times New Roman"/>
          <w:b/>
          <w:sz w:val="40"/>
          <w:szCs w:val="40"/>
          <w:u w:val="single"/>
        </w:rPr>
      </w:pPr>
      <w:r>
        <w:rPr>
          <w:sz w:val="40"/>
          <w:szCs w:val="40"/>
          <w:u w:val="single"/>
        </w:rPr>
        <w:t xml:space="preserve">ID </w:t>
      </w:r>
      <w:proofErr w:type="gramStart"/>
      <w:r>
        <w:rPr>
          <w:sz w:val="40"/>
          <w:szCs w:val="40"/>
          <w:u w:val="single"/>
        </w:rPr>
        <w:t>Number :</w:t>
      </w:r>
      <w:proofErr w:type="gramEnd"/>
      <w:r>
        <w:rPr>
          <w:sz w:val="40"/>
          <w:szCs w:val="40"/>
          <w:u w:val="single"/>
        </w:rPr>
        <w:t xml:space="preserve"> 2028610</w:t>
      </w:r>
      <w:r w:rsidR="00347C6A" w:rsidRPr="006913D2">
        <w:rPr>
          <w:sz w:val="40"/>
          <w:szCs w:val="40"/>
          <w:u w:val="single"/>
        </w:rPr>
        <w:br w:type="page"/>
      </w:r>
    </w:p>
    <w:sdt>
      <w:sdtPr>
        <w:rPr>
          <w:rFonts w:ascii="Times New Roman" w:eastAsia="Arial" w:hAnsi="Times New Roman" w:cs="Times New Roman"/>
          <w:color w:val="auto"/>
          <w:sz w:val="24"/>
          <w:szCs w:val="24"/>
          <w:lang w:val="en-GB" w:eastAsia="en-IN"/>
        </w:rPr>
        <w:id w:val="130228215"/>
        <w:docPartObj>
          <w:docPartGallery w:val="Table of Contents"/>
          <w:docPartUnique/>
        </w:docPartObj>
      </w:sdtPr>
      <w:sdtEndPr>
        <w:rPr>
          <w:b/>
          <w:bCs/>
          <w:noProof/>
        </w:rPr>
      </w:sdtEndPr>
      <w:sdtContent>
        <w:p w14:paraId="3E501BD3" w14:textId="20A8B986" w:rsidR="00347C6A" w:rsidRPr="00347C6A" w:rsidRDefault="00347C6A" w:rsidP="00347C6A">
          <w:pPr>
            <w:pStyle w:val="TOCHeading"/>
            <w:spacing w:line="360" w:lineRule="auto"/>
            <w:jc w:val="center"/>
            <w:rPr>
              <w:rFonts w:ascii="Times New Roman" w:hAnsi="Times New Roman" w:cs="Times New Roman"/>
              <w:b/>
              <w:bCs/>
              <w:sz w:val="24"/>
              <w:szCs w:val="24"/>
            </w:rPr>
          </w:pPr>
          <w:r w:rsidRPr="00347C6A">
            <w:rPr>
              <w:rFonts w:ascii="Times New Roman" w:hAnsi="Times New Roman" w:cs="Times New Roman"/>
              <w:b/>
              <w:bCs/>
              <w:sz w:val="24"/>
              <w:szCs w:val="24"/>
            </w:rPr>
            <w:t>Table of Contents</w:t>
          </w:r>
        </w:p>
        <w:p w14:paraId="5E20A994" w14:textId="2CD7E9EE" w:rsidR="00347C6A" w:rsidRPr="00347C6A" w:rsidRDefault="00347C6A" w:rsidP="00347C6A">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r w:rsidRPr="00347C6A">
            <w:rPr>
              <w:rFonts w:ascii="Times New Roman" w:hAnsi="Times New Roman" w:cs="Times New Roman"/>
              <w:sz w:val="24"/>
              <w:szCs w:val="24"/>
            </w:rPr>
            <w:fldChar w:fldCharType="begin"/>
          </w:r>
          <w:r w:rsidRPr="00347C6A">
            <w:rPr>
              <w:rFonts w:ascii="Times New Roman" w:hAnsi="Times New Roman" w:cs="Times New Roman"/>
              <w:sz w:val="24"/>
              <w:szCs w:val="24"/>
            </w:rPr>
            <w:instrText xml:space="preserve"> TOC \o "1-3" \h \z \u </w:instrText>
          </w:r>
          <w:r w:rsidRPr="00347C6A">
            <w:rPr>
              <w:rFonts w:ascii="Times New Roman" w:hAnsi="Times New Roman" w:cs="Times New Roman"/>
              <w:sz w:val="24"/>
              <w:szCs w:val="24"/>
            </w:rPr>
            <w:fldChar w:fldCharType="separate"/>
          </w:r>
          <w:hyperlink w:anchor="_Toc153975810" w:history="1">
            <w:r w:rsidRPr="00347C6A">
              <w:rPr>
                <w:rStyle w:val="Hyperlink"/>
                <w:rFonts w:ascii="Times New Roman" w:hAnsi="Times New Roman" w:cs="Times New Roman"/>
                <w:noProof/>
                <w:sz w:val="24"/>
                <w:szCs w:val="24"/>
              </w:rPr>
              <w:t>Introduction</w:t>
            </w:r>
            <w:r w:rsidRPr="00347C6A">
              <w:rPr>
                <w:rFonts w:ascii="Times New Roman" w:hAnsi="Times New Roman" w:cs="Times New Roman"/>
                <w:noProof/>
                <w:webHidden/>
                <w:sz w:val="24"/>
                <w:szCs w:val="24"/>
              </w:rPr>
              <w:tab/>
            </w:r>
            <w:r w:rsidRPr="00347C6A">
              <w:rPr>
                <w:rFonts w:ascii="Times New Roman" w:hAnsi="Times New Roman" w:cs="Times New Roman"/>
                <w:noProof/>
                <w:webHidden/>
                <w:sz w:val="24"/>
                <w:szCs w:val="24"/>
              </w:rPr>
              <w:fldChar w:fldCharType="begin"/>
            </w:r>
            <w:r w:rsidRPr="00347C6A">
              <w:rPr>
                <w:rFonts w:ascii="Times New Roman" w:hAnsi="Times New Roman" w:cs="Times New Roman"/>
                <w:noProof/>
                <w:webHidden/>
                <w:sz w:val="24"/>
                <w:szCs w:val="24"/>
              </w:rPr>
              <w:instrText xml:space="preserve"> PAGEREF _Toc153975810 \h </w:instrText>
            </w:r>
            <w:r w:rsidRPr="00347C6A">
              <w:rPr>
                <w:rFonts w:ascii="Times New Roman" w:hAnsi="Times New Roman" w:cs="Times New Roman"/>
                <w:noProof/>
                <w:webHidden/>
                <w:sz w:val="24"/>
                <w:szCs w:val="24"/>
              </w:rPr>
            </w:r>
            <w:r w:rsidRPr="00347C6A">
              <w:rPr>
                <w:rFonts w:ascii="Times New Roman" w:hAnsi="Times New Roman" w:cs="Times New Roman"/>
                <w:noProof/>
                <w:webHidden/>
                <w:sz w:val="24"/>
                <w:szCs w:val="24"/>
              </w:rPr>
              <w:fldChar w:fldCharType="separate"/>
            </w:r>
            <w:r w:rsidR="002211DA">
              <w:rPr>
                <w:rFonts w:ascii="Times New Roman" w:hAnsi="Times New Roman" w:cs="Times New Roman"/>
                <w:noProof/>
                <w:webHidden/>
                <w:sz w:val="24"/>
                <w:szCs w:val="24"/>
              </w:rPr>
              <w:t>3</w:t>
            </w:r>
            <w:r w:rsidRPr="00347C6A">
              <w:rPr>
                <w:rFonts w:ascii="Times New Roman" w:hAnsi="Times New Roman" w:cs="Times New Roman"/>
                <w:noProof/>
                <w:webHidden/>
                <w:sz w:val="24"/>
                <w:szCs w:val="24"/>
              </w:rPr>
              <w:fldChar w:fldCharType="end"/>
            </w:r>
          </w:hyperlink>
        </w:p>
        <w:p w14:paraId="26168A94" w14:textId="1FF881E2" w:rsidR="00347C6A" w:rsidRPr="00347C6A" w:rsidRDefault="00000000" w:rsidP="00347C6A">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3975811" w:history="1">
            <w:r w:rsidR="00347C6A" w:rsidRPr="00347C6A">
              <w:rPr>
                <w:rStyle w:val="Hyperlink"/>
                <w:rFonts w:ascii="Times New Roman" w:hAnsi="Times New Roman" w:cs="Times New Roman"/>
                <w:noProof/>
                <w:sz w:val="24"/>
                <w:szCs w:val="24"/>
              </w:rPr>
              <w:t>Overview of IMI Plc</w:t>
            </w:r>
            <w:r w:rsidR="00347C6A" w:rsidRPr="00347C6A">
              <w:rPr>
                <w:rFonts w:ascii="Times New Roman" w:hAnsi="Times New Roman" w:cs="Times New Roman"/>
                <w:noProof/>
                <w:webHidden/>
                <w:sz w:val="24"/>
                <w:szCs w:val="24"/>
              </w:rPr>
              <w:tab/>
            </w:r>
            <w:r w:rsidR="00347C6A" w:rsidRPr="00347C6A">
              <w:rPr>
                <w:rFonts w:ascii="Times New Roman" w:hAnsi="Times New Roman" w:cs="Times New Roman"/>
                <w:noProof/>
                <w:webHidden/>
                <w:sz w:val="24"/>
                <w:szCs w:val="24"/>
              </w:rPr>
              <w:fldChar w:fldCharType="begin"/>
            </w:r>
            <w:r w:rsidR="00347C6A" w:rsidRPr="00347C6A">
              <w:rPr>
                <w:rFonts w:ascii="Times New Roman" w:hAnsi="Times New Roman" w:cs="Times New Roman"/>
                <w:noProof/>
                <w:webHidden/>
                <w:sz w:val="24"/>
                <w:szCs w:val="24"/>
              </w:rPr>
              <w:instrText xml:space="preserve"> PAGEREF _Toc153975811 \h </w:instrText>
            </w:r>
            <w:r w:rsidR="00347C6A" w:rsidRPr="00347C6A">
              <w:rPr>
                <w:rFonts w:ascii="Times New Roman" w:hAnsi="Times New Roman" w:cs="Times New Roman"/>
                <w:noProof/>
                <w:webHidden/>
                <w:sz w:val="24"/>
                <w:szCs w:val="24"/>
              </w:rPr>
            </w:r>
            <w:r w:rsidR="00347C6A" w:rsidRPr="00347C6A">
              <w:rPr>
                <w:rFonts w:ascii="Times New Roman" w:hAnsi="Times New Roman" w:cs="Times New Roman"/>
                <w:noProof/>
                <w:webHidden/>
                <w:sz w:val="24"/>
                <w:szCs w:val="24"/>
              </w:rPr>
              <w:fldChar w:fldCharType="separate"/>
            </w:r>
            <w:r w:rsidR="002211DA">
              <w:rPr>
                <w:rFonts w:ascii="Times New Roman" w:hAnsi="Times New Roman" w:cs="Times New Roman"/>
                <w:noProof/>
                <w:webHidden/>
                <w:sz w:val="24"/>
                <w:szCs w:val="24"/>
              </w:rPr>
              <w:t>3</w:t>
            </w:r>
            <w:r w:rsidR="00347C6A" w:rsidRPr="00347C6A">
              <w:rPr>
                <w:rFonts w:ascii="Times New Roman" w:hAnsi="Times New Roman" w:cs="Times New Roman"/>
                <w:noProof/>
                <w:webHidden/>
                <w:sz w:val="24"/>
                <w:szCs w:val="24"/>
              </w:rPr>
              <w:fldChar w:fldCharType="end"/>
            </w:r>
          </w:hyperlink>
        </w:p>
        <w:p w14:paraId="49CF1440" w14:textId="385D8DDD" w:rsidR="00347C6A" w:rsidRPr="00347C6A" w:rsidRDefault="00000000" w:rsidP="00347C6A">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3975812" w:history="1">
            <w:r w:rsidR="00347C6A" w:rsidRPr="00347C6A">
              <w:rPr>
                <w:rStyle w:val="Hyperlink"/>
                <w:rFonts w:ascii="Times New Roman" w:hAnsi="Times New Roman" w:cs="Times New Roman"/>
                <w:noProof/>
                <w:sz w:val="24"/>
                <w:szCs w:val="24"/>
              </w:rPr>
              <w:t>PESTLE</w:t>
            </w:r>
            <w:r w:rsidR="00347C6A" w:rsidRPr="00347C6A">
              <w:rPr>
                <w:rFonts w:ascii="Times New Roman" w:hAnsi="Times New Roman" w:cs="Times New Roman"/>
                <w:noProof/>
                <w:webHidden/>
                <w:sz w:val="24"/>
                <w:szCs w:val="24"/>
              </w:rPr>
              <w:tab/>
            </w:r>
            <w:r w:rsidR="00347C6A" w:rsidRPr="00347C6A">
              <w:rPr>
                <w:rFonts w:ascii="Times New Roman" w:hAnsi="Times New Roman" w:cs="Times New Roman"/>
                <w:noProof/>
                <w:webHidden/>
                <w:sz w:val="24"/>
                <w:szCs w:val="24"/>
              </w:rPr>
              <w:fldChar w:fldCharType="begin"/>
            </w:r>
            <w:r w:rsidR="00347C6A" w:rsidRPr="00347C6A">
              <w:rPr>
                <w:rFonts w:ascii="Times New Roman" w:hAnsi="Times New Roman" w:cs="Times New Roman"/>
                <w:noProof/>
                <w:webHidden/>
                <w:sz w:val="24"/>
                <w:szCs w:val="24"/>
              </w:rPr>
              <w:instrText xml:space="preserve"> PAGEREF _Toc153975812 \h </w:instrText>
            </w:r>
            <w:r w:rsidR="00347C6A" w:rsidRPr="00347C6A">
              <w:rPr>
                <w:rFonts w:ascii="Times New Roman" w:hAnsi="Times New Roman" w:cs="Times New Roman"/>
                <w:noProof/>
                <w:webHidden/>
                <w:sz w:val="24"/>
                <w:szCs w:val="24"/>
              </w:rPr>
            </w:r>
            <w:r w:rsidR="00347C6A" w:rsidRPr="00347C6A">
              <w:rPr>
                <w:rFonts w:ascii="Times New Roman" w:hAnsi="Times New Roman" w:cs="Times New Roman"/>
                <w:noProof/>
                <w:webHidden/>
                <w:sz w:val="24"/>
                <w:szCs w:val="24"/>
              </w:rPr>
              <w:fldChar w:fldCharType="separate"/>
            </w:r>
            <w:r w:rsidR="002211DA">
              <w:rPr>
                <w:rFonts w:ascii="Times New Roman" w:hAnsi="Times New Roman" w:cs="Times New Roman"/>
                <w:noProof/>
                <w:webHidden/>
                <w:sz w:val="24"/>
                <w:szCs w:val="24"/>
              </w:rPr>
              <w:t>3</w:t>
            </w:r>
            <w:r w:rsidR="00347C6A" w:rsidRPr="00347C6A">
              <w:rPr>
                <w:rFonts w:ascii="Times New Roman" w:hAnsi="Times New Roman" w:cs="Times New Roman"/>
                <w:noProof/>
                <w:webHidden/>
                <w:sz w:val="24"/>
                <w:szCs w:val="24"/>
              </w:rPr>
              <w:fldChar w:fldCharType="end"/>
            </w:r>
          </w:hyperlink>
        </w:p>
        <w:p w14:paraId="2848B5D7" w14:textId="53CDE289" w:rsidR="00347C6A" w:rsidRPr="00347C6A" w:rsidRDefault="00000000" w:rsidP="00347C6A">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3975813" w:history="1">
            <w:r w:rsidR="00347C6A" w:rsidRPr="00347C6A">
              <w:rPr>
                <w:rStyle w:val="Hyperlink"/>
                <w:rFonts w:ascii="Times New Roman" w:hAnsi="Times New Roman" w:cs="Times New Roman"/>
                <w:noProof/>
                <w:sz w:val="24"/>
                <w:szCs w:val="24"/>
              </w:rPr>
              <w:t>Competitive environment of Engineering Industry</w:t>
            </w:r>
            <w:r w:rsidR="00347C6A" w:rsidRPr="00347C6A">
              <w:rPr>
                <w:rFonts w:ascii="Times New Roman" w:hAnsi="Times New Roman" w:cs="Times New Roman"/>
                <w:noProof/>
                <w:webHidden/>
                <w:sz w:val="24"/>
                <w:szCs w:val="24"/>
              </w:rPr>
              <w:tab/>
            </w:r>
            <w:r w:rsidR="00347C6A" w:rsidRPr="00347C6A">
              <w:rPr>
                <w:rFonts w:ascii="Times New Roman" w:hAnsi="Times New Roman" w:cs="Times New Roman"/>
                <w:noProof/>
                <w:webHidden/>
                <w:sz w:val="24"/>
                <w:szCs w:val="24"/>
              </w:rPr>
              <w:fldChar w:fldCharType="begin"/>
            </w:r>
            <w:r w:rsidR="00347C6A" w:rsidRPr="00347C6A">
              <w:rPr>
                <w:rFonts w:ascii="Times New Roman" w:hAnsi="Times New Roman" w:cs="Times New Roman"/>
                <w:noProof/>
                <w:webHidden/>
                <w:sz w:val="24"/>
                <w:szCs w:val="24"/>
              </w:rPr>
              <w:instrText xml:space="preserve"> PAGEREF _Toc153975813 \h </w:instrText>
            </w:r>
            <w:r w:rsidR="00347C6A" w:rsidRPr="00347C6A">
              <w:rPr>
                <w:rFonts w:ascii="Times New Roman" w:hAnsi="Times New Roman" w:cs="Times New Roman"/>
                <w:noProof/>
                <w:webHidden/>
                <w:sz w:val="24"/>
                <w:szCs w:val="24"/>
              </w:rPr>
            </w:r>
            <w:r w:rsidR="00347C6A" w:rsidRPr="00347C6A">
              <w:rPr>
                <w:rFonts w:ascii="Times New Roman" w:hAnsi="Times New Roman" w:cs="Times New Roman"/>
                <w:noProof/>
                <w:webHidden/>
                <w:sz w:val="24"/>
                <w:szCs w:val="24"/>
              </w:rPr>
              <w:fldChar w:fldCharType="separate"/>
            </w:r>
            <w:r w:rsidR="002211DA">
              <w:rPr>
                <w:rFonts w:ascii="Times New Roman" w:hAnsi="Times New Roman" w:cs="Times New Roman"/>
                <w:noProof/>
                <w:webHidden/>
                <w:sz w:val="24"/>
                <w:szCs w:val="24"/>
              </w:rPr>
              <w:t>5</w:t>
            </w:r>
            <w:r w:rsidR="00347C6A" w:rsidRPr="00347C6A">
              <w:rPr>
                <w:rFonts w:ascii="Times New Roman" w:hAnsi="Times New Roman" w:cs="Times New Roman"/>
                <w:noProof/>
                <w:webHidden/>
                <w:sz w:val="24"/>
                <w:szCs w:val="24"/>
              </w:rPr>
              <w:fldChar w:fldCharType="end"/>
            </w:r>
          </w:hyperlink>
        </w:p>
        <w:p w14:paraId="0874C3BD" w14:textId="584FBD22" w:rsidR="00347C6A" w:rsidRPr="00347C6A" w:rsidRDefault="00000000" w:rsidP="00347C6A">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3975814" w:history="1">
            <w:r w:rsidR="00347C6A" w:rsidRPr="00347C6A">
              <w:rPr>
                <w:rStyle w:val="Hyperlink"/>
                <w:rFonts w:ascii="Times New Roman" w:hAnsi="Times New Roman" w:cs="Times New Roman"/>
                <w:noProof/>
                <w:sz w:val="24"/>
                <w:szCs w:val="24"/>
              </w:rPr>
              <w:t>Industry five forces</w:t>
            </w:r>
            <w:r w:rsidR="00347C6A" w:rsidRPr="00347C6A">
              <w:rPr>
                <w:rFonts w:ascii="Times New Roman" w:hAnsi="Times New Roman" w:cs="Times New Roman"/>
                <w:noProof/>
                <w:webHidden/>
                <w:sz w:val="24"/>
                <w:szCs w:val="24"/>
              </w:rPr>
              <w:tab/>
            </w:r>
            <w:r w:rsidR="00347C6A" w:rsidRPr="00347C6A">
              <w:rPr>
                <w:rFonts w:ascii="Times New Roman" w:hAnsi="Times New Roman" w:cs="Times New Roman"/>
                <w:noProof/>
                <w:webHidden/>
                <w:sz w:val="24"/>
                <w:szCs w:val="24"/>
              </w:rPr>
              <w:fldChar w:fldCharType="begin"/>
            </w:r>
            <w:r w:rsidR="00347C6A" w:rsidRPr="00347C6A">
              <w:rPr>
                <w:rFonts w:ascii="Times New Roman" w:hAnsi="Times New Roman" w:cs="Times New Roman"/>
                <w:noProof/>
                <w:webHidden/>
                <w:sz w:val="24"/>
                <w:szCs w:val="24"/>
              </w:rPr>
              <w:instrText xml:space="preserve"> PAGEREF _Toc153975814 \h </w:instrText>
            </w:r>
            <w:r w:rsidR="00347C6A" w:rsidRPr="00347C6A">
              <w:rPr>
                <w:rFonts w:ascii="Times New Roman" w:hAnsi="Times New Roman" w:cs="Times New Roman"/>
                <w:noProof/>
                <w:webHidden/>
                <w:sz w:val="24"/>
                <w:szCs w:val="24"/>
              </w:rPr>
            </w:r>
            <w:r w:rsidR="00347C6A" w:rsidRPr="00347C6A">
              <w:rPr>
                <w:rFonts w:ascii="Times New Roman" w:hAnsi="Times New Roman" w:cs="Times New Roman"/>
                <w:noProof/>
                <w:webHidden/>
                <w:sz w:val="24"/>
                <w:szCs w:val="24"/>
              </w:rPr>
              <w:fldChar w:fldCharType="separate"/>
            </w:r>
            <w:r w:rsidR="002211DA">
              <w:rPr>
                <w:rFonts w:ascii="Times New Roman" w:hAnsi="Times New Roman" w:cs="Times New Roman"/>
                <w:noProof/>
                <w:webHidden/>
                <w:sz w:val="24"/>
                <w:szCs w:val="24"/>
              </w:rPr>
              <w:t>5</w:t>
            </w:r>
            <w:r w:rsidR="00347C6A" w:rsidRPr="00347C6A">
              <w:rPr>
                <w:rFonts w:ascii="Times New Roman" w:hAnsi="Times New Roman" w:cs="Times New Roman"/>
                <w:noProof/>
                <w:webHidden/>
                <w:sz w:val="24"/>
                <w:szCs w:val="24"/>
              </w:rPr>
              <w:fldChar w:fldCharType="end"/>
            </w:r>
          </w:hyperlink>
        </w:p>
        <w:p w14:paraId="0285D9D8" w14:textId="52253E6C" w:rsidR="00347C6A" w:rsidRPr="00347C6A" w:rsidRDefault="00000000" w:rsidP="00347C6A">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3975815" w:history="1">
            <w:r w:rsidR="00347C6A" w:rsidRPr="00347C6A">
              <w:rPr>
                <w:rStyle w:val="Hyperlink"/>
                <w:rFonts w:ascii="Times New Roman" w:hAnsi="Times New Roman" w:cs="Times New Roman"/>
                <w:noProof/>
                <w:sz w:val="24"/>
                <w:szCs w:val="24"/>
              </w:rPr>
              <w:t>SWOT analysis</w:t>
            </w:r>
            <w:r w:rsidR="00347C6A" w:rsidRPr="00347C6A">
              <w:rPr>
                <w:rFonts w:ascii="Times New Roman" w:hAnsi="Times New Roman" w:cs="Times New Roman"/>
                <w:noProof/>
                <w:webHidden/>
                <w:sz w:val="24"/>
                <w:szCs w:val="24"/>
              </w:rPr>
              <w:tab/>
            </w:r>
            <w:r w:rsidR="00347C6A" w:rsidRPr="00347C6A">
              <w:rPr>
                <w:rFonts w:ascii="Times New Roman" w:hAnsi="Times New Roman" w:cs="Times New Roman"/>
                <w:noProof/>
                <w:webHidden/>
                <w:sz w:val="24"/>
                <w:szCs w:val="24"/>
              </w:rPr>
              <w:fldChar w:fldCharType="begin"/>
            </w:r>
            <w:r w:rsidR="00347C6A" w:rsidRPr="00347C6A">
              <w:rPr>
                <w:rFonts w:ascii="Times New Roman" w:hAnsi="Times New Roman" w:cs="Times New Roman"/>
                <w:noProof/>
                <w:webHidden/>
                <w:sz w:val="24"/>
                <w:szCs w:val="24"/>
              </w:rPr>
              <w:instrText xml:space="preserve"> PAGEREF _Toc153975815 \h </w:instrText>
            </w:r>
            <w:r w:rsidR="00347C6A" w:rsidRPr="00347C6A">
              <w:rPr>
                <w:rFonts w:ascii="Times New Roman" w:hAnsi="Times New Roman" w:cs="Times New Roman"/>
                <w:noProof/>
                <w:webHidden/>
                <w:sz w:val="24"/>
                <w:szCs w:val="24"/>
              </w:rPr>
            </w:r>
            <w:r w:rsidR="00347C6A" w:rsidRPr="00347C6A">
              <w:rPr>
                <w:rFonts w:ascii="Times New Roman" w:hAnsi="Times New Roman" w:cs="Times New Roman"/>
                <w:noProof/>
                <w:webHidden/>
                <w:sz w:val="24"/>
                <w:szCs w:val="24"/>
              </w:rPr>
              <w:fldChar w:fldCharType="separate"/>
            </w:r>
            <w:r w:rsidR="002211DA">
              <w:rPr>
                <w:rFonts w:ascii="Times New Roman" w:hAnsi="Times New Roman" w:cs="Times New Roman"/>
                <w:noProof/>
                <w:webHidden/>
                <w:sz w:val="24"/>
                <w:szCs w:val="24"/>
              </w:rPr>
              <w:t>6</w:t>
            </w:r>
            <w:r w:rsidR="00347C6A" w:rsidRPr="00347C6A">
              <w:rPr>
                <w:rFonts w:ascii="Times New Roman" w:hAnsi="Times New Roman" w:cs="Times New Roman"/>
                <w:noProof/>
                <w:webHidden/>
                <w:sz w:val="24"/>
                <w:szCs w:val="24"/>
              </w:rPr>
              <w:fldChar w:fldCharType="end"/>
            </w:r>
          </w:hyperlink>
        </w:p>
        <w:p w14:paraId="6402DF13" w14:textId="038E223C" w:rsidR="00347C6A" w:rsidRPr="00347C6A" w:rsidRDefault="00000000" w:rsidP="00347C6A">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3975816" w:history="1">
            <w:r w:rsidR="00347C6A" w:rsidRPr="00347C6A">
              <w:rPr>
                <w:rStyle w:val="Hyperlink"/>
                <w:rFonts w:ascii="Times New Roman" w:hAnsi="Times New Roman" w:cs="Times New Roman"/>
                <w:noProof/>
                <w:sz w:val="24"/>
                <w:szCs w:val="24"/>
              </w:rPr>
              <w:t>Corporate strategies with evidence</w:t>
            </w:r>
            <w:r w:rsidR="00347C6A" w:rsidRPr="00347C6A">
              <w:rPr>
                <w:rFonts w:ascii="Times New Roman" w:hAnsi="Times New Roman" w:cs="Times New Roman"/>
                <w:noProof/>
                <w:webHidden/>
                <w:sz w:val="24"/>
                <w:szCs w:val="24"/>
              </w:rPr>
              <w:tab/>
            </w:r>
            <w:r w:rsidR="00347C6A" w:rsidRPr="00347C6A">
              <w:rPr>
                <w:rFonts w:ascii="Times New Roman" w:hAnsi="Times New Roman" w:cs="Times New Roman"/>
                <w:noProof/>
                <w:webHidden/>
                <w:sz w:val="24"/>
                <w:szCs w:val="24"/>
              </w:rPr>
              <w:fldChar w:fldCharType="begin"/>
            </w:r>
            <w:r w:rsidR="00347C6A" w:rsidRPr="00347C6A">
              <w:rPr>
                <w:rFonts w:ascii="Times New Roman" w:hAnsi="Times New Roman" w:cs="Times New Roman"/>
                <w:noProof/>
                <w:webHidden/>
                <w:sz w:val="24"/>
                <w:szCs w:val="24"/>
              </w:rPr>
              <w:instrText xml:space="preserve"> PAGEREF _Toc153975816 \h </w:instrText>
            </w:r>
            <w:r w:rsidR="00347C6A" w:rsidRPr="00347C6A">
              <w:rPr>
                <w:rFonts w:ascii="Times New Roman" w:hAnsi="Times New Roman" w:cs="Times New Roman"/>
                <w:noProof/>
                <w:webHidden/>
                <w:sz w:val="24"/>
                <w:szCs w:val="24"/>
              </w:rPr>
            </w:r>
            <w:r w:rsidR="00347C6A" w:rsidRPr="00347C6A">
              <w:rPr>
                <w:rFonts w:ascii="Times New Roman" w:hAnsi="Times New Roman" w:cs="Times New Roman"/>
                <w:noProof/>
                <w:webHidden/>
                <w:sz w:val="24"/>
                <w:szCs w:val="24"/>
              </w:rPr>
              <w:fldChar w:fldCharType="separate"/>
            </w:r>
            <w:r w:rsidR="002211DA">
              <w:rPr>
                <w:rFonts w:ascii="Times New Roman" w:hAnsi="Times New Roman" w:cs="Times New Roman"/>
                <w:noProof/>
                <w:webHidden/>
                <w:sz w:val="24"/>
                <w:szCs w:val="24"/>
              </w:rPr>
              <w:t>7</w:t>
            </w:r>
            <w:r w:rsidR="00347C6A" w:rsidRPr="00347C6A">
              <w:rPr>
                <w:rFonts w:ascii="Times New Roman" w:hAnsi="Times New Roman" w:cs="Times New Roman"/>
                <w:noProof/>
                <w:webHidden/>
                <w:sz w:val="24"/>
                <w:szCs w:val="24"/>
              </w:rPr>
              <w:fldChar w:fldCharType="end"/>
            </w:r>
          </w:hyperlink>
        </w:p>
        <w:p w14:paraId="5D34D12A" w14:textId="4122576A" w:rsidR="00347C6A" w:rsidRPr="00347C6A" w:rsidRDefault="00000000" w:rsidP="00347C6A">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3975817" w:history="1">
            <w:r w:rsidR="00347C6A" w:rsidRPr="00347C6A">
              <w:rPr>
                <w:rStyle w:val="Hyperlink"/>
                <w:rFonts w:ascii="Times New Roman" w:hAnsi="Times New Roman" w:cs="Times New Roman"/>
                <w:noProof/>
                <w:sz w:val="24"/>
                <w:szCs w:val="24"/>
              </w:rPr>
              <w:t>How IMC Plc has tried to remain competitive</w:t>
            </w:r>
            <w:r w:rsidR="00347C6A" w:rsidRPr="00347C6A">
              <w:rPr>
                <w:rFonts w:ascii="Times New Roman" w:hAnsi="Times New Roman" w:cs="Times New Roman"/>
                <w:noProof/>
                <w:webHidden/>
                <w:sz w:val="24"/>
                <w:szCs w:val="24"/>
              </w:rPr>
              <w:tab/>
            </w:r>
            <w:r w:rsidR="00347C6A" w:rsidRPr="00347C6A">
              <w:rPr>
                <w:rFonts w:ascii="Times New Roman" w:hAnsi="Times New Roman" w:cs="Times New Roman"/>
                <w:noProof/>
                <w:webHidden/>
                <w:sz w:val="24"/>
                <w:szCs w:val="24"/>
              </w:rPr>
              <w:fldChar w:fldCharType="begin"/>
            </w:r>
            <w:r w:rsidR="00347C6A" w:rsidRPr="00347C6A">
              <w:rPr>
                <w:rFonts w:ascii="Times New Roman" w:hAnsi="Times New Roman" w:cs="Times New Roman"/>
                <w:noProof/>
                <w:webHidden/>
                <w:sz w:val="24"/>
                <w:szCs w:val="24"/>
              </w:rPr>
              <w:instrText xml:space="preserve"> PAGEREF _Toc153975817 \h </w:instrText>
            </w:r>
            <w:r w:rsidR="00347C6A" w:rsidRPr="00347C6A">
              <w:rPr>
                <w:rFonts w:ascii="Times New Roman" w:hAnsi="Times New Roman" w:cs="Times New Roman"/>
                <w:noProof/>
                <w:webHidden/>
                <w:sz w:val="24"/>
                <w:szCs w:val="24"/>
              </w:rPr>
            </w:r>
            <w:r w:rsidR="00347C6A" w:rsidRPr="00347C6A">
              <w:rPr>
                <w:rFonts w:ascii="Times New Roman" w:hAnsi="Times New Roman" w:cs="Times New Roman"/>
                <w:noProof/>
                <w:webHidden/>
                <w:sz w:val="24"/>
                <w:szCs w:val="24"/>
              </w:rPr>
              <w:fldChar w:fldCharType="separate"/>
            </w:r>
            <w:r w:rsidR="002211DA">
              <w:rPr>
                <w:rFonts w:ascii="Times New Roman" w:hAnsi="Times New Roman" w:cs="Times New Roman"/>
                <w:noProof/>
                <w:webHidden/>
                <w:sz w:val="24"/>
                <w:szCs w:val="24"/>
              </w:rPr>
              <w:t>8</w:t>
            </w:r>
            <w:r w:rsidR="00347C6A" w:rsidRPr="00347C6A">
              <w:rPr>
                <w:rFonts w:ascii="Times New Roman" w:hAnsi="Times New Roman" w:cs="Times New Roman"/>
                <w:noProof/>
                <w:webHidden/>
                <w:sz w:val="24"/>
                <w:szCs w:val="24"/>
              </w:rPr>
              <w:fldChar w:fldCharType="end"/>
            </w:r>
          </w:hyperlink>
        </w:p>
        <w:p w14:paraId="4E49335D" w14:textId="1E11551D" w:rsidR="00347C6A" w:rsidRPr="00347C6A" w:rsidRDefault="00000000" w:rsidP="00347C6A">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3975818" w:history="1">
            <w:r w:rsidR="00347C6A" w:rsidRPr="00347C6A">
              <w:rPr>
                <w:rStyle w:val="Hyperlink"/>
                <w:rFonts w:ascii="Times New Roman" w:hAnsi="Times New Roman" w:cs="Times New Roman"/>
                <w:noProof/>
                <w:sz w:val="24"/>
                <w:szCs w:val="24"/>
              </w:rPr>
              <w:t>The choices available for strategic direction</w:t>
            </w:r>
            <w:r w:rsidR="00347C6A" w:rsidRPr="00347C6A">
              <w:rPr>
                <w:rFonts w:ascii="Times New Roman" w:hAnsi="Times New Roman" w:cs="Times New Roman"/>
                <w:noProof/>
                <w:webHidden/>
                <w:sz w:val="24"/>
                <w:szCs w:val="24"/>
              </w:rPr>
              <w:tab/>
            </w:r>
            <w:r w:rsidR="00347C6A" w:rsidRPr="00347C6A">
              <w:rPr>
                <w:rFonts w:ascii="Times New Roman" w:hAnsi="Times New Roman" w:cs="Times New Roman"/>
                <w:noProof/>
                <w:webHidden/>
                <w:sz w:val="24"/>
                <w:szCs w:val="24"/>
              </w:rPr>
              <w:fldChar w:fldCharType="begin"/>
            </w:r>
            <w:r w:rsidR="00347C6A" w:rsidRPr="00347C6A">
              <w:rPr>
                <w:rFonts w:ascii="Times New Roman" w:hAnsi="Times New Roman" w:cs="Times New Roman"/>
                <w:noProof/>
                <w:webHidden/>
                <w:sz w:val="24"/>
                <w:szCs w:val="24"/>
              </w:rPr>
              <w:instrText xml:space="preserve"> PAGEREF _Toc153975818 \h </w:instrText>
            </w:r>
            <w:r w:rsidR="00347C6A" w:rsidRPr="00347C6A">
              <w:rPr>
                <w:rFonts w:ascii="Times New Roman" w:hAnsi="Times New Roman" w:cs="Times New Roman"/>
                <w:noProof/>
                <w:webHidden/>
                <w:sz w:val="24"/>
                <w:szCs w:val="24"/>
              </w:rPr>
            </w:r>
            <w:r w:rsidR="00347C6A" w:rsidRPr="00347C6A">
              <w:rPr>
                <w:rFonts w:ascii="Times New Roman" w:hAnsi="Times New Roman" w:cs="Times New Roman"/>
                <w:noProof/>
                <w:webHidden/>
                <w:sz w:val="24"/>
                <w:szCs w:val="24"/>
              </w:rPr>
              <w:fldChar w:fldCharType="separate"/>
            </w:r>
            <w:r w:rsidR="002211DA">
              <w:rPr>
                <w:rFonts w:ascii="Times New Roman" w:hAnsi="Times New Roman" w:cs="Times New Roman"/>
                <w:noProof/>
                <w:webHidden/>
                <w:sz w:val="24"/>
                <w:szCs w:val="24"/>
              </w:rPr>
              <w:t>8</w:t>
            </w:r>
            <w:r w:rsidR="00347C6A" w:rsidRPr="00347C6A">
              <w:rPr>
                <w:rFonts w:ascii="Times New Roman" w:hAnsi="Times New Roman" w:cs="Times New Roman"/>
                <w:noProof/>
                <w:webHidden/>
                <w:sz w:val="24"/>
                <w:szCs w:val="24"/>
              </w:rPr>
              <w:fldChar w:fldCharType="end"/>
            </w:r>
          </w:hyperlink>
        </w:p>
        <w:p w14:paraId="69446155" w14:textId="4A8B9BF3" w:rsidR="00347C6A" w:rsidRPr="00347C6A" w:rsidRDefault="00000000" w:rsidP="00347C6A">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3975819" w:history="1">
            <w:r w:rsidR="00347C6A" w:rsidRPr="00347C6A">
              <w:rPr>
                <w:rStyle w:val="Hyperlink"/>
                <w:rFonts w:ascii="Times New Roman" w:hAnsi="Times New Roman" w:cs="Times New Roman"/>
                <w:noProof/>
                <w:sz w:val="24"/>
                <w:szCs w:val="24"/>
              </w:rPr>
              <w:t>References</w:t>
            </w:r>
            <w:r w:rsidR="00347C6A" w:rsidRPr="00347C6A">
              <w:rPr>
                <w:rFonts w:ascii="Times New Roman" w:hAnsi="Times New Roman" w:cs="Times New Roman"/>
                <w:noProof/>
                <w:webHidden/>
                <w:sz w:val="24"/>
                <w:szCs w:val="24"/>
              </w:rPr>
              <w:tab/>
            </w:r>
            <w:r w:rsidR="00347C6A" w:rsidRPr="00347C6A">
              <w:rPr>
                <w:rFonts w:ascii="Times New Roman" w:hAnsi="Times New Roman" w:cs="Times New Roman"/>
                <w:noProof/>
                <w:webHidden/>
                <w:sz w:val="24"/>
                <w:szCs w:val="24"/>
              </w:rPr>
              <w:fldChar w:fldCharType="begin"/>
            </w:r>
            <w:r w:rsidR="00347C6A" w:rsidRPr="00347C6A">
              <w:rPr>
                <w:rFonts w:ascii="Times New Roman" w:hAnsi="Times New Roman" w:cs="Times New Roman"/>
                <w:noProof/>
                <w:webHidden/>
                <w:sz w:val="24"/>
                <w:szCs w:val="24"/>
              </w:rPr>
              <w:instrText xml:space="preserve"> PAGEREF _Toc153975819 \h </w:instrText>
            </w:r>
            <w:r w:rsidR="00347C6A" w:rsidRPr="00347C6A">
              <w:rPr>
                <w:rFonts w:ascii="Times New Roman" w:hAnsi="Times New Roman" w:cs="Times New Roman"/>
                <w:noProof/>
                <w:webHidden/>
                <w:sz w:val="24"/>
                <w:szCs w:val="24"/>
              </w:rPr>
            </w:r>
            <w:r w:rsidR="00347C6A" w:rsidRPr="00347C6A">
              <w:rPr>
                <w:rFonts w:ascii="Times New Roman" w:hAnsi="Times New Roman" w:cs="Times New Roman"/>
                <w:noProof/>
                <w:webHidden/>
                <w:sz w:val="24"/>
                <w:szCs w:val="24"/>
              </w:rPr>
              <w:fldChar w:fldCharType="separate"/>
            </w:r>
            <w:r w:rsidR="002211DA">
              <w:rPr>
                <w:rFonts w:ascii="Times New Roman" w:hAnsi="Times New Roman" w:cs="Times New Roman"/>
                <w:noProof/>
                <w:webHidden/>
                <w:sz w:val="24"/>
                <w:szCs w:val="24"/>
              </w:rPr>
              <w:t>10</w:t>
            </w:r>
            <w:r w:rsidR="00347C6A" w:rsidRPr="00347C6A">
              <w:rPr>
                <w:rFonts w:ascii="Times New Roman" w:hAnsi="Times New Roman" w:cs="Times New Roman"/>
                <w:noProof/>
                <w:webHidden/>
                <w:sz w:val="24"/>
                <w:szCs w:val="24"/>
              </w:rPr>
              <w:fldChar w:fldCharType="end"/>
            </w:r>
          </w:hyperlink>
        </w:p>
        <w:p w14:paraId="7F56DEF4" w14:textId="0CE39780" w:rsidR="00347C6A" w:rsidRPr="00347C6A" w:rsidRDefault="00000000" w:rsidP="00347C6A">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3975820" w:history="1">
            <w:r w:rsidR="00347C6A" w:rsidRPr="00347C6A">
              <w:rPr>
                <w:rStyle w:val="Hyperlink"/>
                <w:rFonts w:ascii="Times New Roman" w:hAnsi="Times New Roman" w:cs="Times New Roman"/>
                <w:noProof/>
                <w:sz w:val="24"/>
                <w:szCs w:val="24"/>
              </w:rPr>
              <w:t>Appendix</w:t>
            </w:r>
            <w:r w:rsidR="00347C6A" w:rsidRPr="00347C6A">
              <w:rPr>
                <w:rFonts w:ascii="Times New Roman" w:hAnsi="Times New Roman" w:cs="Times New Roman"/>
                <w:noProof/>
                <w:webHidden/>
                <w:sz w:val="24"/>
                <w:szCs w:val="24"/>
              </w:rPr>
              <w:tab/>
            </w:r>
            <w:r w:rsidR="00347C6A" w:rsidRPr="00347C6A">
              <w:rPr>
                <w:rFonts w:ascii="Times New Roman" w:hAnsi="Times New Roman" w:cs="Times New Roman"/>
                <w:noProof/>
                <w:webHidden/>
                <w:sz w:val="24"/>
                <w:szCs w:val="24"/>
              </w:rPr>
              <w:fldChar w:fldCharType="begin"/>
            </w:r>
            <w:r w:rsidR="00347C6A" w:rsidRPr="00347C6A">
              <w:rPr>
                <w:rFonts w:ascii="Times New Roman" w:hAnsi="Times New Roman" w:cs="Times New Roman"/>
                <w:noProof/>
                <w:webHidden/>
                <w:sz w:val="24"/>
                <w:szCs w:val="24"/>
              </w:rPr>
              <w:instrText xml:space="preserve"> PAGEREF _Toc153975820 \h </w:instrText>
            </w:r>
            <w:r w:rsidR="00347C6A" w:rsidRPr="00347C6A">
              <w:rPr>
                <w:rFonts w:ascii="Times New Roman" w:hAnsi="Times New Roman" w:cs="Times New Roman"/>
                <w:noProof/>
                <w:webHidden/>
                <w:sz w:val="24"/>
                <w:szCs w:val="24"/>
              </w:rPr>
            </w:r>
            <w:r w:rsidR="00347C6A" w:rsidRPr="00347C6A">
              <w:rPr>
                <w:rFonts w:ascii="Times New Roman" w:hAnsi="Times New Roman" w:cs="Times New Roman"/>
                <w:noProof/>
                <w:webHidden/>
                <w:sz w:val="24"/>
                <w:szCs w:val="24"/>
              </w:rPr>
              <w:fldChar w:fldCharType="separate"/>
            </w:r>
            <w:r w:rsidR="002211DA">
              <w:rPr>
                <w:rFonts w:ascii="Times New Roman" w:hAnsi="Times New Roman" w:cs="Times New Roman"/>
                <w:noProof/>
                <w:webHidden/>
                <w:sz w:val="24"/>
                <w:szCs w:val="24"/>
              </w:rPr>
              <w:t>12</w:t>
            </w:r>
            <w:r w:rsidR="00347C6A" w:rsidRPr="00347C6A">
              <w:rPr>
                <w:rFonts w:ascii="Times New Roman" w:hAnsi="Times New Roman" w:cs="Times New Roman"/>
                <w:noProof/>
                <w:webHidden/>
                <w:sz w:val="24"/>
                <w:szCs w:val="24"/>
              </w:rPr>
              <w:fldChar w:fldCharType="end"/>
            </w:r>
          </w:hyperlink>
        </w:p>
        <w:p w14:paraId="22485175" w14:textId="11D482C0" w:rsidR="00347C6A" w:rsidRPr="00347C6A" w:rsidRDefault="00347C6A" w:rsidP="00347C6A">
          <w:pPr>
            <w:spacing w:line="360" w:lineRule="auto"/>
            <w:jc w:val="both"/>
            <w:rPr>
              <w:rFonts w:ascii="Times New Roman" w:hAnsi="Times New Roman" w:cs="Times New Roman"/>
              <w:sz w:val="24"/>
              <w:szCs w:val="24"/>
            </w:rPr>
          </w:pPr>
          <w:r w:rsidRPr="00347C6A">
            <w:rPr>
              <w:rFonts w:ascii="Times New Roman" w:hAnsi="Times New Roman" w:cs="Times New Roman"/>
              <w:b/>
              <w:bCs/>
              <w:noProof/>
              <w:sz w:val="24"/>
              <w:szCs w:val="24"/>
            </w:rPr>
            <w:fldChar w:fldCharType="end"/>
          </w:r>
        </w:p>
      </w:sdtContent>
    </w:sdt>
    <w:p w14:paraId="3F767415" w14:textId="77777777" w:rsidR="00347C6A" w:rsidRDefault="00347C6A">
      <w:pPr>
        <w:rPr>
          <w:rFonts w:ascii="Times New Roman" w:eastAsia="Times New Roman" w:hAnsi="Times New Roman" w:cs="Times New Roman"/>
          <w:b/>
          <w:sz w:val="24"/>
          <w:szCs w:val="24"/>
        </w:rPr>
      </w:pPr>
      <w:r>
        <w:br w:type="page"/>
      </w:r>
    </w:p>
    <w:p w14:paraId="41897DE0" w14:textId="23DBB9DF" w:rsidR="000D1E45" w:rsidRDefault="00000000" w:rsidP="006913D2">
      <w:pPr>
        <w:pStyle w:val="Heading1"/>
      </w:pPr>
      <w:bookmarkStart w:id="0" w:name="_Toc153975810"/>
      <w:r w:rsidRPr="006913D2">
        <w:lastRenderedPageBreak/>
        <w:t>Introduction</w:t>
      </w:r>
      <w:bookmarkEnd w:id="0"/>
    </w:p>
    <w:p w14:paraId="52AEC6A7" w14:textId="7E888F23"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Strategies are the plans that a firm uses to accomplish long-term objectives. The main focus of IMI's strategy is expanding each of its platforms in order to fulfil its objectives.  It is among the top companies that concentrates on specialised markets. A niche market is typically a more specialised area and is relatively tiny (</w:t>
      </w:r>
      <w:r>
        <w:rPr>
          <w:rFonts w:ascii="Times New Roman" w:eastAsia="Times New Roman" w:hAnsi="Times New Roman" w:cs="Times New Roman"/>
          <w:color w:val="222222"/>
          <w:sz w:val="24"/>
          <w:szCs w:val="24"/>
          <w:highlight w:val="white"/>
        </w:rPr>
        <w:t>George</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sz w:val="24"/>
          <w:szCs w:val="24"/>
        </w:rPr>
        <w:t xml:space="preserve">.  The core components of the IMI's unique selling proposition (USP) are its values.  The "IMI way" is this specific code of conduct. Their staff members are top-notch and produce amazing outcomes. Every business is influenced by outside environmental variables.  </w:t>
      </w:r>
      <w:r w:rsidR="006913D2">
        <w:rPr>
          <w:rFonts w:ascii="Times New Roman" w:eastAsia="Times New Roman" w:hAnsi="Times New Roman" w:cs="Times New Roman"/>
          <w:sz w:val="24"/>
          <w:szCs w:val="24"/>
        </w:rPr>
        <w:t xml:space="preserve">The report will focus on the internal and external factors impacting the organisation. The study will shed light about the </w:t>
      </w:r>
      <w:proofErr w:type="gramStart"/>
      <w:r w:rsidR="006913D2">
        <w:rPr>
          <w:rFonts w:ascii="Times New Roman" w:eastAsia="Times New Roman" w:hAnsi="Times New Roman" w:cs="Times New Roman"/>
          <w:sz w:val="24"/>
          <w:szCs w:val="24"/>
        </w:rPr>
        <w:t>corporate  with</w:t>
      </w:r>
      <w:proofErr w:type="gramEnd"/>
      <w:r w:rsidR="006913D2">
        <w:rPr>
          <w:rFonts w:ascii="Times New Roman" w:eastAsia="Times New Roman" w:hAnsi="Times New Roman" w:cs="Times New Roman"/>
          <w:sz w:val="24"/>
          <w:szCs w:val="24"/>
        </w:rPr>
        <w:t xml:space="preserve"> evidence and will comprehend the how it has tried to remain competitive in the market.</w:t>
      </w:r>
    </w:p>
    <w:p w14:paraId="1607CB10" w14:textId="3F0CA719" w:rsidR="000D1E45" w:rsidRDefault="006913D2">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4405E8D9" w14:textId="77777777" w:rsidR="000D1E45" w:rsidRDefault="00000000" w:rsidP="006913D2">
      <w:pPr>
        <w:pStyle w:val="Heading1"/>
      </w:pPr>
      <w:bookmarkStart w:id="1" w:name="_Toc153975811"/>
      <w:r>
        <w:t>Overview of IMI Plc</w:t>
      </w:r>
      <w:bookmarkEnd w:id="1"/>
    </w:p>
    <w:p w14:paraId="31C2A3FA"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IMI Plc is included in the FTSE 100, a list of the top 100 UK companies.  Under them are around 6000 employees. One of the most well-known engineering groups in the world with a focus on diverse engineering facilities is this one (IMI PLC, 2023).  Maintaining competitiveness in the global market is difficult. There is fierce rivalry everywhere. Thus, in order for the businesses to stay competitive, they must be more inventive and supportive.  To do their work more effectively, they need to hire knowledgeable and experienced staff members.  Globally, IMI is renowned for its distinctive and cutting-edge specialties. IMI provides businesses with amazing products and services in a business-to-business (B2B) setting.  The biggest and most well-known businesses in the world, such McDonald's, Coca-Cola, and Shell, are receiving their services. The IMI is an expert in valve and fluid engineering. They were focused on hydrogen as a sustainable fuel which has helped them to initiate various projects.  This engineering group's primary strengths in fluid and valve engineering are well-known. The highly specialised valves they introduce to the market regulate fluid or air flow in a variety of industries, including petrochemicals, nuclear, and oil and gas (IMI Strategy 2023). This engineering group is introducing thermostatic valves since these kinds of industries demand the highest levels of safety and security. Thermostatic valves aid in the regulation of radiators and the energy-efficient heating systems for the office buildings located in London's Shard.</w:t>
      </w:r>
    </w:p>
    <w:p w14:paraId="13196AD1"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Mission</w:t>
      </w:r>
      <w:r>
        <w:rPr>
          <w:rFonts w:ascii="Times New Roman" w:eastAsia="Times New Roman" w:hAnsi="Times New Roman" w:cs="Times New Roman"/>
          <w:sz w:val="24"/>
          <w:szCs w:val="24"/>
        </w:rPr>
        <w:t xml:space="preserve">: To break through engineering for a better world and exploring innovative technologies and fresh ways of thinking. </w:t>
      </w:r>
    </w:p>
    <w:p w14:paraId="512381DB"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Vision</w:t>
      </w:r>
      <w:r>
        <w:rPr>
          <w:rFonts w:ascii="Times New Roman" w:eastAsia="Times New Roman" w:hAnsi="Times New Roman" w:cs="Times New Roman"/>
          <w:sz w:val="24"/>
          <w:szCs w:val="24"/>
        </w:rPr>
        <w:t xml:space="preserve">: Their vision is to offer immense value by providing solutions to critical industry issues in appealing markets and working effectively. </w:t>
      </w:r>
    </w:p>
    <w:p w14:paraId="5A3995A9"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E2F4BD5" w14:textId="77777777" w:rsidR="000D1E45" w:rsidRDefault="00000000" w:rsidP="006913D2">
      <w:pPr>
        <w:pStyle w:val="Heading1"/>
      </w:pPr>
      <w:bookmarkStart w:id="2" w:name="_Toc153975812"/>
      <w:r>
        <w:t>PESTLE</w:t>
      </w:r>
      <w:bookmarkEnd w:id="2"/>
    </w:p>
    <w:p w14:paraId="277D299C" w14:textId="21D9A5FC" w:rsidR="000D1E45" w:rsidRDefault="00347C6A">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Political: </w:t>
      </w:r>
      <w:r>
        <w:rPr>
          <w:rFonts w:ascii="Times New Roman" w:eastAsia="Times New Roman" w:hAnsi="Times New Roman" w:cs="Times New Roman"/>
          <w:sz w:val="24"/>
          <w:szCs w:val="24"/>
        </w:rPr>
        <w:t xml:space="preserve">The political stability of the UK would have a great impact on the </w:t>
      </w:r>
      <w:proofErr w:type="gramStart"/>
      <w:r>
        <w:rPr>
          <w:rFonts w:ascii="Times New Roman" w:eastAsia="Times New Roman" w:hAnsi="Times New Roman" w:cs="Times New Roman"/>
          <w:sz w:val="24"/>
          <w:szCs w:val="24"/>
        </w:rPr>
        <w:t>long term</w:t>
      </w:r>
      <w:proofErr w:type="gramEnd"/>
      <w:r>
        <w:rPr>
          <w:rFonts w:ascii="Times New Roman" w:eastAsia="Times New Roman" w:hAnsi="Times New Roman" w:cs="Times New Roman"/>
          <w:sz w:val="24"/>
          <w:szCs w:val="24"/>
        </w:rPr>
        <w:t xml:space="preserve"> profitability of IMC Plc in a specific market. IMI Plc is executing their business in Industrial Goods and Services in various countries and is exposed to a unique political environment and risks. The good and service industry beyond the globe must diversify the systemic risks of the political environment (</w:t>
      </w:r>
      <w:r>
        <w:rPr>
          <w:rFonts w:ascii="Times New Roman" w:eastAsia="Times New Roman" w:hAnsi="Times New Roman" w:cs="Times New Roman"/>
          <w:color w:val="222222"/>
          <w:sz w:val="24"/>
          <w:szCs w:val="24"/>
          <w:highlight w:val="white"/>
        </w:rPr>
        <w:t>Christodoulou and Cullinane, 2019)</w:t>
      </w:r>
      <w:r>
        <w:rPr>
          <w:rFonts w:ascii="Times New Roman" w:eastAsia="Times New Roman" w:hAnsi="Times New Roman" w:cs="Times New Roman"/>
          <w:sz w:val="24"/>
          <w:szCs w:val="24"/>
        </w:rPr>
        <w:t xml:space="preserve">. IMI Plc can monitor the emerging political </w:t>
      </w:r>
      <w:r>
        <w:rPr>
          <w:rFonts w:ascii="Times New Roman" w:eastAsia="Times New Roman" w:hAnsi="Times New Roman" w:cs="Times New Roman"/>
          <w:sz w:val="24"/>
          <w:szCs w:val="24"/>
        </w:rPr>
        <w:lastRenderedPageBreak/>
        <w:t xml:space="preserve">tensions which can impact the industry growth and limit the growth opportunities available to IMI Plc. The various changes in the government policies can hinder the performance of business. It is necessary for IMI Plc to examine the recent trends of the political scenario where the industry is operating. High rate of trade taxation will make the conditions of business more complex. </w:t>
      </w:r>
    </w:p>
    <w:p w14:paraId="54285C06" w14:textId="1227DE2E"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Economic:  </w:t>
      </w:r>
      <w:r>
        <w:rPr>
          <w:rFonts w:ascii="Times New Roman" w:eastAsia="Times New Roman" w:hAnsi="Times New Roman" w:cs="Times New Roman"/>
          <w:sz w:val="24"/>
          <w:szCs w:val="24"/>
        </w:rPr>
        <w:t xml:space="preserve">It is always necessary to comprehend the financial development within the organisational performance. The current GDP of the UK is £ 2.27 trillion which is one of the main </w:t>
      </w:r>
      <w:r w:rsidR="00347C6A">
        <w:rPr>
          <w:rFonts w:ascii="Times New Roman" w:eastAsia="Times New Roman" w:hAnsi="Times New Roman" w:cs="Times New Roman"/>
          <w:sz w:val="24"/>
          <w:szCs w:val="24"/>
        </w:rPr>
        <w:t>advantages</w:t>
      </w:r>
      <w:r>
        <w:rPr>
          <w:rFonts w:ascii="Times New Roman" w:eastAsia="Times New Roman" w:hAnsi="Times New Roman" w:cs="Times New Roman"/>
          <w:sz w:val="24"/>
          <w:szCs w:val="24"/>
        </w:rPr>
        <w:t xml:space="preserve"> for a company to set up (ONS, 2022). The rise in inflation and the downturn in the economy have produced a challenging environment for stakeholders. Inflation in the UK has surged to a 40-year high in recent months, making household budgeting more challenging. As a result, consumers are spending less, particularly on non-essential items. This is bad for retailers because they are seeing a decline in both volume and value of purchases. Due to major limitations imposed by COVID-19, the business is forced to halt operations, which will cause financial loss. The expansion strategy of IMI Plc is impacted by the efficiency of the financial market which is operating in an effective market.</w:t>
      </w:r>
    </w:p>
    <w:p w14:paraId="7F33B5F3" w14:textId="2F42A317" w:rsidR="000D1E45" w:rsidRDefault="00347C6A">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Social: </w:t>
      </w:r>
      <w:r>
        <w:rPr>
          <w:rFonts w:ascii="Times New Roman" w:eastAsia="Times New Roman" w:hAnsi="Times New Roman" w:cs="Times New Roman"/>
          <w:sz w:val="24"/>
          <w:szCs w:val="24"/>
        </w:rPr>
        <w:t>The societal norms, values and trends impact organisational culture significantly. Sociocultural factors have the biggest influence on how an organisation runs its operations. With 6.73 crore people living there, the UK is a highly suitable location for any organisation to establish itself (ONS, 2023). During the global pandemic, a large number of employees were placed on furlough since the company could not afford to pay for both business closure and employee wages. The behaviour of consumers regarding purchase of items are impacted by the financial capability of individuals. IMI Plc must investigate the interests, tastes and preferences of the consumers and focus on increasing their experience.</w:t>
      </w:r>
    </w:p>
    <w:p w14:paraId="7DD815E6"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Technological</w:t>
      </w:r>
      <w:r>
        <w:rPr>
          <w:rFonts w:ascii="Times New Roman" w:eastAsia="Times New Roman" w:hAnsi="Times New Roman" w:cs="Times New Roman"/>
          <w:sz w:val="24"/>
          <w:szCs w:val="24"/>
        </w:rPr>
        <w:t xml:space="preserve">: the incorporation of new and innovative technologies has decreased the lifecycle of new product development. It has pressured IMI </w:t>
      </w:r>
      <w:proofErr w:type="spellStart"/>
      <w:r>
        <w:rPr>
          <w:rFonts w:ascii="Times New Roman" w:eastAsia="Times New Roman" w:hAnsi="Times New Roman" w:cs="Times New Roman"/>
          <w:sz w:val="24"/>
          <w:szCs w:val="24"/>
        </w:rPr>
        <w:t>PLc</w:t>
      </w:r>
      <w:proofErr w:type="spellEnd"/>
      <w:r>
        <w:rPr>
          <w:rFonts w:ascii="Times New Roman" w:eastAsia="Times New Roman" w:hAnsi="Times New Roman" w:cs="Times New Roman"/>
          <w:sz w:val="24"/>
          <w:szCs w:val="24"/>
        </w:rPr>
        <w:t xml:space="preserve"> to innovate the products more efficiently and thereby the supply chain partners have attained more power in the market (</w:t>
      </w:r>
      <w:proofErr w:type="spellStart"/>
      <w:r>
        <w:rPr>
          <w:rFonts w:ascii="Times New Roman" w:eastAsia="Times New Roman" w:hAnsi="Times New Roman" w:cs="Times New Roman"/>
          <w:color w:val="222222"/>
          <w:sz w:val="24"/>
          <w:szCs w:val="24"/>
          <w:highlight w:val="white"/>
        </w:rPr>
        <w:t>Nandonde</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The innovation and communications have given rise to the exceptional marketing techniques to increase the brand visibility of any firm. IMI Plc can enhance the opportunities which are given by the social media marketing to cater to the needs and preferences of customers. The breakthrough Engineering of </w:t>
      </w:r>
      <w:proofErr w:type="spellStart"/>
      <w:r>
        <w:rPr>
          <w:rFonts w:ascii="Times New Roman" w:eastAsia="Times New Roman" w:hAnsi="Times New Roman" w:cs="Times New Roman"/>
          <w:sz w:val="24"/>
          <w:szCs w:val="24"/>
        </w:rPr>
        <w:t>IMIplc</w:t>
      </w:r>
      <w:proofErr w:type="spellEnd"/>
      <w:r>
        <w:rPr>
          <w:rFonts w:ascii="Times New Roman" w:eastAsia="Times New Roman" w:hAnsi="Times New Roman" w:cs="Times New Roman"/>
          <w:sz w:val="24"/>
          <w:szCs w:val="24"/>
        </w:rPr>
        <w:t xml:space="preserve"> would develop a better world. They were focused on R &amp; D to invest nearly 3% of their revenue in developing effective solutions. </w:t>
      </w:r>
    </w:p>
    <w:p w14:paraId="65CD04AD"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Legal: </w:t>
      </w:r>
      <w:r>
        <w:rPr>
          <w:rFonts w:ascii="Times New Roman" w:eastAsia="Times New Roman" w:hAnsi="Times New Roman" w:cs="Times New Roman"/>
          <w:sz w:val="24"/>
          <w:szCs w:val="24"/>
        </w:rPr>
        <w:t>It is one of the prime factors of PESTLE analysis. It cannot penetrate the new market without examining the legal factors and regulatory structure. IMI Plc must abide by the health and safety, employee laws to operate its operations. By providing a healthy and positive environment it will maintain ethical standards (</w:t>
      </w:r>
      <w:proofErr w:type="spellStart"/>
      <w:r>
        <w:rPr>
          <w:rFonts w:ascii="Times New Roman" w:eastAsia="Times New Roman" w:hAnsi="Times New Roman" w:cs="Times New Roman"/>
          <w:color w:val="222222"/>
          <w:sz w:val="24"/>
          <w:szCs w:val="24"/>
          <w:highlight w:val="white"/>
        </w:rPr>
        <w:t>Achinas</w:t>
      </w:r>
      <w:proofErr w:type="spellEnd"/>
      <w:r>
        <w:rPr>
          <w:rFonts w:ascii="Times New Roman" w:eastAsia="Times New Roman" w:hAnsi="Times New Roman" w:cs="Times New Roman"/>
          <w:color w:val="222222"/>
          <w:sz w:val="24"/>
          <w:szCs w:val="24"/>
          <w:highlight w:val="white"/>
        </w:rPr>
        <w:t xml:space="preserve"> et al., 2019)</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Additionally</w:t>
      </w:r>
      <w:proofErr w:type="gramEnd"/>
      <w:r>
        <w:rPr>
          <w:rFonts w:ascii="Times New Roman" w:eastAsia="Times New Roman" w:hAnsi="Times New Roman" w:cs="Times New Roman"/>
          <w:sz w:val="24"/>
          <w:szCs w:val="24"/>
        </w:rPr>
        <w:t xml:space="preserve"> it will foster </w:t>
      </w:r>
      <w:proofErr w:type="spellStart"/>
      <w:r>
        <w:rPr>
          <w:rFonts w:ascii="Times New Roman" w:eastAsia="Times New Roman" w:hAnsi="Times New Roman" w:cs="Times New Roman"/>
          <w:sz w:val="24"/>
          <w:szCs w:val="24"/>
        </w:rPr>
        <w:t>anti discrimination</w:t>
      </w:r>
      <w:proofErr w:type="spellEnd"/>
      <w:r>
        <w:rPr>
          <w:rFonts w:ascii="Times New Roman" w:eastAsia="Times New Roman" w:hAnsi="Times New Roman" w:cs="Times New Roman"/>
          <w:sz w:val="24"/>
          <w:szCs w:val="24"/>
        </w:rPr>
        <w:t xml:space="preserve"> laws within the workforce and it requires to develop human resources practices.  It should consider the various factors necessary to abide with consumer protection laws. </w:t>
      </w:r>
    </w:p>
    <w:p w14:paraId="05393EE3"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Environment: </w:t>
      </w:r>
      <w:r>
        <w:rPr>
          <w:rFonts w:ascii="Times New Roman" w:eastAsia="Times New Roman" w:hAnsi="Times New Roman" w:cs="Times New Roman"/>
          <w:sz w:val="24"/>
          <w:szCs w:val="24"/>
        </w:rPr>
        <w:t xml:space="preserve">The upcoming environment coupled with technological innovation and advancement has forced the business organisations to embrace the sustainable practices. By incorporating effective management practices. The countries will provide subsidies for helping investment in renewable technologies. There is a growing trend towards the implementation of </w:t>
      </w:r>
      <w:r>
        <w:rPr>
          <w:rFonts w:ascii="Times New Roman" w:eastAsia="Times New Roman" w:hAnsi="Times New Roman" w:cs="Times New Roman"/>
          <w:sz w:val="24"/>
          <w:szCs w:val="24"/>
        </w:rPr>
        <w:lastRenderedPageBreak/>
        <w:t xml:space="preserve">green and </w:t>
      </w:r>
      <w:proofErr w:type="spellStart"/>
      <w:r>
        <w:rPr>
          <w:rFonts w:ascii="Times New Roman" w:eastAsia="Times New Roman" w:hAnsi="Times New Roman" w:cs="Times New Roman"/>
          <w:sz w:val="24"/>
          <w:szCs w:val="24"/>
        </w:rPr>
        <w:t>eco friendly</w:t>
      </w:r>
      <w:proofErr w:type="spellEnd"/>
      <w:r>
        <w:rPr>
          <w:rFonts w:ascii="Times New Roman" w:eastAsia="Times New Roman" w:hAnsi="Times New Roman" w:cs="Times New Roman"/>
          <w:sz w:val="24"/>
          <w:szCs w:val="24"/>
        </w:rPr>
        <w:t xml:space="preserve"> practices.  It needs IMI Plc to focus on prioritising eco-friendly practices to enhance the customers preferences. They have launched a Solar Panel Sourcing Policy to safeguard forced </w:t>
      </w:r>
      <w:proofErr w:type="spellStart"/>
      <w:r>
        <w:rPr>
          <w:rFonts w:ascii="Times New Roman" w:eastAsia="Times New Roman" w:hAnsi="Times New Roman" w:cs="Times New Roman"/>
          <w:sz w:val="24"/>
          <w:szCs w:val="24"/>
        </w:rPr>
        <w:t>Ughyur</w:t>
      </w:r>
      <w:proofErr w:type="spellEnd"/>
      <w:r>
        <w:rPr>
          <w:rFonts w:ascii="Times New Roman" w:eastAsia="Times New Roman" w:hAnsi="Times New Roman" w:cs="Times New Roman"/>
          <w:sz w:val="24"/>
          <w:szCs w:val="24"/>
        </w:rPr>
        <w:t xml:space="preserve"> labour. </w:t>
      </w:r>
    </w:p>
    <w:p w14:paraId="002E3C5F" w14:textId="77777777" w:rsidR="000D1E45" w:rsidRDefault="000D1E45">
      <w:pPr>
        <w:jc w:val="both"/>
        <w:rPr>
          <w:rFonts w:ascii="Times New Roman" w:eastAsia="Times New Roman" w:hAnsi="Times New Roman" w:cs="Times New Roman"/>
          <w:b/>
          <w:sz w:val="24"/>
          <w:szCs w:val="24"/>
        </w:rPr>
      </w:pPr>
    </w:p>
    <w:p w14:paraId="08CEBAF1" w14:textId="77777777" w:rsidR="000D1E45" w:rsidRDefault="00000000" w:rsidP="006913D2">
      <w:pPr>
        <w:pStyle w:val="Heading1"/>
      </w:pPr>
      <w:bookmarkStart w:id="3" w:name="_Toc153975813"/>
      <w:r>
        <w:t>Competitive environment of Engineering Industry</w:t>
      </w:r>
      <w:bookmarkEnd w:id="3"/>
    </w:p>
    <w:p w14:paraId="7DE66C64" w14:textId="69B20ACD"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engineering industry's competitive landscape is intricate and ever-changing, influenced by a wide range of variables that differ based on the particular engineering specialisation, market niche, and geographic region. There is an abundance of skilled individuals and well-established national and international players in the engineering sector. Because of the fierce competition, businesses must always innovate, maximise productivity, and provide competitive pricing in order to draw in and keep customers.</w:t>
      </w:r>
      <w:r w:rsidR="006913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rivalry has increased due to the rise of automation and digitalization, as businesses use technology to deliver personalised solutions, cut costs, and streamline procedures.</w:t>
      </w:r>
      <w:r w:rsidR="006913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fiercely competitive environment of the engineering sector is complex and dynamic, driven by a multitude of factors that vary according to the specific technical specialisation, market niche, and geographical location. In the engineering business, there are many talented people as well as well-known national and worldwide players. In order to attract and retain clients, firms need to constantly innovate, maximise productivity, and offer competitive pricing due to the intense competition.</w:t>
      </w:r>
    </w:p>
    <w:p w14:paraId="0BD9336E" w14:textId="77777777" w:rsidR="000D1E45" w:rsidRDefault="000D1E45">
      <w:pPr>
        <w:jc w:val="both"/>
        <w:rPr>
          <w:rFonts w:ascii="Times New Roman" w:eastAsia="Times New Roman" w:hAnsi="Times New Roman" w:cs="Times New Roman"/>
          <w:b/>
          <w:sz w:val="24"/>
          <w:szCs w:val="24"/>
        </w:rPr>
      </w:pPr>
    </w:p>
    <w:p w14:paraId="2696B7F0" w14:textId="77777777" w:rsidR="000D1E45" w:rsidRDefault="00000000" w:rsidP="006913D2">
      <w:pPr>
        <w:pStyle w:val="Heading1"/>
      </w:pPr>
      <w:bookmarkStart w:id="4" w:name="_Toc153975814"/>
      <w:r>
        <w:t>Industry five forces</w:t>
      </w:r>
      <w:bookmarkEnd w:id="4"/>
    </w:p>
    <w:p w14:paraId="7F1B35C5" w14:textId="77777777" w:rsidR="000D1E45" w:rsidRDefault="000D1E45">
      <w:pPr>
        <w:jc w:val="both"/>
        <w:rPr>
          <w:rFonts w:ascii="Times New Roman" w:eastAsia="Times New Roman" w:hAnsi="Times New Roman" w:cs="Times New Roman"/>
          <w:b/>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1380"/>
        <w:gridCol w:w="4860"/>
      </w:tblGrid>
      <w:tr w:rsidR="000D1E45" w14:paraId="4B40BEB6" w14:textId="77777777">
        <w:tc>
          <w:tcPr>
            <w:tcW w:w="3120" w:type="dxa"/>
            <w:shd w:val="clear" w:color="auto" w:fill="auto"/>
            <w:tcMar>
              <w:top w:w="100" w:type="dxa"/>
              <w:left w:w="100" w:type="dxa"/>
              <w:bottom w:w="100" w:type="dxa"/>
              <w:right w:w="100" w:type="dxa"/>
            </w:tcMar>
          </w:tcPr>
          <w:p w14:paraId="51EAC0A0" w14:textId="77777777" w:rsidR="000D1E45"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Forces </w:t>
            </w:r>
          </w:p>
        </w:tc>
        <w:tc>
          <w:tcPr>
            <w:tcW w:w="1380" w:type="dxa"/>
            <w:shd w:val="clear" w:color="auto" w:fill="auto"/>
            <w:tcMar>
              <w:top w:w="100" w:type="dxa"/>
              <w:left w:w="100" w:type="dxa"/>
              <w:bottom w:w="100" w:type="dxa"/>
              <w:right w:w="100" w:type="dxa"/>
            </w:tcMar>
          </w:tcPr>
          <w:p w14:paraId="35EC8FEB" w14:textId="77777777" w:rsidR="000D1E45"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Impact </w:t>
            </w:r>
          </w:p>
        </w:tc>
        <w:tc>
          <w:tcPr>
            <w:tcW w:w="4860" w:type="dxa"/>
            <w:shd w:val="clear" w:color="auto" w:fill="auto"/>
            <w:tcMar>
              <w:top w:w="100" w:type="dxa"/>
              <w:left w:w="100" w:type="dxa"/>
              <w:bottom w:w="100" w:type="dxa"/>
              <w:right w:w="100" w:type="dxa"/>
            </w:tcMar>
          </w:tcPr>
          <w:p w14:paraId="4F5A0363" w14:textId="77777777" w:rsidR="000D1E45"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Description </w:t>
            </w:r>
          </w:p>
        </w:tc>
      </w:tr>
      <w:tr w:rsidR="000D1E45" w14:paraId="2AF2C1AF" w14:textId="77777777">
        <w:tc>
          <w:tcPr>
            <w:tcW w:w="3120" w:type="dxa"/>
            <w:shd w:val="clear" w:color="auto" w:fill="auto"/>
            <w:tcMar>
              <w:top w:w="100" w:type="dxa"/>
              <w:left w:w="100" w:type="dxa"/>
              <w:bottom w:w="100" w:type="dxa"/>
              <w:right w:w="100" w:type="dxa"/>
            </w:tcMar>
          </w:tcPr>
          <w:p w14:paraId="0DE12C7A" w14:textId="77777777" w:rsidR="000D1E45" w:rsidRDefault="00000000">
            <w:pPr>
              <w:widowControl w:val="0"/>
              <w:pBdr>
                <w:top w:val="nil"/>
                <w:left w:val="nil"/>
                <w:bottom w:val="nil"/>
                <w:right w:val="nil"/>
                <w:between w:val="nil"/>
              </w:pBdr>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Threat of new entrants </w:t>
            </w:r>
          </w:p>
        </w:tc>
        <w:tc>
          <w:tcPr>
            <w:tcW w:w="1380" w:type="dxa"/>
            <w:shd w:val="clear" w:color="auto" w:fill="auto"/>
            <w:tcMar>
              <w:top w:w="100" w:type="dxa"/>
              <w:left w:w="100" w:type="dxa"/>
              <w:bottom w:w="100" w:type="dxa"/>
              <w:right w:w="100" w:type="dxa"/>
            </w:tcMar>
          </w:tcPr>
          <w:p w14:paraId="12740E6D" w14:textId="77777777" w:rsidR="000D1E45"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Low </w:t>
            </w:r>
          </w:p>
        </w:tc>
        <w:tc>
          <w:tcPr>
            <w:tcW w:w="4860" w:type="dxa"/>
            <w:shd w:val="clear" w:color="auto" w:fill="auto"/>
            <w:tcMar>
              <w:top w:w="100" w:type="dxa"/>
              <w:left w:w="100" w:type="dxa"/>
              <w:bottom w:w="100" w:type="dxa"/>
              <w:right w:w="100" w:type="dxa"/>
            </w:tcMar>
          </w:tcPr>
          <w:p w14:paraId="095A37BA" w14:textId="77777777" w:rsidR="000D1E45" w:rsidRDefault="00000000">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well-established client base and brand reputation of IMI PLC provide some defence. A substantial upfront investment is required for the establishment of production facilities, the purchase of specialised equipment, and the maintenance of research and development (R&amp;D) skills (</w:t>
            </w:r>
            <w:r>
              <w:rPr>
                <w:rFonts w:ascii="Times New Roman" w:eastAsia="Times New Roman" w:hAnsi="Times New Roman" w:cs="Times New Roman"/>
                <w:color w:val="222222"/>
                <w:sz w:val="24"/>
                <w:szCs w:val="24"/>
                <w:highlight w:val="white"/>
              </w:rPr>
              <w:t>Irfan, 2019)</w:t>
            </w:r>
            <w:r>
              <w:rPr>
                <w:rFonts w:ascii="Times New Roman" w:eastAsia="Times New Roman" w:hAnsi="Times New Roman" w:cs="Times New Roman"/>
                <w:sz w:val="24"/>
                <w:szCs w:val="24"/>
              </w:rPr>
              <w:t>. IMI PLC can reinvest extensively in R&amp;D and manufacturing, further expanding the gap for new entrants, thanks to its established infrastructure and recurring income streams.</w:t>
            </w:r>
          </w:p>
          <w:p w14:paraId="6518A306" w14:textId="77777777" w:rsidR="000D1E45" w:rsidRDefault="000D1E45">
            <w:pPr>
              <w:widowControl w:val="0"/>
              <w:spacing w:line="240" w:lineRule="auto"/>
              <w:rPr>
                <w:rFonts w:ascii="Times New Roman" w:eastAsia="Times New Roman" w:hAnsi="Times New Roman" w:cs="Times New Roman"/>
                <w:b/>
                <w:sz w:val="24"/>
                <w:szCs w:val="24"/>
              </w:rPr>
            </w:pPr>
          </w:p>
          <w:p w14:paraId="7D330FD1" w14:textId="77777777" w:rsidR="000D1E45" w:rsidRDefault="000D1E45">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r w:rsidR="000D1E45" w14:paraId="7E83D457" w14:textId="77777777">
        <w:tc>
          <w:tcPr>
            <w:tcW w:w="3120" w:type="dxa"/>
            <w:shd w:val="clear" w:color="auto" w:fill="auto"/>
            <w:tcMar>
              <w:top w:w="100" w:type="dxa"/>
              <w:left w:w="100" w:type="dxa"/>
              <w:bottom w:w="100" w:type="dxa"/>
              <w:right w:w="100" w:type="dxa"/>
            </w:tcMar>
          </w:tcPr>
          <w:p w14:paraId="3DFD1AAF" w14:textId="77777777" w:rsidR="000D1E45" w:rsidRDefault="00000000">
            <w:pPr>
              <w:widowControl w:val="0"/>
              <w:pBdr>
                <w:top w:val="nil"/>
                <w:left w:val="nil"/>
                <w:bottom w:val="nil"/>
                <w:right w:val="nil"/>
                <w:between w:val="nil"/>
              </w:pBdr>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Threats of substitutes </w:t>
            </w:r>
          </w:p>
        </w:tc>
        <w:tc>
          <w:tcPr>
            <w:tcW w:w="1380" w:type="dxa"/>
            <w:shd w:val="clear" w:color="auto" w:fill="auto"/>
            <w:tcMar>
              <w:top w:w="100" w:type="dxa"/>
              <w:left w:w="100" w:type="dxa"/>
              <w:bottom w:w="100" w:type="dxa"/>
              <w:right w:w="100" w:type="dxa"/>
            </w:tcMar>
          </w:tcPr>
          <w:p w14:paraId="31F589AF" w14:textId="77777777" w:rsidR="000D1E45"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High </w:t>
            </w:r>
          </w:p>
        </w:tc>
        <w:tc>
          <w:tcPr>
            <w:tcW w:w="4860" w:type="dxa"/>
            <w:shd w:val="clear" w:color="auto" w:fill="auto"/>
            <w:tcMar>
              <w:top w:w="100" w:type="dxa"/>
              <w:left w:w="100" w:type="dxa"/>
              <w:bottom w:w="100" w:type="dxa"/>
              <w:right w:w="100" w:type="dxa"/>
            </w:tcMar>
          </w:tcPr>
          <w:p w14:paraId="33AFDDCF" w14:textId="77777777" w:rsidR="000D1E45" w:rsidRDefault="00000000">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IMI PLC is vulnerable to potential disruptions such as production stoppages and price gouging when it relies solely on a single supplier. They distribute these risks and guarantee a consistent supply of commodities by sourcing from several providers (</w:t>
            </w:r>
            <w:proofErr w:type="spellStart"/>
            <w:r>
              <w:rPr>
                <w:rFonts w:ascii="Times New Roman" w:eastAsia="Times New Roman" w:hAnsi="Times New Roman" w:cs="Times New Roman"/>
                <w:color w:val="222222"/>
                <w:sz w:val="24"/>
                <w:szCs w:val="24"/>
                <w:highlight w:val="white"/>
              </w:rPr>
              <w:t>Anastasiu</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w:t>
            </w:r>
          </w:p>
          <w:p w14:paraId="7CDD22DD" w14:textId="77777777" w:rsidR="000D1E45" w:rsidRDefault="00000000">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IMI PLC has more negotiating power when there are several suppliers fighting for their business, which helps them get good terms and pricing. Better margins and cost savings may result from this.</w:t>
            </w:r>
          </w:p>
          <w:p w14:paraId="4A8F823A" w14:textId="77777777" w:rsidR="000D1E45" w:rsidRDefault="000D1E45">
            <w:pPr>
              <w:widowControl w:val="0"/>
              <w:spacing w:line="240" w:lineRule="auto"/>
              <w:rPr>
                <w:rFonts w:ascii="Times New Roman" w:eastAsia="Times New Roman" w:hAnsi="Times New Roman" w:cs="Times New Roman"/>
                <w:b/>
                <w:sz w:val="24"/>
                <w:szCs w:val="24"/>
              </w:rPr>
            </w:pPr>
          </w:p>
        </w:tc>
      </w:tr>
      <w:tr w:rsidR="000D1E45" w14:paraId="039C3371" w14:textId="77777777">
        <w:tc>
          <w:tcPr>
            <w:tcW w:w="3120" w:type="dxa"/>
            <w:shd w:val="clear" w:color="auto" w:fill="auto"/>
            <w:tcMar>
              <w:top w:w="100" w:type="dxa"/>
              <w:left w:w="100" w:type="dxa"/>
              <w:bottom w:w="100" w:type="dxa"/>
              <w:right w:w="100" w:type="dxa"/>
            </w:tcMar>
          </w:tcPr>
          <w:p w14:paraId="227615AD" w14:textId="77777777" w:rsidR="000D1E45" w:rsidRDefault="00000000">
            <w:pPr>
              <w:widowControl w:val="0"/>
              <w:pBdr>
                <w:top w:val="nil"/>
                <w:left w:val="nil"/>
                <w:bottom w:val="nil"/>
                <w:right w:val="nil"/>
                <w:between w:val="nil"/>
              </w:pBdr>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Bargaining power of customers </w:t>
            </w:r>
          </w:p>
        </w:tc>
        <w:tc>
          <w:tcPr>
            <w:tcW w:w="1380" w:type="dxa"/>
            <w:shd w:val="clear" w:color="auto" w:fill="auto"/>
            <w:tcMar>
              <w:top w:w="100" w:type="dxa"/>
              <w:left w:w="100" w:type="dxa"/>
              <w:bottom w:w="100" w:type="dxa"/>
              <w:right w:w="100" w:type="dxa"/>
            </w:tcMar>
          </w:tcPr>
          <w:p w14:paraId="272A624B" w14:textId="77777777" w:rsidR="000D1E45"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High </w:t>
            </w:r>
          </w:p>
        </w:tc>
        <w:tc>
          <w:tcPr>
            <w:tcW w:w="4860" w:type="dxa"/>
            <w:shd w:val="clear" w:color="auto" w:fill="auto"/>
            <w:tcMar>
              <w:top w:w="100" w:type="dxa"/>
              <w:left w:w="100" w:type="dxa"/>
              <w:bottom w:w="100" w:type="dxa"/>
              <w:right w:w="100" w:type="dxa"/>
            </w:tcMar>
          </w:tcPr>
          <w:p w14:paraId="2009A5EC" w14:textId="77777777" w:rsidR="000D1E45" w:rsidRDefault="00000000">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Distributors and original equipment manufacturers (OEMs) are among the many clients served by IMI PLC. Big OEMs do have some influence, but IMI PLC has power because of its strong client ties and product specialisation (</w:t>
            </w:r>
            <w:r>
              <w:rPr>
                <w:rFonts w:ascii="Times New Roman" w:eastAsia="Times New Roman" w:hAnsi="Times New Roman" w:cs="Times New Roman"/>
                <w:color w:val="222222"/>
                <w:sz w:val="24"/>
                <w:szCs w:val="24"/>
                <w:highlight w:val="white"/>
              </w:rPr>
              <w:t xml:space="preserve">Appiah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w:t>
            </w:r>
          </w:p>
          <w:p w14:paraId="2D2F1DEF" w14:textId="77777777" w:rsidR="000D1E45" w:rsidRDefault="000D1E45">
            <w:pPr>
              <w:widowControl w:val="0"/>
              <w:spacing w:line="240" w:lineRule="auto"/>
              <w:rPr>
                <w:rFonts w:ascii="Times New Roman" w:eastAsia="Times New Roman" w:hAnsi="Times New Roman" w:cs="Times New Roman"/>
                <w:b/>
                <w:sz w:val="24"/>
                <w:szCs w:val="24"/>
              </w:rPr>
            </w:pPr>
          </w:p>
        </w:tc>
      </w:tr>
      <w:tr w:rsidR="000D1E45" w14:paraId="5941D8AB" w14:textId="77777777">
        <w:tc>
          <w:tcPr>
            <w:tcW w:w="3120" w:type="dxa"/>
            <w:shd w:val="clear" w:color="auto" w:fill="auto"/>
            <w:tcMar>
              <w:top w:w="100" w:type="dxa"/>
              <w:left w:w="100" w:type="dxa"/>
              <w:bottom w:w="100" w:type="dxa"/>
              <w:right w:w="100" w:type="dxa"/>
            </w:tcMar>
          </w:tcPr>
          <w:p w14:paraId="1A6E32D2" w14:textId="77777777" w:rsidR="000D1E45" w:rsidRDefault="00000000">
            <w:pPr>
              <w:widowControl w:val="0"/>
              <w:pBdr>
                <w:top w:val="nil"/>
                <w:left w:val="nil"/>
                <w:bottom w:val="nil"/>
                <w:right w:val="nil"/>
                <w:between w:val="nil"/>
              </w:pBdr>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Bargaining power of supplies </w:t>
            </w:r>
          </w:p>
        </w:tc>
        <w:tc>
          <w:tcPr>
            <w:tcW w:w="1380" w:type="dxa"/>
            <w:shd w:val="clear" w:color="auto" w:fill="auto"/>
            <w:tcMar>
              <w:top w:w="100" w:type="dxa"/>
              <w:left w:w="100" w:type="dxa"/>
              <w:bottom w:w="100" w:type="dxa"/>
              <w:right w:w="100" w:type="dxa"/>
            </w:tcMar>
          </w:tcPr>
          <w:p w14:paraId="10A061AE" w14:textId="77777777" w:rsidR="000D1E45"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Low</w:t>
            </w:r>
          </w:p>
        </w:tc>
        <w:tc>
          <w:tcPr>
            <w:tcW w:w="4860" w:type="dxa"/>
            <w:shd w:val="clear" w:color="auto" w:fill="auto"/>
            <w:tcMar>
              <w:top w:w="100" w:type="dxa"/>
              <w:left w:w="100" w:type="dxa"/>
              <w:bottom w:w="100" w:type="dxa"/>
              <w:right w:w="100" w:type="dxa"/>
            </w:tcMar>
          </w:tcPr>
          <w:p w14:paraId="73D01D4F" w14:textId="77777777" w:rsidR="000D1E45" w:rsidRDefault="00000000">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w:t>
            </w:r>
            <w:r>
              <w:rPr>
                <w:rFonts w:ascii="Times New Roman" w:eastAsia="Times New Roman" w:hAnsi="Times New Roman" w:cs="Times New Roman"/>
                <w:color w:val="222222"/>
                <w:sz w:val="24"/>
                <w:szCs w:val="24"/>
                <w:highlight w:val="white"/>
              </w:rPr>
              <w:t>Jelonek et al. (2022),</w:t>
            </w:r>
            <w:r>
              <w:rPr>
                <w:rFonts w:ascii="Times New Roman" w:eastAsia="Times New Roman" w:hAnsi="Times New Roman" w:cs="Times New Roman"/>
                <w:sz w:val="24"/>
                <w:szCs w:val="24"/>
              </w:rPr>
              <w:t xml:space="preserve"> IMI PLC can respond swiftly to shifts in the market and instability in the region because to its wide base. They can minimise delays and guarantee a regular flow of goods by switching vendors or sourcing products from several locations.</w:t>
            </w:r>
          </w:p>
          <w:p w14:paraId="12015C62" w14:textId="77777777" w:rsidR="000D1E45" w:rsidRDefault="000D1E45">
            <w:pPr>
              <w:widowControl w:val="0"/>
              <w:spacing w:line="240" w:lineRule="auto"/>
              <w:rPr>
                <w:rFonts w:ascii="Times New Roman" w:eastAsia="Times New Roman" w:hAnsi="Times New Roman" w:cs="Times New Roman"/>
                <w:b/>
                <w:sz w:val="24"/>
                <w:szCs w:val="24"/>
              </w:rPr>
            </w:pPr>
          </w:p>
        </w:tc>
      </w:tr>
      <w:tr w:rsidR="000D1E45" w14:paraId="164B1943" w14:textId="77777777">
        <w:tc>
          <w:tcPr>
            <w:tcW w:w="3120" w:type="dxa"/>
            <w:shd w:val="clear" w:color="auto" w:fill="auto"/>
            <w:tcMar>
              <w:top w:w="100" w:type="dxa"/>
              <w:left w:w="100" w:type="dxa"/>
              <w:bottom w:w="100" w:type="dxa"/>
              <w:right w:w="100" w:type="dxa"/>
            </w:tcMar>
          </w:tcPr>
          <w:p w14:paraId="4E21F362" w14:textId="77777777" w:rsidR="000D1E45" w:rsidRDefault="00000000">
            <w:pPr>
              <w:widowControl w:val="0"/>
              <w:pBdr>
                <w:top w:val="nil"/>
                <w:left w:val="nil"/>
                <w:bottom w:val="nil"/>
                <w:right w:val="nil"/>
                <w:between w:val="nil"/>
              </w:pBdr>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Competitive rivalry </w:t>
            </w:r>
          </w:p>
        </w:tc>
        <w:tc>
          <w:tcPr>
            <w:tcW w:w="1380" w:type="dxa"/>
            <w:shd w:val="clear" w:color="auto" w:fill="auto"/>
            <w:tcMar>
              <w:top w:w="100" w:type="dxa"/>
              <w:left w:w="100" w:type="dxa"/>
              <w:bottom w:w="100" w:type="dxa"/>
              <w:right w:w="100" w:type="dxa"/>
            </w:tcMar>
          </w:tcPr>
          <w:p w14:paraId="0782D996" w14:textId="77777777" w:rsidR="000D1E45"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High </w:t>
            </w:r>
          </w:p>
        </w:tc>
        <w:tc>
          <w:tcPr>
            <w:tcW w:w="4860" w:type="dxa"/>
            <w:shd w:val="clear" w:color="auto" w:fill="auto"/>
            <w:tcMar>
              <w:top w:w="100" w:type="dxa"/>
              <w:left w:w="100" w:type="dxa"/>
              <w:bottom w:w="100" w:type="dxa"/>
              <w:right w:w="100" w:type="dxa"/>
            </w:tcMar>
          </w:tcPr>
          <w:p w14:paraId="41E200F2" w14:textId="77777777" w:rsidR="000D1E45" w:rsidRDefault="00000000">
            <w:pPr>
              <w:widowControl w:val="0"/>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Parker Hannifin and Bosch Rexroth both have enormous resources, a global presence, and well-known brands. They are the market's Goliaths, providing an extensive array of goods and services. Agile startups and small businesses, which focus on cutting-edge solutions for certain applications or geographical areas, are rapidly catching up to them. </w:t>
            </w:r>
          </w:p>
        </w:tc>
      </w:tr>
    </w:tbl>
    <w:p w14:paraId="5A14CE8B" w14:textId="77777777" w:rsidR="000D1E45" w:rsidRDefault="000D1E45">
      <w:pPr>
        <w:jc w:val="both"/>
        <w:rPr>
          <w:rFonts w:ascii="Times New Roman" w:eastAsia="Times New Roman" w:hAnsi="Times New Roman" w:cs="Times New Roman"/>
          <w:b/>
          <w:sz w:val="24"/>
          <w:szCs w:val="24"/>
        </w:rPr>
      </w:pPr>
    </w:p>
    <w:p w14:paraId="6B4494F8" w14:textId="77777777" w:rsidR="000D1E45" w:rsidRDefault="00000000" w:rsidP="006913D2">
      <w:pPr>
        <w:pStyle w:val="Heading1"/>
      </w:pPr>
      <w:bookmarkStart w:id="5" w:name="_Toc153975815"/>
      <w:r>
        <w:t>SWOT analysis</w:t>
      </w:r>
      <w:bookmarkEnd w:id="5"/>
    </w:p>
    <w:p w14:paraId="4113CC34" w14:textId="77777777" w:rsidR="000D1E45"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Strengths </w:t>
      </w:r>
    </w:p>
    <w:p w14:paraId="2F8DC620"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Focus on R&amp;D:</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With research and development efforts concentrated on high-performance, tailored solutions for demanding applications, IMI Plc has a proven track record of innovation (</w:t>
      </w:r>
      <w:proofErr w:type="spellStart"/>
      <w:r>
        <w:rPr>
          <w:rFonts w:ascii="Times New Roman" w:eastAsia="Times New Roman" w:hAnsi="Times New Roman" w:cs="Times New Roman"/>
          <w:color w:val="222222"/>
          <w:sz w:val="24"/>
          <w:szCs w:val="24"/>
          <w:highlight w:val="white"/>
        </w:rPr>
        <w:t>Benzaghta</w:t>
      </w:r>
      <w:proofErr w:type="spellEnd"/>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w:t>
      </w:r>
    </w:p>
    <w:p w14:paraId="6CF68E4B"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Diverse clients: </w:t>
      </w:r>
      <w:r>
        <w:rPr>
          <w:rFonts w:ascii="Times New Roman" w:eastAsia="Times New Roman" w:hAnsi="Times New Roman" w:cs="Times New Roman"/>
          <w:sz w:val="24"/>
          <w:szCs w:val="24"/>
        </w:rPr>
        <w:t>Serving a variety of markets lessens reliance on any one market niche. Examples of these markets include aerospace, medical equipment, and energy exploration.</w:t>
      </w:r>
    </w:p>
    <w:p w14:paraId="49BDB6D3"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Solid reputation as a brand</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IMI Plc is trusted and loyal because of its reputation for quality, dependability, and customer service (IMI PLC 2023).</w:t>
      </w:r>
    </w:p>
    <w:p w14:paraId="0E1BA5EE"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Global presence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Well-established operations in several areas enable market penetration and flexibility to meet a range of customer demands (IMI PLC 2023).</w:t>
      </w:r>
    </w:p>
    <w:p w14:paraId="55B956CE"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Competent workforce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IMI Plc draws and keeps outstanding engineers, which is essential for project execution and innovation.</w:t>
      </w:r>
    </w:p>
    <w:p w14:paraId="4243F148" w14:textId="77777777" w:rsidR="000D1E45"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Weaknesses </w:t>
      </w:r>
    </w:p>
    <w:p w14:paraId="438C25D5"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Exposure to swings in raw materials: </w:t>
      </w:r>
      <w:r>
        <w:rPr>
          <w:rFonts w:ascii="Times New Roman" w:eastAsia="Times New Roman" w:hAnsi="Times New Roman" w:cs="Times New Roman"/>
          <w:sz w:val="24"/>
          <w:szCs w:val="24"/>
        </w:rPr>
        <w:t>Cost margins may be impacted by reliance on erratic commodities like as steel and aluminium.</w:t>
      </w:r>
    </w:p>
    <w:p w14:paraId="72942B93"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Established competitors: </w:t>
      </w:r>
      <w:r>
        <w:rPr>
          <w:rFonts w:ascii="Times New Roman" w:eastAsia="Times New Roman" w:hAnsi="Times New Roman" w:cs="Times New Roman"/>
          <w:sz w:val="24"/>
          <w:szCs w:val="24"/>
        </w:rPr>
        <w:t>Parker Hannifin and Bosch Rexroth present serious obstacles to market share and brand awareness.</w:t>
      </w:r>
    </w:p>
    <w:p w14:paraId="3958A661"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Potential disruption from emerging technologies: </w:t>
      </w:r>
      <w:r>
        <w:rPr>
          <w:rFonts w:ascii="Times New Roman" w:eastAsia="Times New Roman" w:hAnsi="Times New Roman" w:cs="Times New Roman"/>
          <w:sz w:val="24"/>
          <w:szCs w:val="24"/>
        </w:rPr>
        <w:t>In some markets, the dominance of conventional hydraulic systems may be challenged by electric and electrohydraulic actuators.</w:t>
      </w:r>
    </w:p>
    <w:p w14:paraId="18F3BA5F"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Acquisition-related integration challenges:</w:t>
      </w:r>
      <w:r>
        <w:rPr>
          <w:rFonts w:ascii="Times New Roman" w:eastAsia="Times New Roman" w:hAnsi="Times New Roman" w:cs="Times New Roman"/>
          <w:sz w:val="24"/>
          <w:szCs w:val="24"/>
        </w:rPr>
        <w:t xml:space="preserve"> To fully realise the potential of acquired enterprises, effective and efficient integration is essential.</w:t>
      </w:r>
    </w:p>
    <w:p w14:paraId="59418DE6" w14:textId="77777777" w:rsidR="000D1E45" w:rsidRDefault="000D1E45">
      <w:pPr>
        <w:jc w:val="both"/>
        <w:rPr>
          <w:rFonts w:ascii="Times New Roman" w:eastAsia="Times New Roman" w:hAnsi="Times New Roman" w:cs="Times New Roman"/>
          <w:b/>
          <w:sz w:val="24"/>
          <w:szCs w:val="24"/>
        </w:rPr>
      </w:pPr>
    </w:p>
    <w:p w14:paraId="42EDA405" w14:textId="77777777" w:rsidR="000D1E45"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14:paraId="31BA2A23"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Growing demand for automation: </w:t>
      </w:r>
      <w:r>
        <w:rPr>
          <w:rFonts w:ascii="Times New Roman" w:eastAsia="Times New Roman" w:hAnsi="Times New Roman" w:cs="Times New Roman"/>
          <w:sz w:val="24"/>
          <w:szCs w:val="24"/>
        </w:rPr>
        <w:t>IMI Plc high-performance actuators could benefit from the growing usage of automation and robotics in various industries (IMI PLC 2023).</w:t>
      </w:r>
    </w:p>
    <w:p w14:paraId="4DEF3DC8"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Pay attention to sustainability: </w:t>
      </w:r>
      <w:r>
        <w:rPr>
          <w:rFonts w:ascii="Times New Roman" w:eastAsia="Times New Roman" w:hAnsi="Times New Roman" w:cs="Times New Roman"/>
          <w:sz w:val="24"/>
          <w:szCs w:val="24"/>
        </w:rPr>
        <w:t>IMI Plc can use its experience to provide environmentally friendly solutions and meet the increasing need for sustainable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engineering.</w:t>
      </w:r>
    </w:p>
    <w:p w14:paraId="6E21FCEB"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Expansion into emerging markets: </w:t>
      </w:r>
      <w:r>
        <w:rPr>
          <w:rFonts w:ascii="Times New Roman" w:eastAsia="Times New Roman" w:hAnsi="Times New Roman" w:cs="Times New Roman"/>
          <w:sz w:val="24"/>
          <w:szCs w:val="24"/>
        </w:rPr>
        <w:t>There are many profitable prospects for IMI Plc experience due to the growing infrastructure requirements in developing nations.</w:t>
      </w:r>
    </w:p>
    <w:p w14:paraId="28F0A65A"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Digitalization and data analytics: </w:t>
      </w:r>
      <w:r>
        <w:rPr>
          <w:rFonts w:ascii="Times New Roman" w:eastAsia="Times New Roman" w:hAnsi="Times New Roman" w:cs="Times New Roman"/>
          <w:sz w:val="24"/>
          <w:szCs w:val="24"/>
        </w:rPr>
        <w:t>By adding cutting-edge software and sensors to their systems, businesses can increase customer value propositions and generate new revenue sources.</w:t>
      </w:r>
    </w:p>
    <w:p w14:paraId="332AA296" w14:textId="77777777" w:rsidR="000D1E45" w:rsidRDefault="000D1E45">
      <w:pPr>
        <w:jc w:val="both"/>
        <w:rPr>
          <w:rFonts w:ascii="Times New Roman" w:eastAsia="Times New Roman" w:hAnsi="Times New Roman" w:cs="Times New Roman"/>
          <w:b/>
          <w:sz w:val="24"/>
          <w:szCs w:val="24"/>
        </w:rPr>
      </w:pPr>
    </w:p>
    <w:p w14:paraId="05AC30CF" w14:textId="77777777" w:rsidR="000D1E45"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Threats </w:t>
      </w:r>
    </w:p>
    <w:p w14:paraId="39D92049"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Economic downturns: </w:t>
      </w:r>
      <w:r>
        <w:rPr>
          <w:rFonts w:ascii="Times New Roman" w:eastAsia="Times New Roman" w:hAnsi="Times New Roman" w:cs="Times New Roman"/>
          <w:sz w:val="24"/>
          <w:szCs w:val="24"/>
        </w:rPr>
        <w:t>IMI Plc sales and profitability may be impacted by lower capital investment in important industries.</w:t>
      </w:r>
    </w:p>
    <w:p w14:paraId="59B85501"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Regulation alterations: </w:t>
      </w:r>
      <w:r>
        <w:rPr>
          <w:rFonts w:ascii="Times New Roman" w:eastAsia="Times New Roman" w:hAnsi="Times New Roman" w:cs="Times New Roman"/>
          <w:sz w:val="24"/>
          <w:szCs w:val="24"/>
        </w:rPr>
        <w:t>Tight environmental or safety laws may need expensive modifications or restrict a product's ability to reach the market.</w:t>
      </w:r>
    </w:p>
    <w:p w14:paraId="0FA1E1F4"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Talent acquisition and retention: </w:t>
      </w:r>
      <w:r>
        <w:rPr>
          <w:rFonts w:ascii="Times New Roman" w:eastAsia="Times New Roman" w:hAnsi="Times New Roman" w:cs="Times New Roman"/>
          <w:sz w:val="24"/>
          <w:szCs w:val="24"/>
        </w:rPr>
        <w:t>It might be difficult to draw in and keep talented engineers in a cutthroat industry.</w:t>
      </w:r>
    </w:p>
    <w:p w14:paraId="50661845"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Quick advances in technology: </w:t>
      </w:r>
      <w:r>
        <w:rPr>
          <w:rFonts w:ascii="Times New Roman" w:eastAsia="Times New Roman" w:hAnsi="Times New Roman" w:cs="Times New Roman"/>
          <w:sz w:val="24"/>
          <w:szCs w:val="24"/>
        </w:rPr>
        <w:t>Market share losses may result from a failure to keep up with innovation in fields like electric actuators.</w:t>
      </w:r>
    </w:p>
    <w:p w14:paraId="77BDE59B" w14:textId="77777777" w:rsidR="000D1E45" w:rsidRDefault="000D1E45">
      <w:pPr>
        <w:jc w:val="both"/>
        <w:rPr>
          <w:rFonts w:ascii="Times New Roman" w:eastAsia="Times New Roman" w:hAnsi="Times New Roman" w:cs="Times New Roman"/>
          <w:b/>
          <w:sz w:val="24"/>
          <w:szCs w:val="24"/>
        </w:rPr>
      </w:pPr>
    </w:p>
    <w:p w14:paraId="4B1E63A5" w14:textId="77777777" w:rsidR="000D1E45" w:rsidRDefault="00000000" w:rsidP="006913D2">
      <w:pPr>
        <w:pStyle w:val="Heading1"/>
      </w:pPr>
      <w:bookmarkStart w:id="6" w:name="_Toc153975816"/>
      <w:r>
        <w:t>Corporate strategies with evidence</w:t>
      </w:r>
      <w:bookmarkEnd w:id="6"/>
    </w:p>
    <w:p w14:paraId="67E17FFD" w14:textId="77777777" w:rsidR="000D1E45" w:rsidRDefault="00000000">
      <w:pP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Reducing Emissions in the Oil and Gas Sector and Adopting Decarbonisation</w:t>
      </w:r>
    </w:p>
    <w:p w14:paraId="50F7FEF3"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IMI Plc understands how critical it is to curb emissions and slow global warming. They work closely with clients in the oil and gas industry to streamline procedures and reduce their environmental footprint (</w:t>
      </w:r>
      <w:r>
        <w:rPr>
          <w:rFonts w:ascii="Times New Roman" w:eastAsia="Times New Roman" w:hAnsi="Times New Roman" w:cs="Times New Roman"/>
          <w:color w:val="222222"/>
          <w:sz w:val="24"/>
          <w:szCs w:val="24"/>
          <w:highlight w:val="white"/>
        </w:rPr>
        <w:t>Smith, 2020)</w:t>
      </w:r>
      <w:r>
        <w:rPr>
          <w:rFonts w:ascii="Times New Roman" w:eastAsia="Times New Roman" w:hAnsi="Times New Roman" w:cs="Times New Roman"/>
          <w:sz w:val="24"/>
          <w:szCs w:val="24"/>
        </w:rPr>
        <w:t>.</w:t>
      </w:r>
    </w:p>
    <w:p w14:paraId="54FC9BA6"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Acknowledging the ongoing need for oil and gas, IMI Plc investigates more affordable options such as nuclear, renewables, and hydrogen. Their emphasis on green hydrogen systems indicates that they are dedicated to making the future cleaner.</w:t>
      </w:r>
    </w:p>
    <w:p w14:paraId="79EC144E"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Methane emissions are a major cause of global warming. IMI Plc solutions assist control surge pressures and minimise methane leakage. This demonstrates their commitment to ethical mining and preservation of the environment. IMI Plc helps oil and gas industries extract resources safely and effectively while reducing emissions and environmental impact by utilising their engineering knowledge (IMI Strategy, 2023). Global warming is mostly caused by methane emissions. The solutions provided by IMI Plc help limit methane leaks and regulate surge pressures. This indicates their dedication to environmental protection and moral mining. By applying their engineering expertise, IMI Plc assists the oil and gas sectors in resource extraction that is both safe and efficient, while also minimising emissions and environmental impact.</w:t>
      </w:r>
    </w:p>
    <w:p w14:paraId="0D7EADB6" w14:textId="77777777" w:rsidR="000D1E45" w:rsidRDefault="000D1E45">
      <w:pPr>
        <w:jc w:val="both"/>
        <w:rPr>
          <w:rFonts w:ascii="Times New Roman" w:eastAsia="Times New Roman" w:hAnsi="Times New Roman" w:cs="Times New Roman"/>
          <w:sz w:val="24"/>
          <w:szCs w:val="24"/>
        </w:rPr>
      </w:pPr>
    </w:p>
    <w:p w14:paraId="4FDADF7B" w14:textId="77777777" w:rsidR="000D1E45" w:rsidRDefault="00000000" w:rsidP="006913D2">
      <w:pPr>
        <w:pStyle w:val="Heading1"/>
      </w:pPr>
      <w:bookmarkStart w:id="7" w:name="_Toc153975817"/>
      <w:r>
        <w:t>How IMC Plc has tried to remain competitive</w:t>
      </w:r>
      <w:bookmarkEnd w:id="7"/>
    </w:p>
    <w:p w14:paraId="1ABC4CA6" w14:textId="77777777" w:rsidR="000D1E45" w:rsidRDefault="000D1E45">
      <w:pPr>
        <w:jc w:val="both"/>
        <w:rPr>
          <w:rFonts w:ascii="Times New Roman" w:eastAsia="Times New Roman" w:hAnsi="Times New Roman" w:cs="Times New Roman"/>
          <w:sz w:val="24"/>
          <w:szCs w:val="24"/>
        </w:rPr>
      </w:pPr>
    </w:p>
    <w:p w14:paraId="44D54369"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IMI Plc helps close the gap between promising technology and practical implementation by taking part in pilot initiatives like SEWGS, which may hasten the shift to cleaner downstream processes. A closed loop system is created by using blue hydrogen as a byproduct, which reduces waste and maximises resource efficiency. This is consistent with the circular economy's tenets.</w:t>
      </w:r>
    </w:p>
    <w:p w14:paraId="4487FB72"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IMI Plc hedges against the possibility that their main focus will not be on oil and gas extraction by expanding into cleaner downstream </w:t>
      </w:r>
      <w:proofErr w:type="gramStart"/>
      <w:r>
        <w:rPr>
          <w:rFonts w:ascii="Times New Roman" w:eastAsia="Times New Roman" w:hAnsi="Times New Roman" w:cs="Times New Roman"/>
          <w:sz w:val="24"/>
          <w:szCs w:val="24"/>
        </w:rPr>
        <w:t>solutions  (</w:t>
      </w:r>
      <w:proofErr w:type="gramEnd"/>
      <w:r>
        <w:rPr>
          <w:rFonts w:ascii="Times New Roman" w:eastAsia="Times New Roman" w:hAnsi="Times New Roman" w:cs="Times New Roman"/>
          <w:sz w:val="24"/>
          <w:szCs w:val="24"/>
        </w:rPr>
        <w:t>IMI Strategy, 2023). This guarantees adaptation and sustainability over the long run. IMI Plc does not stop at lowering emissions throughout the extraction process. By generating valuable byproducts like blue hydrogen and decarbonizing downstream operations, they are actively influencing the future of oil and gas. Their partnership with TNO on SEWGS demonstrates their dedication to innovation and attention to practical solutions that have broader positive effects on the environment and the economy.</w:t>
      </w:r>
    </w:p>
    <w:p w14:paraId="2FC61843"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IMI Plc is aware of how important it is to reduce emissions in order to mitigate global warming. They collaborate closely with oil and gas industry clients to optimise processes and minimise their environmental impact. While acknowledging the continued necessity for petrol and oil, IMI Plc looks into less expensive alternatives like nuclear, renewable energy, and hydrogen. Their focus on green hydrogen systems suggests that they are committed to creating a cleaner </w:t>
      </w:r>
      <w:proofErr w:type="gramStart"/>
      <w:r>
        <w:rPr>
          <w:rFonts w:ascii="Times New Roman" w:eastAsia="Times New Roman" w:hAnsi="Times New Roman" w:cs="Times New Roman"/>
          <w:sz w:val="24"/>
          <w:szCs w:val="24"/>
        </w:rPr>
        <w:t>future  (</w:t>
      </w:r>
      <w:proofErr w:type="gramEnd"/>
      <w:r>
        <w:rPr>
          <w:rFonts w:ascii="Times New Roman" w:eastAsia="Times New Roman" w:hAnsi="Times New Roman" w:cs="Times New Roman"/>
          <w:sz w:val="24"/>
          <w:szCs w:val="24"/>
        </w:rPr>
        <w:t>IMI Strategy, 2023).</w:t>
      </w:r>
    </w:p>
    <w:p w14:paraId="5D9D7FA1"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adopting this strategic approach, IMI Plc positions itself as a leader in creating a cleaner and more sustainable future for the oil and gas sector, rather than just a participant in it now (</w:t>
      </w:r>
      <w:proofErr w:type="spellStart"/>
      <w:r>
        <w:rPr>
          <w:rFonts w:ascii="Times New Roman" w:eastAsia="Times New Roman" w:hAnsi="Times New Roman" w:cs="Times New Roman"/>
          <w:color w:val="222222"/>
          <w:sz w:val="24"/>
          <w:szCs w:val="24"/>
          <w:highlight w:val="white"/>
        </w:rPr>
        <w:t>Steiss</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It is admirable how IMI Plc is approaching downstream decarbonization. They are putting innovation, co-benefits, and circularity front and centre as they strategically position themselves for a future in which oil and gas play a different role. Even though there are still difficulties, their proactive strategy and emphasis on solutions like SEWGS show that they are dedicated to the industry's sustainability.</w:t>
      </w:r>
    </w:p>
    <w:p w14:paraId="7E3633A7" w14:textId="77777777" w:rsidR="000D1E45" w:rsidRDefault="000D1E45">
      <w:pPr>
        <w:jc w:val="both"/>
        <w:rPr>
          <w:rFonts w:ascii="Times New Roman" w:eastAsia="Times New Roman" w:hAnsi="Times New Roman" w:cs="Times New Roman"/>
          <w:sz w:val="24"/>
          <w:szCs w:val="24"/>
        </w:rPr>
      </w:pPr>
    </w:p>
    <w:p w14:paraId="00688AA7" w14:textId="77777777" w:rsidR="000D1E45" w:rsidRDefault="00000000" w:rsidP="006913D2">
      <w:pPr>
        <w:pStyle w:val="Heading1"/>
      </w:pPr>
      <w:bookmarkStart w:id="8" w:name="_Toc153975818"/>
      <w:r>
        <w:t>The choices available for strategic direction</w:t>
      </w:r>
      <w:bookmarkEnd w:id="8"/>
    </w:p>
    <w:p w14:paraId="459BDB3F" w14:textId="77777777" w:rsidR="000D1E45" w:rsidRDefault="000D1E45">
      <w:pPr>
        <w:jc w:val="both"/>
        <w:rPr>
          <w:rFonts w:ascii="Times New Roman" w:eastAsia="Times New Roman" w:hAnsi="Times New Roman" w:cs="Times New Roman"/>
          <w:b/>
          <w:sz w:val="24"/>
          <w:szCs w:val="24"/>
        </w:rPr>
      </w:pPr>
    </w:p>
    <w:p w14:paraId="0736CAAC"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Embracing Decarbonisation Technological Innovation</w:t>
      </w:r>
      <w:r>
        <w:rPr>
          <w:rFonts w:ascii="Times New Roman" w:eastAsia="Times New Roman" w:hAnsi="Times New Roman" w:cs="Times New Roman"/>
          <w:sz w:val="24"/>
          <w:szCs w:val="24"/>
        </w:rPr>
        <w:t>: IMI Plc would be well served by concentrating on decarbonization technology such as SEWGS (sorption enhanced water gas shift). Proactive and ecologically aware, IMI Plc will draw in talent, investors, and customers who appreciate sustainability (</w:t>
      </w:r>
      <w:proofErr w:type="spellStart"/>
      <w:r>
        <w:rPr>
          <w:rFonts w:ascii="Times New Roman" w:eastAsia="Times New Roman" w:hAnsi="Times New Roman" w:cs="Times New Roman"/>
          <w:color w:val="222222"/>
          <w:sz w:val="24"/>
          <w:szCs w:val="24"/>
          <w:highlight w:val="white"/>
        </w:rPr>
        <w:t>Kabeyi</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In order to address climate change, the oil and gas industry must reduce its carbon </w:t>
      </w:r>
      <w:proofErr w:type="gramStart"/>
      <w:r>
        <w:rPr>
          <w:rFonts w:ascii="Times New Roman" w:eastAsia="Times New Roman" w:hAnsi="Times New Roman" w:cs="Times New Roman"/>
          <w:sz w:val="24"/>
          <w:szCs w:val="24"/>
        </w:rPr>
        <w:t>emissions .</w:t>
      </w:r>
      <w:proofErr w:type="gramEnd"/>
      <w:r>
        <w:rPr>
          <w:rFonts w:ascii="Times New Roman" w:eastAsia="Times New Roman" w:hAnsi="Times New Roman" w:cs="Times New Roman"/>
          <w:sz w:val="24"/>
          <w:szCs w:val="24"/>
        </w:rPr>
        <w:t xml:space="preserve"> IMI Plc has the opportunity to take the lead in this change.  By making an early investment in SEWGS, IMI Plc can gain market leadership in this cutting-edge technology before rivals catch up.</w:t>
      </w:r>
    </w:p>
    <w:p w14:paraId="5C09CE9F" w14:textId="77777777" w:rsidR="000D1E45" w:rsidRDefault="000D1E45">
      <w:pPr>
        <w:jc w:val="both"/>
        <w:rPr>
          <w:rFonts w:ascii="Times New Roman" w:eastAsia="Times New Roman" w:hAnsi="Times New Roman" w:cs="Times New Roman"/>
          <w:b/>
          <w:sz w:val="24"/>
          <w:szCs w:val="24"/>
        </w:rPr>
      </w:pPr>
    </w:p>
    <w:p w14:paraId="7F48950E" w14:textId="77777777" w:rsidR="000D1E4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Expand into the new markets: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engineering prowess and fluid power competence of IMI Plc are not limited to the oil and gas industry. By entering new areas like sophisticated manufacturing, water treatment, and renewable energy, IMI may capitalise on growing industries and build on their current advantages. The pumps and actuators made by IMI Plc optimising water filtration systems, will assist the firm enabling the precise movements of robotic arms in cutting-edge manufacturing, or the valves and actuators powering the next generation of wind turbines. By doing this, they are able to diversify their sources of revenue and establish themselves as pioneers in the development of efficient and sustainable technology for the future.</w:t>
      </w:r>
    </w:p>
    <w:p w14:paraId="1E8B3E7D" w14:textId="77777777" w:rsidR="000D1E45" w:rsidRDefault="000D1E45">
      <w:pPr>
        <w:jc w:val="both"/>
        <w:rPr>
          <w:rFonts w:ascii="Times New Roman" w:eastAsia="Times New Roman" w:hAnsi="Times New Roman" w:cs="Times New Roman"/>
          <w:b/>
          <w:sz w:val="24"/>
          <w:szCs w:val="24"/>
        </w:rPr>
      </w:pPr>
    </w:p>
    <w:p w14:paraId="5EE8F363" w14:textId="77777777" w:rsidR="000D1E45" w:rsidRDefault="000D1E45">
      <w:pPr>
        <w:jc w:val="both"/>
        <w:rPr>
          <w:rFonts w:ascii="Times New Roman" w:eastAsia="Times New Roman" w:hAnsi="Times New Roman" w:cs="Times New Roman"/>
          <w:b/>
          <w:sz w:val="24"/>
          <w:szCs w:val="24"/>
        </w:rPr>
      </w:pPr>
    </w:p>
    <w:p w14:paraId="5E65244A" w14:textId="77777777" w:rsidR="000D1E45"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37DB5F53" w14:textId="77777777" w:rsidR="000D1E45" w:rsidRDefault="000D1E45">
      <w:pPr>
        <w:jc w:val="both"/>
        <w:rPr>
          <w:rFonts w:ascii="Times New Roman" w:eastAsia="Times New Roman" w:hAnsi="Times New Roman" w:cs="Times New Roman"/>
          <w:b/>
          <w:sz w:val="24"/>
          <w:szCs w:val="24"/>
        </w:rPr>
      </w:pPr>
    </w:p>
    <w:p w14:paraId="75E4CE90" w14:textId="5447736C" w:rsidR="006913D2"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competition has intensified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automation and digitalization, as companies employ technology to offer customised solutions, save expenses, and expedite </w:t>
      </w:r>
      <w:r w:rsidR="00D254B6">
        <w:rPr>
          <w:rFonts w:ascii="Times New Roman" w:eastAsia="Times New Roman" w:hAnsi="Times New Roman" w:cs="Times New Roman"/>
          <w:sz w:val="24"/>
          <w:szCs w:val="24"/>
        </w:rPr>
        <w:t>processes. Technology</w:t>
      </w:r>
      <w:r>
        <w:rPr>
          <w:rFonts w:ascii="Times New Roman" w:eastAsia="Times New Roman" w:hAnsi="Times New Roman" w:cs="Times New Roman"/>
          <w:sz w:val="24"/>
          <w:szCs w:val="24"/>
        </w:rPr>
        <w:t xml:space="preserve"> </w:t>
      </w:r>
      <w:proofErr w:type="spellStart"/>
      <w:r w:rsidR="00D254B6">
        <w:rPr>
          <w:rFonts w:ascii="Times New Roman" w:eastAsia="Times New Roman" w:hAnsi="Times New Roman" w:cs="Times New Roman"/>
          <w:sz w:val="24"/>
          <w:szCs w:val="24"/>
        </w:rPr>
        <w:t>q</w:t>
      </w:r>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xml:space="preserve"> developing at an unstoppable rate, with new materials, applications, and design tools appearing on a regular basis. Customers are becoming more discerning and exacting; in addition to utility, they want responsiveness, sustainability, and cost-effectiveness. They look to engineers to be creative problem solvers who can provide novel solutions to particular problems and further their overarching business goals. Engineering companies are being pressured by the increased emphasis on sustainability to implement eco-friendly procedures, create renewable energy sources, and reduce their environmental effect. This calls for an adoption of circular economy ideas, greener technology, and conscientious resource management.</w:t>
      </w:r>
    </w:p>
    <w:p w14:paraId="303F1C13" w14:textId="77777777" w:rsidR="006913D2" w:rsidRDefault="006913D2">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F483593" w14:textId="4940F335" w:rsidR="000D1E45" w:rsidRDefault="006913D2" w:rsidP="006913D2">
      <w:pPr>
        <w:pStyle w:val="Heading1"/>
      </w:pPr>
      <w:bookmarkStart w:id="9" w:name="_Toc153975819"/>
      <w:r w:rsidRPr="006913D2">
        <w:lastRenderedPageBreak/>
        <w:t>References</w:t>
      </w:r>
      <w:bookmarkEnd w:id="9"/>
    </w:p>
    <w:p w14:paraId="1393764A" w14:textId="77777777" w:rsidR="00154DC0" w:rsidRPr="00154DC0" w:rsidRDefault="00154DC0" w:rsidP="00154DC0">
      <w:pPr>
        <w:spacing w:line="360" w:lineRule="auto"/>
        <w:jc w:val="both"/>
        <w:rPr>
          <w:rFonts w:ascii="Times New Roman" w:eastAsia="Times New Roman" w:hAnsi="Times New Roman" w:cs="Times New Roman"/>
          <w:sz w:val="24"/>
          <w:szCs w:val="24"/>
          <w:lang w:val="en-IN"/>
        </w:rPr>
      </w:pPr>
    </w:p>
    <w:p w14:paraId="1B2DB0AE" w14:textId="77777777" w:rsidR="00154DC0" w:rsidRPr="00154DC0" w:rsidRDefault="00154DC0" w:rsidP="00154DC0">
      <w:pPr>
        <w:spacing w:line="360" w:lineRule="auto"/>
        <w:jc w:val="both"/>
        <w:rPr>
          <w:rFonts w:ascii="Times New Roman" w:eastAsia="Times New Roman" w:hAnsi="Times New Roman" w:cs="Times New Roman"/>
          <w:sz w:val="24"/>
          <w:szCs w:val="24"/>
          <w:lang w:val="en-IN"/>
        </w:rPr>
      </w:pPr>
      <w:proofErr w:type="spellStart"/>
      <w:r w:rsidRPr="00154DC0">
        <w:rPr>
          <w:rFonts w:ascii="Times New Roman" w:eastAsia="Times New Roman" w:hAnsi="Times New Roman" w:cs="Times New Roman"/>
          <w:color w:val="222222"/>
          <w:sz w:val="24"/>
          <w:szCs w:val="24"/>
          <w:shd w:val="clear" w:color="auto" w:fill="FFFFFF"/>
          <w:lang w:val="en-IN"/>
        </w:rPr>
        <w:t>Achinas</w:t>
      </w:r>
      <w:proofErr w:type="spellEnd"/>
      <w:r w:rsidRPr="00154DC0">
        <w:rPr>
          <w:rFonts w:ascii="Times New Roman" w:eastAsia="Times New Roman" w:hAnsi="Times New Roman" w:cs="Times New Roman"/>
          <w:color w:val="222222"/>
          <w:sz w:val="24"/>
          <w:szCs w:val="24"/>
          <w:shd w:val="clear" w:color="auto" w:fill="FFFFFF"/>
          <w:lang w:val="en-IN"/>
        </w:rPr>
        <w:t xml:space="preserve">, S., </w:t>
      </w:r>
      <w:proofErr w:type="spellStart"/>
      <w:r w:rsidRPr="00154DC0">
        <w:rPr>
          <w:rFonts w:ascii="Times New Roman" w:eastAsia="Times New Roman" w:hAnsi="Times New Roman" w:cs="Times New Roman"/>
          <w:color w:val="222222"/>
          <w:sz w:val="24"/>
          <w:szCs w:val="24"/>
          <w:shd w:val="clear" w:color="auto" w:fill="FFFFFF"/>
          <w:lang w:val="en-IN"/>
        </w:rPr>
        <w:t>Horjus</w:t>
      </w:r>
      <w:proofErr w:type="spellEnd"/>
      <w:r w:rsidRPr="00154DC0">
        <w:rPr>
          <w:rFonts w:ascii="Times New Roman" w:eastAsia="Times New Roman" w:hAnsi="Times New Roman" w:cs="Times New Roman"/>
          <w:color w:val="222222"/>
          <w:sz w:val="24"/>
          <w:szCs w:val="24"/>
          <w:shd w:val="clear" w:color="auto" w:fill="FFFFFF"/>
          <w:lang w:val="en-IN"/>
        </w:rPr>
        <w:t xml:space="preserve">, J., </w:t>
      </w:r>
      <w:proofErr w:type="spellStart"/>
      <w:r w:rsidRPr="00154DC0">
        <w:rPr>
          <w:rFonts w:ascii="Times New Roman" w:eastAsia="Times New Roman" w:hAnsi="Times New Roman" w:cs="Times New Roman"/>
          <w:color w:val="222222"/>
          <w:sz w:val="24"/>
          <w:szCs w:val="24"/>
          <w:shd w:val="clear" w:color="auto" w:fill="FFFFFF"/>
          <w:lang w:val="en-IN"/>
        </w:rPr>
        <w:t>Achinas</w:t>
      </w:r>
      <w:proofErr w:type="spellEnd"/>
      <w:r w:rsidRPr="00154DC0">
        <w:rPr>
          <w:rFonts w:ascii="Times New Roman" w:eastAsia="Times New Roman" w:hAnsi="Times New Roman" w:cs="Times New Roman"/>
          <w:color w:val="222222"/>
          <w:sz w:val="24"/>
          <w:szCs w:val="24"/>
          <w:shd w:val="clear" w:color="auto" w:fill="FFFFFF"/>
          <w:lang w:val="en-IN"/>
        </w:rPr>
        <w:t xml:space="preserve">, V. and </w:t>
      </w:r>
      <w:proofErr w:type="spellStart"/>
      <w:r w:rsidRPr="00154DC0">
        <w:rPr>
          <w:rFonts w:ascii="Times New Roman" w:eastAsia="Times New Roman" w:hAnsi="Times New Roman" w:cs="Times New Roman"/>
          <w:color w:val="222222"/>
          <w:sz w:val="24"/>
          <w:szCs w:val="24"/>
          <w:shd w:val="clear" w:color="auto" w:fill="FFFFFF"/>
          <w:lang w:val="en-IN"/>
        </w:rPr>
        <w:t>Euverink</w:t>
      </w:r>
      <w:proofErr w:type="spellEnd"/>
      <w:r w:rsidRPr="00154DC0">
        <w:rPr>
          <w:rFonts w:ascii="Times New Roman" w:eastAsia="Times New Roman" w:hAnsi="Times New Roman" w:cs="Times New Roman"/>
          <w:color w:val="222222"/>
          <w:sz w:val="24"/>
          <w:szCs w:val="24"/>
          <w:shd w:val="clear" w:color="auto" w:fill="FFFFFF"/>
          <w:lang w:val="en-IN"/>
        </w:rPr>
        <w:t xml:space="preserve">, G.J.W., 2019. A PESTLE analysis of biofuels energy industry in Europe. </w:t>
      </w:r>
      <w:r w:rsidRPr="00154DC0">
        <w:rPr>
          <w:rFonts w:ascii="Times New Roman" w:eastAsia="Times New Roman" w:hAnsi="Times New Roman" w:cs="Times New Roman"/>
          <w:i/>
          <w:iCs/>
          <w:color w:val="222222"/>
          <w:sz w:val="24"/>
          <w:szCs w:val="24"/>
          <w:shd w:val="clear" w:color="auto" w:fill="FFFFFF"/>
          <w:lang w:val="en-IN"/>
        </w:rPr>
        <w:t>Sustainability</w:t>
      </w:r>
      <w:r w:rsidRPr="00154DC0">
        <w:rPr>
          <w:rFonts w:ascii="Times New Roman" w:eastAsia="Times New Roman" w:hAnsi="Times New Roman" w:cs="Times New Roman"/>
          <w:color w:val="222222"/>
          <w:sz w:val="24"/>
          <w:szCs w:val="24"/>
          <w:shd w:val="clear" w:color="auto" w:fill="FFFFFF"/>
          <w:lang w:val="en-IN"/>
        </w:rPr>
        <w:t xml:space="preserve">, </w:t>
      </w:r>
      <w:r w:rsidRPr="00154DC0">
        <w:rPr>
          <w:rFonts w:ascii="Times New Roman" w:eastAsia="Times New Roman" w:hAnsi="Times New Roman" w:cs="Times New Roman"/>
          <w:i/>
          <w:iCs/>
          <w:color w:val="222222"/>
          <w:sz w:val="24"/>
          <w:szCs w:val="24"/>
          <w:shd w:val="clear" w:color="auto" w:fill="FFFFFF"/>
          <w:lang w:val="en-IN"/>
        </w:rPr>
        <w:t>11</w:t>
      </w:r>
      <w:r w:rsidRPr="00154DC0">
        <w:rPr>
          <w:rFonts w:ascii="Times New Roman" w:eastAsia="Times New Roman" w:hAnsi="Times New Roman" w:cs="Times New Roman"/>
          <w:color w:val="222222"/>
          <w:sz w:val="24"/>
          <w:szCs w:val="24"/>
          <w:shd w:val="clear" w:color="auto" w:fill="FFFFFF"/>
          <w:lang w:val="en-IN"/>
        </w:rPr>
        <w:t>(21), p.5981.</w:t>
      </w:r>
    </w:p>
    <w:p w14:paraId="42DFB4BD" w14:textId="77777777" w:rsidR="00154DC0" w:rsidRPr="00154DC0" w:rsidRDefault="00154DC0" w:rsidP="00154DC0">
      <w:pPr>
        <w:spacing w:line="360" w:lineRule="auto"/>
        <w:jc w:val="both"/>
        <w:rPr>
          <w:rFonts w:ascii="Times New Roman" w:eastAsia="Times New Roman" w:hAnsi="Times New Roman" w:cs="Times New Roman"/>
          <w:sz w:val="24"/>
          <w:szCs w:val="24"/>
          <w:lang w:val="en-IN"/>
        </w:rPr>
      </w:pPr>
      <w:proofErr w:type="spellStart"/>
      <w:r w:rsidRPr="00154DC0">
        <w:rPr>
          <w:rFonts w:ascii="Times New Roman" w:eastAsia="Times New Roman" w:hAnsi="Times New Roman" w:cs="Times New Roman"/>
          <w:color w:val="222222"/>
          <w:sz w:val="24"/>
          <w:szCs w:val="24"/>
          <w:shd w:val="clear" w:color="auto" w:fill="FFFFFF"/>
          <w:lang w:val="en-IN"/>
        </w:rPr>
        <w:t>Anastasiu</w:t>
      </w:r>
      <w:proofErr w:type="spellEnd"/>
      <w:r w:rsidRPr="00154DC0">
        <w:rPr>
          <w:rFonts w:ascii="Times New Roman" w:eastAsia="Times New Roman" w:hAnsi="Times New Roman" w:cs="Times New Roman"/>
          <w:color w:val="222222"/>
          <w:sz w:val="24"/>
          <w:szCs w:val="24"/>
          <w:shd w:val="clear" w:color="auto" w:fill="FFFFFF"/>
          <w:lang w:val="en-IN"/>
        </w:rPr>
        <w:t xml:space="preserve">, L., </w:t>
      </w:r>
      <w:proofErr w:type="spellStart"/>
      <w:r w:rsidRPr="00154DC0">
        <w:rPr>
          <w:rFonts w:ascii="Times New Roman" w:eastAsia="Times New Roman" w:hAnsi="Times New Roman" w:cs="Times New Roman"/>
          <w:color w:val="222222"/>
          <w:sz w:val="24"/>
          <w:szCs w:val="24"/>
          <w:shd w:val="clear" w:color="auto" w:fill="FFFFFF"/>
          <w:lang w:val="en-IN"/>
        </w:rPr>
        <w:t>Gavriş</w:t>
      </w:r>
      <w:proofErr w:type="spellEnd"/>
      <w:r w:rsidRPr="00154DC0">
        <w:rPr>
          <w:rFonts w:ascii="Times New Roman" w:eastAsia="Times New Roman" w:hAnsi="Times New Roman" w:cs="Times New Roman"/>
          <w:color w:val="222222"/>
          <w:sz w:val="24"/>
          <w:szCs w:val="24"/>
          <w:shd w:val="clear" w:color="auto" w:fill="FFFFFF"/>
          <w:lang w:val="en-IN"/>
        </w:rPr>
        <w:t xml:space="preserve">, O. and Maier, D., 2020. Is human capital ready for change? A strategic approach adapting Porter’s five forces to human resources. </w:t>
      </w:r>
      <w:r w:rsidRPr="00154DC0">
        <w:rPr>
          <w:rFonts w:ascii="Times New Roman" w:eastAsia="Times New Roman" w:hAnsi="Times New Roman" w:cs="Times New Roman"/>
          <w:i/>
          <w:iCs/>
          <w:color w:val="222222"/>
          <w:sz w:val="24"/>
          <w:szCs w:val="24"/>
          <w:shd w:val="clear" w:color="auto" w:fill="FFFFFF"/>
          <w:lang w:val="en-IN"/>
        </w:rPr>
        <w:t>Sustainability</w:t>
      </w:r>
      <w:r w:rsidRPr="00154DC0">
        <w:rPr>
          <w:rFonts w:ascii="Times New Roman" w:eastAsia="Times New Roman" w:hAnsi="Times New Roman" w:cs="Times New Roman"/>
          <w:color w:val="222222"/>
          <w:sz w:val="24"/>
          <w:szCs w:val="24"/>
          <w:shd w:val="clear" w:color="auto" w:fill="FFFFFF"/>
          <w:lang w:val="en-IN"/>
        </w:rPr>
        <w:t xml:space="preserve">, </w:t>
      </w:r>
      <w:r w:rsidRPr="00154DC0">
        <w:rPr>
          <w:rFonts w:ascii="Times New Roman" w:eastAsia="Times New Roman" w:hAnsi="Times New Roman" w:cs="Times New Roman"/>
          <w:i/>
          <w:iCs/>
          <w:color w:val="222222"/>
          <w:sz w:val="24"/>
          <w:szCs w:val="24"/>
          <w:shd w:val="clear" w:color="auto" w:fill="FFFFFF"/>
          <w:lang w:val="en-IN"/>
        </w:rPr>
        <w:t>12</w:t>
      </w:r>
      <w:r w:rsidRPr="00154DC0">
        <w:rPr>
          <w:rFonts w:ascii="Times New Roman" w:eastAsia="Times New Roman" w:hAnsi="Times New Roman" w:cs="Times New Roman"/>
          <w:color w:val="222222"/>
          <w:sz w:val="24"/>
          <w:szCs w:val="24"/>
          <w:shd w:val="clear" w:color="auto" w:fill="FFFFFF"/>
          <w:lang w:val="en-IN"/>
        </w:rPr>
        <w:t>(6), p.2300.</w:t>
      </w:r>
    </w:p>
    <w:p w14:paraId="1B2592F9" w14:textId="77777777" w:rsidR="00154DC0" w:rsidRPr="00154DC0" w:rsidRDefault="00154DC0" w:rsidP="00154DC0">
      <w:pPr>
        <w:spacing w:line="360" w:lineRule="auto"/>
        <w:jc w:val="both"/>
        <w:rPr>
          <w:rFonts w:ascii="Times New Roman" w:eastAsia="Times New Roman" w:hAnsi="Times New Roman" w:cs="Times New Roman"/>
          <w:sz w:val="24"/>
          <w:szCs w:val="24"/>
          <w:lang w:val="en-IN"/>
        </w:rPr>
      </w:pPr>
      <w:r w:rsidRPr="00154DC0">
        <w:rPr>
          <w:rFonts w:ascii="Times New Roman" w:eastAsia="Times New Roman" w:hAnsi="Times New Roman" w:cs="Times New Roman"/>
          <w:color w:val="222222"/>
          <w:sz w:val="24"/>
          <w:szCs w:val="24"/>
          <w:shd w:val="clear" w:color="auto" w:fill="FFFFFF"/>
          <w:lang w:val="en-IN"/>
        </w:rPr>
        <w:t xml:space="preserve">Appiah, M.K., </w:t>
      </w:r>
      <w:proofErr w:type="spellStart"/>
      <w:r w:rsidRPr="00154DC0">
        <w:rPr>
          <w:rFonts w:ascii="Times New Roman" w:eastAsia="Times New Roman" w:hAnsi="Times New Roman" w:cs="Times New Roman"/>
          <w:color w:val="222222"/>
          <w:sz w:val="24"/>
          <w:szCs w:val="24"/>
          <w:shd w:val="clear" w:color="auto" w:fill="FFFFFF"/>
          <w:lang w:val="en-IN"/>
        </w:rPr>
        <w:t>Sedegah</w:t>
      </w:r>
      <w:proofErr w:type="spellEnd"/>
      <w:r w:rsidRPr="00154DC0">
        <w:rPr>
          <w:rFonts w:ascii="Times New Roman" w:eastAsia="Times New Roman" w:hAnsi="Times New Roman" w:cs="Times New Roman"/>
          <w:color w:val="222222"/>
          <w:sz w:val="24"/>
          <w:szCs w:val="24"/>
          <w:shd w:val="clear" w:color="auto" w:fill="FFFFFF"/>
          <w:lang w:val="en-IN"/>
        </w:rPr>
        <w:t xml:space="preserve">, D.D. and </w:t>
      </w:r>
      <w:proofErr w:type="spellStart"/>
      <w:r w:rsidRPr="00154DC0">
        <w:rPr>
          <w:rFonts w:ascii="Times New Roman" w:eastAsia="Times New Roman" w:hAnsi="Times New Roman" w:cs="Times New Roman"/>
          <w:color w:val="222222"/>
          <w:sz w:val="24"/>
          <w:szCs w:val="24"/>
          <w:shd w:val="clear" w:color="auto" w:fill="FFFFFF"/>
          <w:lang w:val="en-IN"/>
        </w:rPr>
        <w:t>Akolaa</w:t>
      </w:r>
      <w:proofErr w:type="spellEnd"/>
      <w:r w:rsidRPr="00154DC0">
        <w:rPr>
          <w:rFonts w:ascii="Times New Roman" w:eastAsia="Times New Roman" w:hAnsi="Times New Roman" w:cs="Times New Roman"/>
          <w:color w:val="222222"/>
          <w:sz w:val="24"/>
          <w:szCs w:val="24"/>
          <w:shd w:val="clear" w:color="auto" w:fill="FFFFFF"/>
          <w:lang w:val="en-IN"/>
        </w:rPr>
        <w:t xml:space="preserve">, R.A., 2021. The implications of macroenvironmental forces and SMEs investment behaviour in the energy sector: the role of supply chain resilience. </w:t>
      </w:r>
      <w:proofErr w:type="spellStart"/>
      <w:r w:rsidRPr="00154DC0">
        <w:rPr>
          <w:rFonts w:ascii="Times New Roman" w:eastAsia="Times New Roman" w:hAnsi="Times New Roman" w:cs="Times New Roman"/>
          <w:i/>
          <w:iCs/>
          <w:color w:val="222222"/>
          <w:sz w:val="24"/>
          <w:szCs w:val="24"/>
          <w:shd w:val="clear" w:color="auto" w:fill="FFFFFF"/>
          <w:lang w:val="en-IN"/>
        </w:rPr>
        <w:t>Heliyon</w:t>
      </w:r>
      <w:proofErr w:type="spellEnd"/>
      <w:r w:rsidRPr="00154DC0">
        <w:rPr>
          <w:rFonts w:ascii="Times New Roman" w:eastAsia="Times New Roman" w:hAnsi="Times New Roman" w:cs="Times New Roman"/>
          <w:color w:val="222222"/>
          <w:sz w:val="24"/>
          <w:szCs w:val="24"/>
          <w:shd w:val="clear" w:color="auto" w:fill="FFFFFF"/>
          <w:lang w:val="en-IN"/>
        </w:rPr>
        <w:t xml:space="preserve">, </w:t>
      </w:r>
      <w:r w:rsidRPr="00154DC0">
        <w:rPr>
          <w:rFonts w:ascii="Times New Roman" w:eastAsia="Times New Roman" w:hAnsi="Times New Roman" w:cs="Times New Roman"/>
          <w:i/>
          <w:iCs/>
          <w:color w:val="222222"/>
          <w:sz w:val="24"/>
          <w:szCs w:val="24"/>
          <w:shd w:val="clear" w:color="auto" w:fill="FFFFFF"/>
          <w:lang w:val="en-IN"/>
        </w:rPr>
        <w:t>7</w:t>
      </w:r>
      <w:r w:rsidRPr="00154DC0">
        <w:rPr>
          <w:rFonts w:ascii="Times New Roman" w:eastAsia="Times New Roman" w:hAnsi="Times New Roman" w:cs="Times New Roman"/>
          <w:color w:val="222222"/>
          <w:sz w:val="24"/>
          <w:szCs w:val="24"/>
          <w:shd w:val="clear" w:color="auto" w:fill="FFFFFF"/>
          <w:lang w:val="en-IN"/>
        </w:rPr>
        <w:t>(11).</w:t>
      </w:r>
    </w:p>
    <w:p w14:paraId="0B842BE8" w14:textId="77777777" w:rsidR="00154DC0" w:rsidRPr="00154DC0" w:rsidRDefault="00154DC0" w:rsidP="00154DC0">
      <w:pPr>
        <w:spacing w:line="360" w:lineRule="auto"/>
        <w:jc w:val="both"/>
        <w:rPr>
          <w:rFonts w:ascii="Times New Roman" w:eastAsia="Times New Roman" w:hAnsi="Times New Roman" w:cs="Times New Roman"/>
          <w:sz w:val="24"/>
          <w:szCs w:val="24"/>
          <w:lang w:val="en-IN"/>
        </w:rPr>
      </w:pPr>
      <w:proofErr w:type="spellStart"/>
      <w:r w:rsidRPr="00154DC0">
        <w:rPr>
          <w:rFonts w:ascii="Times New Roman" w:eastAsia="Times New Roman" w:hAnsi="Times New Roman" w:cs="Times New Roman"/>
          <w:color w:val="222222"/>
          <w:sz w:val="24"/>
          <w:szCs w:val="24"/>
          <w:shd w:val="clear" w:color="auto" w:fill="FFFFFF"/>
          <w:lang w:val="en-IN"/>
        </w:rPr>
        <w:t>Benzaghta</w:t>
      </w:r>
      <w:proofErr w:type="spellEnd"/>
      <w:r w:rsidRPr="00154DC0">
        <w:rPr>
          <w:rFonts w:ascii="Times New Roman" w:eastAsia="Times New Roman" w:hAnsi="Times New Roman" w:cs="Times New Roman"/>
          <w:color w:val="222222"/>
          <w:sz w:val="24"/>
          <w:szCs w:val="24"/>
          <w:shd w:val="clear" w:color="auto" w:fill="FFFFFF"/>
          <w:lang w:val="en-IN"/>
        </w:rPr>
        <w:t xml:space="preserve">, M.A., </w:t>
      </w:r>
      <w:proofErr w:type="spellStart"/>
      <w:r w:rsidRPr="00154DC0">
        <w:rPr>
          <w:rFonts w:ascii="Times New Roman" w:eastAsia="Times New Roman" w:hAnsi="Times New Roman" w:cs="Times New Roman"/>
          <w:color w:val="222222"/>
          <w:sz w:val="24"/>
          <w:szCs w:val="24"/>
          <w:shd w:val="clear" w:color="auto" w:fill="FFFFFF"/>
          <w:lang w:val="en-IN"/>
        </w:rPr>
        <w:t>Elwalda</w:t>
      </w:r>
      <w:proofErr w:type="spellEnd"/>
      <w:r w:rsidRPr="00154DC0">
        <w:rPr>
          <w:rFonts w:ascii="Times New Roman" w:eastAsia="Times New Roman" w:hAnsi="Times New Roman" w:cs="Times New Roman"/>
          <w:color w:val="222222"/>
          <w:sz w:val="24"/>
          <w:szCs w:val="24"/>
          <w:shd w:val="clear" w:color="auto" w:fill="FFFFFF"/>
          <w:lang w:val="en-IN"/>
        </w:rPr>
        <w:t xml:space="preserve">, A., Mousa, M.M., Erkan, I. and Rahman, M., 2021. SWOT analysis applications: An integrative literature review. </w:t>
      </w:r>
      <w:r w:rsidRPr="00154DC0">
        <w:rPr>
          <w:rFonts w:ascii="Times New Roman" w:eastAsia="Times New Roman" w:hAnsi="Times New Roman" w:cs="Times New Roman"/>
          <w:i/>
          <w:iCs/>
          <w:color w:val="222222"/>
          <w:sz w:val="24"/>
          <w:szCs w:val="24"/>
          <w:shd w:val="clear" w:color="auto" w:fill="FFFFFF"/>
          <w:lang w:val="en-IN"/>
        </w:rPr>
        <w:t>Journal of Global Business Insights</w:t>
      </w:r>
      <w:r w:rsidRPr="00154DC0">
        <w:rPr>
          <w:rFonts w:ascii="Times New Roman" w:eastAsia="Times New Roman" w:hAnsi="Times New Roman" w:cs="Times New Roman"/>
          <w:color w:val="222222"/>
          <w:sz w:val="24"/>
          <w:szCs w:val="24"/>
          <w:shd w:val="clear" w:color="auto" w:fill="FFFFFF"/>
          <w:lang w:val="en-IN"/>
        </w:rPr>
        <w:t xml:space="preserve">, </w:t>
      </w:r>
      <w:r w:rsidRPr="00154DC0">
        <w:rPr>
          <w:rFonts w:ascii="Times New Roman" w:eastAsia="Times New Roman" w:hAnsi="Times New Roman" w:cs="Times New Roman"/>
          <w:i/>
          <w:iCs/>
          <w:color w:val="222222"/>
          <w:sz w:val="24"/>
          <w:szCs w:val="24"/>
          <w:shd w:val="clear" w:color="auto" w:fill="FFFFFF"/>
          <w:lang w:val="en-IN"/>
        </w:rPr>
        <w:t>6</w:t>
      </w:r>
      <w:r w:rsidRPr="00154DC0">
        <w:rPr>
          <w:rFonts w:ascii="Times New Roman" w:eastAsia="Times New Roman" w:hAnsi="Times New Roman" w:cs="Times New Roman"/>
          <w:color w:val="222222"/>
          <w:sz w:val="24"/>
          <w:szCs w:val="24"/>
          <w:shd w:val="clear" w:color="auto" w:fill="FFFFFF"/>
          <w:lang w:val="en-IN"/>
        </w:rPr>
        <w:t>(1), pp.55-73.</w:t>
      </w:r>
    </w:p>
    <w:p w14:paraId="689527C3" w14:textId="77777777" w:rsidR="00154DC0" w:rsidRPr="00154DC0" w:rsidRDefault="00154DC0" w:rsidP="00154DC0">
      <w:pPr>
        <w:spacing w:line="360" w:lineRule="auto"/>
        <w:jc w:val="both"/>
        <w:rPr>
          <w:rFonts w:ascii="Times New Roman" w:eastAsia="Times New Roman" w:hAnsi="Times New Roman" w:cs="Times New Roman"/>
          <w:sz w:val="24"/>
          <w:szCs w:val="24"/>
          <w:lang w:val="en-IN"/>
        </w:rPr>
      </w:pPr>
      <w:r w:rsidRPr="00154DC0">
        <w:rPr>
          <w:rFonts w:ascii="Times New Roman" w:eastAsia="Times New Roman" w:hAnsi="Times New Roman" w:cs="Times New Roman"/>
          <w:color w:val="222222"/>
          <w:sz w:val="24"/>
          <w:szCs w:val="24"/>
          <w:shd w:val="clear" w:color="auto" w:fill="FFFFFF"/>
          <w:lang w:val="en-IN"/>
        </w:rPr>
        <w:t xml:space="preserve">Christodoulou, A. and Cullinane, K., 2019. Identifying the main opportunities and challenges from the implementation of a port energy management system: A SWOT/PESTLE analysis. </w:t>
      </w:r>
      <w:r w:rsidRPr="00154DC0">
        <w:rPr>
          <w:rFonts w:ascii="Times New Roman" w:eastAsia="Times New Roman" w:hAnsi="Times New Roman" w:cs="Times New Roman"/>
          <w:i/>
          <w:iCs/>
          <w:color w:val="222222"/>
          <w:sz w:val="24"/>
          <w:szCs w:val="24"/>
          <w:shd w:val="clear" w:color="auto" w:fill="FFFFFF"/>
          <w:lang w:val="en-IN"/>
        </w:rPr>
        <w:t>Sustainability</w:t>
      </w:r>
      <w:r w:rsidRPr="00154DC0">
        <w:rPr>
          <w:rFonts w:ascii="Times New Roman" w:eastAsia="Times New Roman" w:hAnsi="Times New Roman" w:cs="Times New Roman"/>
          <w:color w:val="222222"/>
          <w:sz w:val="24"/>
          <w:szCs w:val="24"/>
          <w:shd w:val="clear" w:color="auto" w:fill="FFFFFF"/>
          <w:lang w:val="en-IN"/>
        </w:rPr>
        <w:t xml:space="preserve">, </w:t>
      </w:r>
      <w:r w:rsidRPr="00154DC0">
        <w:rPr>
          <w:rFonts w:ascii="Times New Roman" w:eastAsia="Times New Roman" w:hAnsi="Times New Roman" w:cs="Times New Roman"/>
          <w:i/>
          <w:iCs/>
          <w:color w:val="222222"/>
          <w:sz w:val="24"/>
          <w:szCs w:val="24"/>
          <w:shd w:val="clear" w:color="auto" w:fill="FFFFFF"/>
          <w:lang w:val="en-IN"/>
        </w:rPr>
        <w:t>11</w:t>
      </w:r>
      <w:r w:rsidRPr="00154DC0">
        <w:rPr>
          <w:rFonts w:ascii="Times New Roman" w:eastAsia="Times New Roman" w:hAnsi="Times New Roman" w:cs="Times New Roman"/>
          <w:color w:val="222222"/>
          <w:sz w:val="24"/>
          <w:szCs w:val="24"/>
          <w:shd w:val="clear" w:color="auto" w:fill="FFFFFF"/>
          <w:lang w:val="en-IN"/>
        </w:rPr>
        <w:t>(21), p.6046.</w:t>
      </w:r>
    </w:p>
    <w:p w14:paraId="3D2364CB" w14:textId="77777777" w:rsidR="00154DC0" w:rsidRPr="00154DC0" w:rsidRDefault="00154DC0" w:rsidP="00154DC0">
      <w:pPr>
        <w:spacing w:line="360" w:lineRule="auto"/>
        <w:jc w:val="both"/>
        <w:rPr>
          <w:rFonts w:ascii="Times New Roman" w:eastAsia="Times New Roman" w:hAnsi="Times New Roman" w:cs="Times New Roman"/>
          <w:sz w:val="24"/>
          <w:szCs w:val="24"/>
          <w:lang w:val="en-IN"/>
        </w:rPr>
      </w:pPr>
      <w:r w:rsidRPr="00154DC0">
        <w:rPr>
          <w:rFonts w:ascii="Times New Roman" w:eastAsia="Times New Roman" w:hAnsi="Times New Roman" w:cs="Times New Roman"/>
          <w:color w:val="222222"/>
          <w:sz w:val="24"/>
          <w:szCs w:val="24"/>
          <w:shd w:val="clear" w:color="auto" w:fill="FFFFFF"/>
          <w:lang w:val="en-IN"/>
        </w:rPr>
        <w:t xml:space="preserve">George, B., Walker, R.M. and Monster, J., 2019. Does strategic planning improve organizational performance? A meta‐analysis. </w:t>
      </w:r>
      <w:r w:rsidRPr="00154DC0">
        <w:rPr>
          <w:rFonts w:ascii="Times New Roman" w:eastAsia="Times New Roman" w:hAnsi="Times New Roman" w:cs="Times New Roman"/>
          <w:i/>
          <w:iCs/>
          <w:color w:val="222222"/>
          <w:sz w:val="24"/>
          <w:szCs w:val="24"/>
          <w:shd w:val="clear" w:color="auto" w:fill="FFFFFF"/>
          <w:lang w:val="en-IN"/>
        </w:rPr>
        <w:t>Public Administration Review</w:t>
      </w:r>
      <w:r w:rsidRPr="00154DC0">
        <w:rPr>
          <w:rFonts w:ascii="Times New Roman" w:eastAsia="Times New Roman" w:hAnsi="Times New Roman" w:cs="Times New Roman"/>
          <w:color w:val="222222"/>
          <w:sz w:val="24"/>
          <w:szCs w:val="24"/>
          <w:shd w:val="clear" w:color="auto" w:fill="FFFFFF"/>
          <w:lang w:val="en-IN"/>
        </w:rPr>
        <w:t xml:space="preserve">, </w:t>
      </w:r>
      <w:r w:rsidRPr="00154DC0">
        <w:rPr>
          <w:rFonts w:ascii="Times New Roman" w:eastAsia="Times New Roman" w:hAnsi="Times New Roman" w:cs="Times New Roman"/>
          <w:i/>
          <w:iCs/>
          <w:color w:val="222222"/>
          <w:sz w:val="24"/>
          <w:szCs w:val="24"/>
          <w:shd w:val="clear" w:color="auto" w:fill="FFFFFF"/>
          <w:lang w:val="en-IN"/>
        </w:rPr>
        <w:t>79</w:t>
      </w:r>
      <w:r w:rsidRPr="00154DC0">
        <w:rPr>
          <w:rFonts w:ascii="Times New Roman" w:eastAsia="Times New Roman" w:hAnsi="Times New Roman" w:cs="Times New Roman"/>
          <w:color w:val="222222"/>
          <w:sz w:val="24"/>
          <w:szCs w:val="24"/>
          <w:shd w:val="clear" w:color="auto" w:fill="FFFFFF"/>
          <w:lang w:val="en-IN"/>
        </w:rPr>
        <w:t>(6), pp.810-819.</w:t>
      </w:r>
    </w:p>
    <w:p w14:paraId="11DE8A61" w14:textId="77777777" w:rsidR="00154DC0" w:rsidRPr="00154DC0" w:rsidRDefault="00154DC0" w:rsidP="00154DC0">
      <w:pPr>
        <w:spacing w:line="360" w:lineRule="auto"/>
        <w:jc w:val="both"/>
        <w:rPr>
          <w:rFonts w:ascii="Times New Roman" w:eastAsia="Times New Roman" w:hAnsi="Times New Roman" w:cs="Times New Roman"/>
          <w:sz w:val="24"/>
          <w:szCs w:val="24"/>
          <w:lang w:val="en-IN"/>
        </w:rPr>
      </w:pPr>
      <w:r w:rsidRPr="00154DC0">
        <w:rPr>
          <w:rFonts w:ascii="Times New Roman" w:eastAsia="Times New Roman" w:hAnsi="Times New Roman" w:cs="Times New Roman"/>
          <w:color w:val="000000"/>
          <w:sz w:val="24"/>
          <w:szCs w:val="24"/>
          <w:lang w:val="en-IN"/>
        </w:rPr>
        <w:t xml:space="preserve">IMI PLC 2023. What We Do [online]. Available at : </w:t>
      </w:r>
      <w:hyperlink r:id="rId6" w:history="1">
        <w:r w:rsidRPr="00154DC0">
          <w:rPr>
            <w:rFonts w:ascii="Times New Roman" w:eastAsia="Times New Roman" w:hAnsi="Times New Roman" w:cs="Times New Roman"/>
            <w:color w:val="1155CC"/>
            <w:sz w:val="24"/>
            <w:szCs w:val="24"/>
            <w:u w:val="single"/>
            <w:lang w:val="en-IN"/>
          </w:rPr>
          <w:t>https://www.imiplc.com/what-we-do</w:t>
        </w:r>
      </w:hyperlink>
      <w:r w:rsidRPr="00154DC0">
        <w:rPr>
          <w:rFonts w:ascii="Times New Roman" w:eastAsia="Times New Roman" w:hAnsi="Times New Roman" w:cs="Times New Roman"/>
          <w:color w:val="000000"/>
          <w:sz w:val="24"/>
          <w:szCs w:val="24"/>
          <w:lang w:val="en-IN"/>
        </w:rPr>
        <w:t xml:space="preserve"> (Accessed on 04 December 2023)</w:t>
      </w:r>
    </w:p>
    <w:p w14:paraId="216F5B6B" w14:textId="77777777" w:rsidR="00154DC0" w:rsidRPr="00154DC0" w:rsidRDefault="00154DC0" w:rsidP="00154DC0">
      <w:pPr>
        <w:spacing w:line="360" w:lineRule="auto"/>
        <w:jc w:val="both"/>
        <w:rPr>
          <w:rFonts w:ascii="Times New Roman" w:eastAsia="Times New Roman" w:hAnsi="Times New Roman" w:cs="Times New Roman"/>
          <w:sz w:val="24"/>
          <w:szCs w:val="24"/>
          <w:lang w:val="en-IN"/>
        </w:rPr>
      </w:pPr>
      <w:r w:rsidRPr="00154DC0">
        <w:rPr>
          <w:rFonts w:ascii="Times New Roman" w:eastAsia="Times New Roman" w:hAnsi="Times New Roman" w:cs="Times New Roman"/>
          <w:color w:val="000000"/>
          <w:sz w:val="24"/>
          <w:szCs w:val="24"/>
          <w:lang w:val="en-IN"/>
        </w:rPr>
        <w:t>IMI Strategy 2023. Our Purpose led strategy [online]. Available at :</w:t>
      </w:r>
      <w:hyperlink r:id="rId7" w:history="1">
        <w:r w:rsidRPr="00154DC0">
          <w:rPr>
            <w:rFonts w:ascii="Times New Roman" w:eastAsia="Times New Roman" w:hAnsi="Times New Roman" w:cs="Times New Roman"/>
            <w:color w:val="1155CC"/>
            <w:sz w:val="24"/>
            <w:szCs w:val="24"/>
            <w:u w:val="single"/>
            <w:lang w:val="en-IN"/>
          </w:rPr>
          <w:t>https://www.imiplc.com/what-we-do/imi-action/creating-value-energy</w:t>
        </w:r>
      </w:hyperlink>
      <w:r w:rsidRPr="00154DC0">
        <w:rPr>
          <w:rFonts w:ascii="Times New Roman" w:eastAsia="Times New Roman" w:hAnsi="Times New Roman" w:cs="Times New Roman"/>
          <w:color w:val="000000"/>
          <w:sz w:val="24"/>
          <w:szCs w:val="24"/>
          <w:lang w:val="en-IN"/>
        </w:rPr>
        <w:t xml:space="preserve"> (Accessed on 4 November 2023)</w:t>
      </w:r>
    </w:p>
    <w:p w14:paraId="4812E9D8" w14:textId="77777777" w:rsidR="00154DC0" w:rsidRPr="00154DC0" w:rsidRDefault="00154DC0" w:rsidP="00154DC0">
      <w:pPr>
        <w:spacing w:line="360" w:lineRule="auto"/>
        <w:jc w:val="both"/>
        <w:rPr>
          <w:rFonts w:ascii="Times New Roman" w:eastAsia="Times New Roman" w:hAnsi="Times New Roman" w:cs="Times New Roman"/>
          <w:sz w:val="24"/>
          <w:szCs w:val="24"/>
          <w:lang w:val="en-IN"/>
        </w:rPr>
      </w:pPr>
      <w:r w:rsidRPr="00154DC0">
        <w:rPr>
          <w:rFonts w:ascii="Times New Roman" w:eastAsia="Times New Roman" w:hAnsi="Times New Roman" w:cs="Times New Roman"/>
          <w:color w:val="222222"/>
          <w:sz w:val="24"/>
          <w:szCs w:val="24"/>
          <w:shd w:val="clear" w:color="auto" w:fill="FFFFFF"/>
          <w:lang w:val="en-IN"/>
        </w:rPr>
        <w:t xml:space="preserve">Irfan, M., Zhao, Z.Y., Ahmad, M., Batool, K., Jan, A. and </w:t>
      </w:r>
      <w:proofErr w:type="spellStart"/>
      <w:r w:rsidRPr="00154DC0">
        <w:rPr>
          <w:rFonts w:ascii="Times New Roman" w:eastAsia="Times New Roman" w:hAnsi="Times New Roman" w:cs="Times New Roman"/>
          <w:color w:val="222222"/>
          <w:sz w:val="24"/>
          <w:szCs w:val="24"/>
          <w:shd w:val="clear" w:color="auto" w:fill="FFFFFF"/>
          <w:lang w:val="en-IN"/>
        </w:rPr>
        <w:t>Mukeshimana</w:t>
      </w:r>
      <w:proofErr w:type="spellEnd"/>
      <w:r w:rsidRPr="00154DC0">
        <w:rPr>
          <w:rFonts w:ascii="Times New Roman" w:eastAsia="Times New Roman" w:hAnsi="Times New Roman" w:cs="Times New Roman"/>
          <w:color w:val="222222"/>
          <w:sz w:val="24"/>
          <w:szCs w:val="24"/>
          <w:shd w:val="clear" w:color="auto" w:fill="FFFFFF"/>
          <w:lang w:val="en-IN"/>
        </w:rPr>
        <w:t xml:space="preserve">, M.C., 2019. Competitive assessment of Indian wind power industry: a five forces model. </w:t>
      </w:r>
      <w:r w:rsidRPr="00154DC0">
        <w:rPr>
          <w:rFonts w:ascii="Times New Roman" w:eastAsia="Times New Roman" w:hAnsi="Times New Roman" w:cs="Times New Roman"/>
          <w:i/>
          <w:iCs/>
          <w:color w:val="222222"/>
          <w:sz w:val="24"/>
          <w:szCs w:val="24"/>
          <w:shd w:val="clear" w:color="auto" w:fill="FFFFFF"/>
          <w:lang w:val="en-IN"/>
        </w:rPr>
        <w:t>Journal of Renewable and Sustainable Energy</w:t>
      </w:r>
      <w:r w:rsidRPr="00154DC0">
        <w:rPr>
          <w:rFonts w:ascii="Times New Roman" w:eastAsia="Times New Roman" w:hAnsi="Times New Roman" w:cs="Times New Roman"/>
          <w:color w:val="222222"/>
          <w:sz w:val="24"/>
          <w:szCs w:val="24"/>
          <w:shd w:val="clear" w:color="auto" w:fill="FFFFFF"/>
          <w:lang w:val="en-IN"/>
        </w:rPr>
        <w:t xml:space="preserve">, </w:t>
      </w:r>
      <w:r w:rsidRPr="00154DC0">
        <w:rPr>
          <w:rFonts w:ascii="Times New Roman" w:eastAsia="Times New Roman" w:hAnsi="Times New Roman" w:cs="Times New Roman"/>
          <w:i/>
          <w:iCs/>
          <w:color w:val="222222"/>
          <w:sz w:val="24"/>
          <w:szCs w:val="24"/>
          <w:shd w:val="clear" w:color="auto" w:fill="FFFFFF"/>
          <w:lang w:val="en-IN"/>
        </w:rPr>
        <w:t>11</w:t>
      </w:r>
      <w:r w:rsidRPr="00154DC0">
        <w:rPr>
          <w:rFonts w:ascii="Times New Roman" w:eastAsia="Times New Roman" w:hAnsi="Times New Roman" w:cs="Times New Roman"/>
          <w:color w:val="222222"/>
          <w:sz w:val="24"/>
          <w:szCs w:val="24"/>
          <w:shd w:val="clear" w:color="auto" w:fill="FFFFFF"/>
          <w:lang w:val="en-IN"/>
        </w:rPr>
        <w:t>(6).</w:t>
      </w:r>
    </w:p>
    <w:p w14:paraId="18A1D25F" w14:textId="77777777" w:rsidR="00154DC0" w:rsidRPr="00154DC0" w:rsidRDefault="00154DC0" w:rsidP="00154DC0">
      <w:pPr>
        <w:spacing w:line="360" w:lineRule="auto"/>
        <w:jc w:val="both"/>
        <w:rPr>
          <w:rFonts w:ascii="Times New Roman" w:eastAsia="Times New Roman" w:hAnsi="Times New Roman" w:cs="Times New Roman"/>
          <w:sz w:val="24"/>
          <w:szCs w:val="24"/>
          <w:lang w:val="en-IN"/>
        </w:rPr>
      </w:pPr>
      <w:r w:rsidRPr="00154DC0">
        <w:rPr>
          <w:rFonts w:ascii="Times New Roman" w:eastAsia="Times New Roman" w:hAnsi="Times New Roman" w:cs="Times New Roman"/>
          <w:color w:val="222222"/>
          <w:sz w:val="24"/>
          <w:szCs w:val="24"/>
          <w:shd w:val="clear" w:color="auto" w:fill="FFFFFF"/>
          <w:lang w:val="en-IN"/>
        </w:rPr>
        <w:t xml:space="preserve">Jelonek, D., Tien, N.H., Dao, M.T.H. and Minh, D.T., 2022. Comparative analysis of business strategy of Vietnamese real estate developers: the use of Hoffer matrix. </w:t>
      </w:r>
      <w:r w:rsidRPr="00154DC0">
        <w:rPr>
          <w:rFonts w:ascii="Times New Roman" w:eastAsia="Times New Roman" w:hAnsi="Times New Roman" w:cs="Times New Roman"/>
          <w:i/>
          <w:iCs/>
          <w:color w:val="222222"/>
          <w:sz w:val="24"/>
          <w:szCs w:val="24"/>
          <w:shd w:val="clear" w:color="auto" w:fill="FFFFFF"/>
          <w:lang w:val="en-IN"/>
        </w:rPr>
        <w:t>International journal of multidisciplinary research and growth evaluation</w:t>
      </w:r>
      <w:r w:rsidRPr="00154DC0">
        <w:rPr>
          <w:rFonts w:ascii="Times New Roman" w:eastAsia="Times New Roman" w:hAnsi="Times New Roman" w:cs="Times New Roman"/>
          <w:color w:val="222222"/>
          <w:sz w:val="24"/>
          <w:szCs w:val="24"/>
          <w:shd w:val="clear" w:color="auto" w:fill="FFFFFF"/>
          <w:lang w:val="en-IN"/>
        </w:rPr>
        <w:t xml:space="preserve">, </w:t>
      </w:r>
      <w:r w:rsidRPr="00154DC0">
        <w:rPr>
          <w:rFonts w:ascii="Times New Roman" w:eastAsia="Times New Roman" w:hAnsi="Times New Roman" w:cs="Times New Roman"/>
          <w:i/>
          <w:iCs/>
          <w:color w:val="222222"/>
          <w:sz w:val="24"/>
          <w:szCs w:val="24"/>
          <w:shd w:val="clear" w:color="auto" w:fill="FFFFFF"/>
          <w:lang w:val="en-IN"/>
        </w:rPr>
        <w:t>3</w:t>
      </w:r>
      <w:r w:rsidRPr="00154DC0">
        <w:rPr>
          <w:rFonts w:ascii="Times New Roman" w:eastAsia="Times New Roman" w:hAnsi="Times New Roman" w:cs="Times New Roman"/>
          <w:color w:val="222222"/>
          <w:sz w:val="24"/>
          <w:szCs w:val="24"/>
          <w:shd w:val="clear" w:color="auto" w:fill="FFFFFF"/>
          <w:lang w:val="en-IN"/>
        </w:rPr>
        <w:t>(1), pp.197-204.</w:t>
      </w:r>
    </w:p>
    <w:p w14:paraId="13104441" w14:textId="77777777" w:rsidR="00154DC0" w:rsidRPr="00154DC0" w:rsidRDefault="00154DC0" w:rsidP="00154DC0">
      <w:pPr>
        <w:spacing w:line="360" w:lineRule="auto"/>
        <w:jc w:val="both"/>
        <w:rPr>
          <w:rFonts w:ascii="Times New Roman" w:eastAsia="Times New Roman" w:hAnsi="Times New Roman" w:cs="Times New Roman"/>
          <w:sz w:val="24"/>
          <w:szCs w:val="24"/>
          <w:lang w:val="en-IN"/>
        </w:rPr>
      </w:pPr>
      <w:proofErr w:type="spellStart"/>
      <w:r w:rsidRPr="00154DC0">
        <w:rPr>
          <w:rFonts w:ascii="Times New Roman" w:eastAsia="Times New Roman" w:hAnsi="Times New Roman" w:cs="Times New Roman"/>
          <w:color w:val="222222"/>
          <w:sz w:val="24"/>
          <w:szCs w:val="24"/>
          <w:shd w:val="clear" w:color="auto" w:fill="FFFFFF"/>
          <w:lang w:val="en-IN"/>
        </w:rPr>
        <w:t>Kabeyi</w:t>
      </w:r>
      <w:proofErr w:type="spellEnd"/>
      <w:r w:rsidRPr="00154DC0">
        <w:rPr>
          <w:rFonts w:ascii="Times New Roman" w:eastAsia="Times New Roman" w:hAnsi="Times New Roman" w:cs="Times New Roman"/>
          <w:color w:val="222222"/>
          <w:sz w:val="24"/>
          <w:szCs w:val="24"/>
          <w:shd w:val="clear" w:color="auto" w:fill="FFFFFF"/>
          <w:lang w:val="en-IN"/>
        </w:rPr>
        <w:t xml:space="preserve">, M., 2019. Organizational strategic planning, implementation and evaluation with analysis of challenges and benefits. </w:t>
      </w:r>
      <w:r w:rsidRPr="00154DC0">
        <w:rPr>
          <w:rFonts w:ascii="Times New Roman" w:eastAsia="Times New Roman" w:hAnsi="Times New Roman" w:cs="Times New Roman"/>
          <w:i/>
          <w:iCs/>
          <w:color w:val="222222"/>
          <w:sz w:val="24"/>
          <w:szCs w:val="24"/>
          <w:shd w:val="clear" w:color="auto" w:fill="FFFFFF"/>
          <w:lang w:val="en-IN"/>
        </w:rPr>
        <w:t>International Journal of Applied Research and Studies</w:t>
      </w:r>
      <w:r w:rsidRPr="00154DC0">
        <w:rPr>
          <w:rFonts w:ascii="Times New Roman" w:eastAsia="Times New Roman" w:hAnsi="Times New Roman" w:cs="Times New Roman"/>
          <w:color w:val="222222"/>
          <w:sz w:val="24"/>
          <w:szCs w:val="24"/>
          <w:shd w:val="clear" w:color="auto" w:fill="FFFFFF"/>
          <w:lang w:val="en-IN"/>
        </w:rPr>
        <w:t xml:space="preserve">, </w:t>
      </w:r>
      <w:r w:rsidRPr="00154DC0">
        <w:rPr>
          <w:rFonts w:ascii="Times New Roman" w:eastAsia="Times New Roman" w:hAnsi="Times New Roman" w:cs="Times New Roman"/>
          <w:i/>
          <w:iCs/>
          <w:color w:val="222222"/>
          <w:sz w:val="24"/>
          <w:szCs w:val="24"/>
          <w:shd w:val="clear" w:color="auto" w:fill="FFFFFF"/>
          <w:lang w:val="en-IN"/>
        </w:rPr>
        <w:t>5</w:t>
      </w:r>
      <w:r w:rsidRPr="00154DC0">
        <w:rPr>
          <w:rFonts w:ascii="Times New Roman" w:eastAsia="Times New Roman" w:hAnsi="Times New Roman" w:cs="Times New Roman"/>
          <w:color w:val="222222"/>
          <w:sz w:val="24"/>
          <w:szCs w:val="24"/>
          <w:shd w:val="clear" w:color="auto" w:fill="FFFFFF"/>
          <w:lang w:val="en-IN"/>
        </w:rPr>
        <w:t>(6), pp.27-32.</w:t>
      </w:r>
    </w:p>
    <w:p w14:paraId="72173EDD" w14:textId="77777777" w:rsidR="00154DC0" w:rsidRPr="00154DC0" w:rsidRDefault="00154DC0" w:rsidP="00154DC0">
      <w:pPr>
        <w:spacing w:line="360" w:lineRule="auto"/>
        <w:jc w:val="both"/>
        <w:rPr>
          <w:rFonts w:ascii="Times New Roman" w:eastAsia="Times New Roman" w:hAnsi="Times New Roman" w:cs="Times New Roman"/>
          <w:sz w:val="24"/>
          <w:szCs w:val="24"/>
          <w:lang w:val="en-IN"/>
        </w:rPr>
      </w:pPr>
      <w:proofErr w:type="spellStart"/>
      <w:r w:rsidRPr="00154DC0">
        <w:rPr>
          <w:rFonts w:ascii="Times New Roman" w:eastAsia="Times New Roman" w:hAnsi="Times New Roman" w:cs="Times New Roman"/>
          <w:color w:val="222222"/>
          <w:sz w:val="24"/>
          <w:szCs w:val="24"/>
          <w:shd w:val="clear" w:color="auto" w:fill="FFFFFF"/>
          <w:lang w:val="en-IN"/>
        </w:rPr>
        <w:t>Nandonde</w:t>
      </w:r>
      <w:proofErr w:type="spellEnd"/>
      <w:r w:rsidRPr="00154DC0">
        <w:rPr>
          <w:rFonts w:ascii="Times New Roman" w:eastAsia="Times New Roman" w:hAnsi="Times New Roman" w:cs="Times New Roman"/>
          <w:color w:val="222222"/>
          <w:sz w:val="24"/>
          <w:szCs w:val="24"/>
          <w:shd w:val="clear" w:color="auto" w:fill="FFFFFF"/>
          <w:lang w:val="en-IN"/>
        </w:rPr>
        <w:t xml:space="preserve">, F.A., 2019. A PESTLE analysis of international retailing in the East African Community. </w:t>
      </w:r>
      <w:r w:rsidRPr="00154DC0">
        <w:rPr>
          <w:rFonts w:ascii="Times New Roman" w:eastAsia="Times New Roman" w:hAnsi="Times New Roman" w:cs="Times New Roman"/>
          <w:i/>
          <w:iCs/>
          <w:color w:val="222222"/>
          <w:sz w:val="24"/>
          <w:szCs w:val="24"/>
          <w:shd w:val="clear" w:color="auto" w:fill="FFFFFF"/>
          <w:lang w:val="en-IN"/>
        </w:rPr>
        <w:t>Global Business and Organizational Excellence</w:t>
      </w:r>
      <w:r w:rsidRPr="00154DC0">
        <w:rPr>
          <w:rFonts w:ascii="Times New Roman" w:eastAsia="Times New Roman" w:hAnsi="Times New Roman" w:cs="Times New Roman"/>
          <w:color w:val="222222"/>
          <w:sz w:val="24"/>
          <w:szCs w:val="24"/>
          <w:shd w:val="clear" w:color="auto" w:fill="FFFFFF"/>
          <w:lang w:val="en-IN"/>
        </w:rPr>
        <w:t xml:space="preserve">, </w:t>
      </w:r>
      <w:r w:rsidRPr="00154DC0">
        <w:rPr>
          <w:rFonts w:ascii="Times New Roman" w:eastAsia="Times New Roman" w:hAnsi="Times New Roman" w:cs="Times New Roman"/>
          <w:i/>
          <w:iCs/>
          <w:color w:val="222222"/>
          <w:sz w:val="24"/>
          <w:szCs w:val="24"/>
          <w:shd w:val="clear" w:color="auto" w:fill="FFFFFF"/>
          <w:lang w:val="en-IN"/>
        </w:rPr>
        <w:t>38</w:t>
      </w:r>
      <w:r w:rsidRPr="00154DC0">
        <w:rPr>
          <w:rFonts w:ascii="Times New Roman" w:eastAsia="Times New Roman" w:hAnsi="Times New Roman" w:cs="Times New Roman"/>
          <w:color w:val="222222"/>
          <w:sz w:val="24"/>
          <w:szCs w:val="24"/>
          <w:shd w:val="clear" w:color="auto" w:fill="FFFFFF"/>
          <w:lang w:val="en-IN"/>
        </w:rPr>
        <w:t>(4), pp.54-61.</w:t>
      </w:r>
    </w:p>
    <w:p w14:paraId="00D3888B" w14:textId="77777777" w:rsidR="00154DC0" w:rsidRPr="00154DC0" w:rsidRDefault="00154DC0" w:rsidP="00154DC0">
      <w:pPr>
        <w:spacing w:line="360" w:lineRule="auto"/>
        <w:jc w:val="both"/>
        <w:rPr>
          <w:rFonts w:ascii="Times New Roman" w:eastAsia="Times New Roman" w:hAnsi="Times New Roman" w:cs="Times New Roman"/>
          <w:sz w:val="24"/>
          <w:szCs w:val="24"/>
          <w:lang w:val="en-IN"/>
        </w:rPr>
      </w:pPr>
      <w:r w:rsidRPr="00154DC0">
        <w:rPr>
          <w:rFonts w:ascii="Times New Roman" w:eastAsia="Times New Roman" w:hAnsi="Times New Roman" w:cs="Times New Roman"/>
          <w:color w:val="000000"/>
          <w:sz w:val="24"/>
          <w:szCs w:val="24"/>
          <w:lang w:val="en-IN"/>
        </w:rPr>
        <w:lastRenderedPageBreak/>
        <w:t xml:space="preserve">ONS 2022. </w:t>
      </w:r>
      <w:proofErr w:type="spellStart"/>
      <w:r w:rsidRPr="00154DC0">
        <w:rPr>
          <w:rFonts w:ascii="Times New Roman" w:eastAsia="Times New Roman" w:hAnsi="Times New Roman" w:cs="Times New Roman"/>
          <w:color w:val="000000"/>
          <w:sz w:val="24"/>
          <w:szCs w:val="24"/>
          <w:lang w:val="en-IN"/>
        </w:rPr>
        <w:t>Gdp</w:t>
      </w:r>
      <w:proofErr w:type="spellEnd"/>
      <w:r w:rsidRPr="00154DC0">
        <w:rPr>
          <w:rFonts w:ascii="Times New Roman" w:eastAsia="Times New Roman" w:hAnsi="Times New Roman" w:cs="Times New Roman"/>
          <w:color w:val="000000"/>
          <w:sz w:val="24"/>
          <w:szCs w:val="24"/>
          <w:lang w:val="en-IN"/>
        </w:rPr>
        <w:t xml:space="preserve"> of UK [online]. Available at: </w:t>
      </w:r>
      <w:hyperlink r:id="rId8" w:anchor=":~:text=GDP%20first%20quarterly%20estimate%2C%20UK%3A%20July%20to%20September%202023&amp;text=UK%20gross%20domestic%20product%20" w:history="1">
        <w:r w:rsidRPr="00154DC0">
          <w:rPr>
            <w:rFonts w:ascii="Times New Roman" w:eastAsia="Times New Roman" w:hAnsi="Times New Roman" w:cs="Times New Roman"/>
            <w:color w:val="1155CC"/>
            <w:sz w:val="24"/>
            <w:szCs w:val="24"/>
            <w:u w:val="single"/>
            <w:lang w:val="en-IN"/>
          </w:rPr>
          <w:t>https://www.ons.gov.uk/economy/grossdomesticproductgdp#:~:text=GDP%20first%20quarterly%20estimate%2C%20UK%3A%20July%20to%20September%202023&amp;text=UK%20gross%20domestic%20product%20</w:t>
        </w:r>
      </w:hyperlink>
      <w:r w:rsidRPr="00154DC0">
        <w:rPr>
          <w:rFonts w:ascii="Times New Roman" w:eastAsia="Times New Roman" w:hAnsi="Times New Roman" w:cs="Times New Roman"/>
          <w:color w:val="000000"/>
          <w:sz w:val="24"/>
          <w:szCs w:val="24"/>
          <w:lang w:val="en-IN"/>
        </w:rPr>
        <w:t>(GDP,same%20quarter%20a%20year%20ago. (Accessed on 04 November 2023)</w:t>
      </w:r>
    </w:p>
    <w:p w14:paraId="4E29F178" w14:textId="77777777" w:rsidR="00154DC0" w:rsidRPr="00154DC0" w:rsidRDefault="00154DC0" w:rsidP="00154DC0">
      <w:pPr>
        <w:spacing w:line="360" w:lineRule="auto"/>
        <w:jc w:val="both"/>
        <w:rPr>
          <w:rFonts w:ascii="Times New Roman" w:eastAsia="Times New Roman" w:hAnsi="Times New Roman" w:cs="Times New Roman"/>
          <w:sz w:val="24"/>
          <w:szCs w:val="24"/>
          <w:lang w:val="en-IN"/>
        </w:rPr>
      </w:pPr>
      <w:r w:rsidRPr="00154DC0">
        <w:rPr>
          <w:rFonts w:ascii="Times New Roman" w:eastAsia="Times New Roman" w:hAnsi="Times New Roman" w:cs="Times New Roman"/>
          <w:color w:val="000000"/>
          <w:sz w:val="24"/>
          <w:szCs w:val="24"/>
          <w:lang w:val="en-IN"/>
        </w:rPr>
        <w:t xml:space="preserve">ONS, 2023. </w:t>
      </w:r>
      <w:r w:rsidRPr="00154DC0">
        <w:rPr>
          <w:rFonts w:ascii="Times New Roman" w:eastAsia="Times New Roman" w:hAnsi="Times New Roman" w:cs="Times New Roman"/>
          <w:color w:val="323132"/>
          <w:sz w:val="24"/>
          <w:szCs w:val="24"/>
          <w:lang w:val="en-IN"/>
        </w:rPr>
        <w:t xml:space="preserve">The UK population at mid-2021 [online]. Available at : </w:t>
      </w:r>
      <w:hyperlink r:id="rId9" w:anchor=":~:text=We%20estimate%20the%20UK%20population,2021%20censuses%20for%20these%20countries" w:history="1">
        <w:r w:rsidRPr="00154DC0">
          <w:rPr>
            <w:rFonts w:ascii="Times New Roman" w:eastAsia="Times New Roman" w:hAnsi="Times New Roman" w:cs="Times New Roman"/>
            <w:color w:val="1155CC"/>
            <w:sz w:val="24"/>
            <w:szCs w:val="24"/>
            <w:u w:val="single"/>
            <w:lang w:val="en-IN"/>
          </w:rPr>
          <w:t>https://www.ons.gov.uk/peoplepopulationandcommunity/populationandmigration/populationestimates/bulletins/annualmidyearpopulationestimates/mid2021#:~:text=We%20estimate%20the%20UK%20population,2021%20censuses%20for%20these%20countries</w:t>
        </w:r>
      </w:hyperlink>
      <w:r w:rsidRPr="00154DC0">
        <w:rPr>
          <w:rFonts w:ascii="Times New Roman" w:eastAsia="Times New Roman" w:hAnsi="Times New Roman" w:cs="Times New Roman"/>
          <w:color w:val="323132"/>
          <w:sz w:val="24"/>
          <w:szCs w:val="24"/>
          <w:lang w:val="en-IN"/>
        </w:rPr>
        <w:t>. (Accessed on 04 December 2023)</w:t>
      </w:r>
    </w:p>
    <w:p w14:paraId="3A21728B" w14:textId="77777777" w:rsidR="00154DC0" w:rsidRPr="00154DC0" w:rsidRDefault="00154DC0" w:rsidP="00154DC0">
      <w:pPr>
        <w:spacing w:line="360" w:lineRule="auto"/>
        <w:jc w:val="both"/>
        <w:rPr>
          <w:rFonts w:ascii="Times New Roman" w:eastAsia="Times New Roman" w:hAnsi="Times New Roman" w:cs="Times New Roman"/>
          <w:sz w:val="24"/>
          <w:szCs w:val="24"/>
          <w:lang w:val="en-IN"/>
        </w:rPr>
      </w:pPr>
      <w:r w:rsidRPr="00154DC0">
        <w:rPr>
          <w:rFonts w:ascii="Times New Roman" w:eastAsia="Times New Roman" w:hAnsi="Times New Roman" w:cs="Times New Roman"/>
          <w:color w:val="222222"/>
          <w:sz w:val="24"/>
          <w:szCs w:val="24"/>
          <w:shd w:val="clear" w:color="auto" w:fill="FFFFFF"/>
          <w:lang w:val="en-IN"/>
        </w:rPr>
        <w:t xml:space="preserve">Smith, R.D., 2020. </w:t>
      </w:r>
      <w:r w:rsidRPr="00154DC0">
        <w:rPr>
          <w:rFonts w:ascii="Times New Roman" w:eastAsia="Times New Roman" w:hAnsi="Times New Roman" w:cs="Times New Roman"/>
          <w:i/>
          <w:iCs/>
          <w:color w:val="222222"/>
          <w:sz w:val="24"/>
          <w:szCs w:val="24"/>
          <w:shd w:val="clear" w:color="auto" w:fill="FFFFFF"/>
          <w:lang w:val="en-IN"/>
        </w:rPr>
        <w:t>Strategic planning for public relations</w:t>
      </w:r>
      <w:r w:rsidRPr="00154DC0">
        <w:rPr>
          <w:rFonts w:ascii="Times New Roman" w:eastAsia="Times New Roman" w:hAnsi="Times New Roman" w:cs="Times New Roman"/>
          <w:color w:val="222222"/>
          <w:sz w:val="24"/>
          <w:szCs w:val="24"/>
          <w:shd w:val="clear" w:color="auto" w:fill="FFFFFF"/>
          <w:lang w:val="en-IN"/>
        </w:rPr>
        <w:t>. Routledge.</w:t>
      </w:r>
    </w:p>
    <w:p w14:paraId="30341DA8" w14:textId="77777777" w:rsidR="00154DC0" w:rsidRPr="00154DC0" w:rsidRDefault="00154DC0" w:rsidP="00154DC0">
      <w:pPr>
        <w:spacing w:line="360" w:lineRule="auto"/>
        <w:jc w:val="both"/>
        <w:rPr>
          <w:rFonts w:ascii="Times New Roman" w:eastAsia="Times New Roman" w:hAnsi="Times New Roman" w:cs="Times New Roman"/>
          <w:sz w:val="24"/>
          <w:szCs w:val="24"/>
          <w:lang w:val="en-IN"/>
        </w:rPr>
      </w:pPr>
      <w:proofErr w:type="spellStart"/>
      <w:r w:rsidRPr="00154DC0">
        <w:rPr>
          <w:rFonts w:ascii="Times New Roman" w:eastAsia="Times New Roman" w:hAnsi="Times New Roman" w:cs="Times New Roman"/>
          <w:color w:val="222222"/>
          <w:sz w:val="24"/>
          <w:szCs w:val="24"/>
          <w:shd w:val="clear" w:color="auto" w:fill="FFFFFF"/>
          <w:lang w:val="en-IN"/>
        </w:rPr>
        <w:t>Steiss</w:t>
      </w:r>
      <w:proofErr w:type="spellEnd"/>
      <w:r w:rsidRPr="00154DC0">
        <w:rPr>
          <w:rFonts w:ascii="Times New Roman" w:eastAsia="Times New Roman" w:hAnsi="Times New Roman" w:cs="Times New Roman"/>
          <w:color w:val="222222"/>
          <w:sz w:val="24"/>
          <w:szCs w:val="24"/>
          <w:shd w:val="clear" w:color="auto" w:fill="FFFFFF"/>
          <w:lang w:val="en-IN"/>
        </w:rPr>
        <w:t xml:space="preserve">, A.W., 2019. </w:t>
      </w:r>
      <w:r w:rsidRPr="00154DC0">
        <w:rPr>
          <w:rFonts w:ascii="Times New Roman" w:eastAsia="Times New Roman" w:hAnsi="Times New Roman" w:cs="Times New Roman"/>
          <w:i/>
          <w:iCs/>
          <w:color w:val="222222"/>
          <w:sz w:val="24"/>
          <w:szCs w:val="24"/>
          <w:shd w:val="clear" w:color="auto" w:fill="FFFFFF"/>
          <w:lang w:val="en-IN"/>
        </w:rPr>
        <w:t>Strategic management for public and nonprofit organizations</w:t>
      </w:r>
      <w:r w:rsidRPr="00154DC0">
        <w:rPr>
          <w:rFonts w:ascii="Times New Roman" w:eastAsia="Times New Roman" w:hAnsi="Times New Roman" w:cs="Times New Roman"/>
          <w:color w:val="222222"/>
          <w:sz w:val="24"/>
          <w:szCs w:val="24"/>
          <w:shd w:val="clear" w:color="auto" w:fill="FFFFFF"/>
          <w:lang w:val="en-IN"/>
        </w:rPr>
        <w:t>. Routledge.</w:t>
      </w:r>
    </w:p>
    <w:p w14:paraId="5A6283BB" w14:textId="77777777" w:rsidR="00154DC0" w:rsidRPr="00154DC0" w:rsidRDefault="00154DC0" w:rsidP="00154DC0">
      <w:pPr>
        <w:spacing w:line="360" w:lineRule="auto"/>
        <w:jc w:val="both"/>
        <w:rPr>
          <w:rFonts w:ascii="Times New Roman" w:eastAsia="Times New Roman" w:hAnsi="Times New Roman" w:cs="Times New Roman"/>
          <w:sz w:val="24"/>
          <w:szCs w:val="24"/>
          <w:lang w:val="en-IN"/>
        </w:rPr>
      </w:pPr>
      <w:proofErr w:type="spellStart"/>
      <w:r w:rsidRPr="00154DC0">
        <w:rPr>
          <w:rFonts w:ascii="Times New Roman" w:eastAsia="Times New Roman" w:hAnsi="Times New Roman" w:cs="Times New Roman"/>
          <w:color w:val="222222"/>
          <w:sz w:val="24"/>
          <w:szCs w:val="24"/>
          <w:shd w:val="clear" w:color="auto" w:fill="FFFFFF"/>
          <w:lang w:val="en-IN"/>
        </w:rPr>
        <w:t>Widya</w:t>
      </w:r>
      <w:proofErr w:type="spellEnd"/>
      <w:r w:rsidRPr="00154DC0">
        <w:rPr>
          <w:rFonts w:ascii="Times New Roman" w:eastAsia="Times New Roman" w:hAnsi="Times New Roman" w:cs="Times New Roman"/>
          <w:color w:val="222222"/>
          <w:sz w:val="24"/>
          <w:szCs w:val="24"/>
          <w:shd w:val="clear" w:color="auto" w:fill="FFFFFF"/>
          <w:lang w:val="en-IN"/>
        </w:rPr>
        <w:t xml:space="preserve"> </w:t>
      </w:r>
      <w:proofErr w:type="spellStart"/>
      <w:r w:rsidRPr="00154DC0">
        <w:rPr>
          <w:rFonts w:ascii="Times New Roman" w:eastAsia="Times New Roman" w:hAnsi="Times New Roman" w:cs="Times New Roman"/>
          <w:color w:val="222222"/>
          <w:sz w:val="24"/>
          <w:szCs w:val="24"/>
          <w:shd w:val="clear" w:color="auto" w:fill="FFFFFF"/>
          <w:lang w:val="en-IN"/>
        </w:rPr>
        <w:t>Yudha</w:t>
      </w:r>
      <w:proofErr w:type="spellEnd"/>
      <w:r w:rsidRPr="00154DC0">
        <w:rPr>
          <w:rFonts w:ascii="Times New Roman" w:eastAsia="Times New Roman" w:hAnsi="Times New Roman" w:cs="Times New Roman"/>
          <w:color w:val="222222"/>
          <w:sz w:val="24"/>
          <w:szCs w:val="24"/>
          <w:shd w:val="clear" w:color="auto" w:fill="FFFFFF"/>
          <w:lang w:val="en-IN"/>
        </w:rPr>
        <w:t xml:space="preserve">, S. and </w:t>
      </w:r>
      <w:proofErr w:type="spellStart"/>
      <w:r w:rsidRPr="00154DC0">
        <w:rPr>
          <w:rFonts w:ascii="Times New Roman" w:eastAsia="Times New Roman" w:hAnsi="Times New Roman" w:cs="Times New Roman"/>
          <w:color w:val="222222"/>
          <w:sz w:val="24"/>
          <w:szCs w:val="24"/>
          <w:shd w:val="clear" w:color="auto" w:fill="FFFFFF"/>
          <w:lang w:val="en-IN"/>
        </w:rPr>
        <w:t>Tjahjono</w:t>
      </w:r>
      <w:proofErr w:type="spellEnd"/>
      <w:r w:rsidRPr="00154DC0">
        <w:rPr>
          <w:rFonts w:ascii="Times New Roman" w:eastAsia="Times New Roman" w:hAnsi="Times New Roman" w:cs="Times New Roman"/>
          <w:color w:val="222222"/>
          <w:sz w:val="24"/>
          <w:szCs w:val="24"/>
          <w:shd w:val="clear" w:color="auto" w:fill="FFFFFF"/>
          <w:lang w:val="en-IN"/>
        </w:rPr>
        <w:t xml:space="preserve">, B., 2019. Stakeholder mapping and analysis of the renewable energy industry in Indonesia. </w:t>
      </w:r>
      <w:r w:rsidRPr="00154DC0">
        <w:rPr>
          <w:rFonts w:ascii="Times New Roman" w:eastAsia="Times New Roman" w:hAnsi="Times New Roman" w:cs="Times New Roman"/>
          <w:i/>
          <w:iCs/>
          <w:color w:val="222222"/>
          <w:sz w:val="24"/>
          <w:szCs w:val="24"/>
          <w:shd w:val="clear" w:color="auto" w:fill="FFFFFF"/>
          <w:lang w:val="en-IN"/>
        </w:rPr>
        <w:t>Energies</w:t>
      </w:r>
      <w:r w:rsidRPr="00154DC0">
        <w:rPr>
          <w:rFonts w:ascii="Times New Roman" w:eastAsia="Times New Roman" w:hAnsi="Times New Roman" w:cs="Times New Roman"/>
          <w:color w:val="222222"/>
          <w:sz w:val="24"/>
          <w:szCs w:val="24"/>
          <w:shd w:val="clear" w:color="auto" w:fill="FFFFFF"/>
          <w:lang w:val="en-IN"/>
        </w:rPr>
        <w:t xml:space="preserve">, </w:t>
      </w:r>
      <w:r w:rsidRPr="00154DC0">
        <w:rPr>
          <w:rFonts w:ascii="Times New Roman" w:eastAsia="Times New Roman" w:hAnsi="Times New Roman" w:cs="Times New Roman"/>
          <w:i/>
          <w:iCs/>
          <w:color w:val="222222"/>
          <w:sz w:val="24"/>
          <w:szCs w:val="24"/>
          <w:shd w:val="clear" w:color="auto" w:fill="FFFFFF"/>
          <w:lang w:val="en-IN"/>
        </w:rPr>
        <w:t>12</w:t>
      </w:r>
      <w:r w:rsidRPr="00154DC0">
        <w:rPr>
          <w:rFonts w:ascii="Times New Roman" w:eastAsia="Times New Roman" w:hAnsi="Times New Roman" w:cs="Times New Roman"/>
          <w:color w:val="222222"/>
          <w:sz w:val="24"/>
          <w:szCs w:val="24"/>
          <w:shd w:val="clear" w:color="auto" w:fill="FFFFFF"/>
          <w:lang w:val="en-IN"/>
        </w:rPr>
        <w:t>(4), p.602.</w:t>
      </w:r>
    </w:p>
    <w:p w14:paraId="65D55B3A" w14:textId="52510A3C" w:rsidR="000D1E45" w:rsidRPr="00154DC0" w:rsidRDefault="00154DC0" w:rsidP="00154DC0">
      <w:pPr>
        <w:spacing w:line="360" w:lineRule="auto"/>
        <w:jc w:val="both"/>
        <w:rPr>
          <w:rFonts w:ascii="Times New Roman" w:eastAsia="Times New Roman" w:hAnsi="Times New Roman" w:cs="Times New Roman"/>
          <w:sz w:val="24"/>
          <w:szCs w:val="24"/>
          <w:lang w:val="en-IN"/>
        </w:rPr>
      </w:pPr>
      <w:r w:rsidRPr="00154DC0">
        <w:rPr>
          <w:rFonts w:ascii="Times New Roman" w:eastAsia="Times New Roman" w:hAnsi="Times New Roman" w:cs="Times New Roman"/>
          <w:sz w:val="24"/>
          <w:szCs w:val="24"/>
          <w:lang w:val="en-IN"/>
        </w:rPr>
        <w:br/>
      </w:r>
    </w:p>
    <w:p w14:paraId="58218681" w14:textId="77777777" w:rsidR="002211DA" w:rsidRDefault="002211DA">
      <w:pPr>
        <w:rPr>
          <w:rFonts w:ascii="Times New Roman" w:eastAsia="Times New Roman" w:hAnsi="Times New Roman" w:cs="Times New Roman"/>
          <w:b/>
          <w:sz w:val="24"/>
          <w:szCs w:val="24"/>
        </w:rPr>
      </w:pPr>
      <w:bookmarkStart w:id="10" w:name="_Toc153975820"/>
      <w:r>
        <w:br w:type="page"/>
      </w:r>
    </w:p>
    <w:p w14:paraId="4519B615" w14:textId="164B0C3F" w:rsidR="000D1E45" w:rsidRDefault="00347C6A" w:rsidP="00347C6A">
      <w:pPr>
        <w:pStyle w:val="Heading1"/>
      </w:pPr>
      <w:r>
        <w:lastRenderedPageBreak/>
        <w:t>Appendix</w:t>
      </w:r>
      <w:bookmarkEnd w:id="10"/>
    </w:p>
    <w:p w14:paraId="48B230E5" w14:textId="59169F76" w:rsidR="00347C6A" w:rsidRDefault="00347C6A" w:rsidP="00154DC0">
      <w:pPr>
        <w:spacing w:line="360" w:lineRule="auto"/>
        <w:jc w:val="both"/>
        <w:rPr>
          <w:rFonts w:ascii="Times New Roman" w:eastAsia="Times New Roman" w:hAnsi="Times New Roman" w:cs="Times New Roman"/>
          <w:b/>
          <w:sz w:val="24"/>
          <w:szCs w:val="24"/>
        </w:rPr>
      </w:pPr>
      <w:r>
        <w:rPr>
          <w:noProof/>
        </w:rPr>
        <w:drawing>
          <wp:inline distT="0" distB="0" distL="0" distR="0" wp14:anchorId="6D3B8312" wp14:editId="3E4D9909">
            <wp:extent cx="2279650" cy="2012950"/>
            <wp:effectExtent l="0" t="0" r="6350" b="6350"/>
            <wp:docPr id="1244257399" name="Picture 1" descr="Porter's Five Forces Analysis | Creat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Analysis | Createl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9650" cy="2012950"/>
                    </a:xfrm>
                    <a:prstGeom prst="rect">
                      <a:avLst/>
                    </a:prstGeom>
                    <a:noFill/>
                    <a:ln>
                      <a:noFill/>
                    </a:ln>
                  </pic:spPr>
                </pic:pic>
              </a:graphicData>
            </a:graphic>
          </wp:inline>
        </w:drawing>
      </w:r>
      <w:r w:rsidRPr="00347C6A">
        <w:t xml:space="preserve"> </w:t>
      </w:r>
      <w:r>
        <w:rPr>
          <w:noProof/>
        </w:rPr>
        <w:drawing>
          <wp:inline distT="0" distB="0" distL="0" distR="0" wp14:anchorId="2F9D05E3" wp14:editId="4BE2DBCA">
            <wp:extent cx="2832100" cy="1619250"/>
            <wp:effectExtent l="0" t="0" r="6350" b="0"/>
            <wp:docPr id="393485664" name="Picture 2" descr="How to Complete a Personal SWOT Analysis | by Jodie Shaw | Thrive Global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Complete a Personal SWOT Analysis | by Jodie Shaw | Thrive Global |  Mediu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2100" cy="1619250"/>
                    </a:xfrm>
                    <a:prstGeom prst="rect">
                      <a:avLst/>
                    </a:prstGeom>
                    <a:noFill/>
                    <a:ln>
                      <a:noFill/>
                    </a:ln>
                  </pic:spPr>
                </pic:pic>
              </a:graphicData>
            </a:graphic>
          </wp:inline>
        </w:drawing>
      </w:r>
    </w:p>
    <w:p w14:paraId="066B20B2" w14:textId="77777777" w:rsidR="000D1E45" w:rsidRDefault="000D1E45" w:rsidP="00154DC0">
      <w:pPr>
        <w:spacing w:line="360" w:lineRule="auto"/>
        <w:jc w:val="both"/>
        <w:rPr>
          <w:rFonts w:ascii="Times New Roman" w:eastAsia="Times New Roman" w:hAnsi="Times New Roman" w:cs="Times New Roman"/>
          <w:b/>
          <w:sz w:val="24"/>
          <w:szCs w:val="24"/>
        </w:rPr>
      </w:pPr>
    </w:p>
    <w:p w14:paraId="56D1F0B4" w14:textId="77777777" w:rsidR="000D1E45" w:rsidRDefault="000D1E45" w:rsidP="00154DC0">
      <w:pPr>
        <w:spacing w:line="360" w:lineRule="auto"/>
        <w:jc w:val="both"/>
        <w:rPr>
          <w:rFonts w:ascii="Times New Roman" w:eastAsia="Times New Roman" w:hAnsi="Times New Roman" w:cs="Times New Roman"/>
          <w:b/>
          <w:sz w:val="24"/>
          <w:szCs w:val="24"/>
        </w:rPr>
      </w:pPr>
    </w:p>
    <w:p w14:paraId="4F0C1164" w14:textId="77777777" w:rsidR="000D1E45" w:rsidRDefault="000D1E45" w:rsidP="00154DC0">
      <w:pPr>
        <w:spacing w:line="360" w:lineRule="auto"/>
        <w:jc w:val="both"/>
        <w:rPr>
          <w:rFonts w:ascii="Times New Roman" w:eastAsia="Times New Roman" w:hAnsi="Times New Roman" w:cs="Times New Roman"/>
          <w:b/>
          <w:sz w:val="24"/>
          <w:szCs w:val="24"/>
        </w:rPr>
      </w:pPr>
    </w:p>
    <w:sectPr w:rsidR="000D1E45" w:rsidSect="006913D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1E45"/>
    <w:rsid w:val="000D1E45"/>
    <w:rsid w:val="00154DC0"/>
    <w:rsid w:val="002211DA"/>
    <w:rsid w:val="00347C6A"/>
    <w:rsid w:val="006913D2"/>
    <w:rsid w:val="009E5B98"/>
    <w:rsid w:val="00D254B6"/>
    <w:rsid w:val="00E4309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79A14"/>
  <w15:docId w15:val="{0328AEAD-F4FE-4E36-80AD-178434B61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913D2"/>
    <w:pPr>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154DC0"/>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Hyperlink">
    <w:name w:val="Hyperlink"/>
    <w:basedOn w:val="DefaultParagraphFont"/>
    <w:uiPriority w:val="99"/>
    <w:unhideWhenUsed/>
    <w:rsid w:val="00154DC0"/>
    <w:rPr>
      <w:color w:val="0000FF"/>
      <w:u w:val="single"/>
    </w:rPr>
  </w:style>
  <w:style w:type="paragraph" w:styleId="TOCHeading">
    <w:name w:val="TOC Heading"/>
    <w:basedOn w:val="Heading1"/>
    <w:next w:val="Normal"/>
    <w:uiPriority w:val="39"/>
    <w:unhideWhenUsed/>
    <w:qFormat/>
    <w:rsid w:val="00347C6A"/>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47C6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4921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ons.gov.uk/economy/grossdomesticproductgd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miplc.com/what-we-do/imi-action/creating-value-energ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imiplc.com/what-we-do" TargetMode="External"/><Relationship Id="rId11" Type="http://schemas.openxmlformats.org/officeDocument/2006/relationships/image" Target="media/image3.png"/><Relationship Id="rId5" Type="http://schemas.openxmlformats.org/officeDocument/2006/relationships/image" Target="media/image1.jp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ons.gov.uk/peoplepopulationandcommunity/populationandmigration/populationestimates/bulletins/annualmidyearpopulationestimates/mid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FADAB-7655-45D5-BAE2-F18F9279F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3551</Words>
  <Characters>20244</Characters>
  <Application>Microsoft Office Word</Application>
  <DocSecurity>0</DocSecurity>
  <Lines>168</Lines>
  <Paragraphs>47</Paragraphs>
  <ScaleCrop>false</ScaleCrop>
  <Company/>
  <LinksUpToDate>false</LinksUpToDate>
  <CharactersWithSpaces>23748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alina tinca</cp:lastModifiedBy>
  <cp:revision>2</cp:revision>
  <dcterms:created xsi:type="dcterms:W3CDTF">2023-12-20T04:09:00Z</dcterms:created>
  <dcterms:modified xsi:type="dcterms:W3CDTF">2023-12-20T04:09:00Z</dcterms:modified>
</cp:coreProperties>
</file>