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E43E49">
      <w:pPr>
        <w:pStyle w:val="2"/>
        <w:keepNext w:val="0"/>
        <w:keepLines w:val="0"/>
        <w:widowControl/>
        <w:suppressLineNumbers w:val="0"/>
        <w:spacing w:before="0" w:beforeAutospacing="1" w:after="0" w:afterAutospacing="1"/>
        <w:ind w:left="0" w:right="0"/>
        <w:jc w:val="center"/>
        <w:rPr>
          <w:rFonts w:hint="default" w:ascii="Times New Roman Bold" w:hAnsi="Times New Roman Bold" w:cs="Times New Roman Bold"/>
          <w:b/>
          <w:bCs/>
        </w:rPr>
      </w:pPr>
      <w:r>
        <w:rPr>
          <w:rFonts w:hint="default" w:ascii="Times New Roman Bold" w:hAnsi="Times New Roman Bold" w:cs="Times New Roman Bold"/>
          <w:b/>
          <w:bCs/>
        </w:rPr>
        <w:t>Reinterpreting Cizhou Kiln Motifs via Semiotics and Transmedia Branding: A Mixed Methods Analysis of Heritage Symbol Translation</w:t>
      </w:r>
    </w:p>
    <w:p w14:paraId="099C9A12">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study establishes a methodological framework grounded on qualitative research aimed at investigating the symbolic re-interpretation of the decorative patterns of the Cizhou Kiln within contemporary cross-media narratives and cultural brand design. In addressing the dual demands of cultural authenticity and market sustainability, the study used a mixed research methodology centered on narrative inquiry, supplemented by quantitative confirmation. This methodology integrates semiotics, cross-media narrative theory, and branding theory to systematically analyze th</w:t>
      </w:r>
      <w:bookmarkStart w:id="0" w:name="_GoBack"/>
      <w:bookmarkEnd w:id="0"/>
      <w:r>
        <w:rPr>
          <w:rFonts w:hint="default" w:ascii="Times New Roman Regular" w:hAnsi="Times New Roman Regular" w:cs="Times New Roman Regular"/>
        </w:rPr>
        <w:t>e visual form and cultural significance of traditional patterns from the Cizhou Kilns, develop a cross-media narrative framework, and empirically evaluate user acceptance and brand recognition results.</w:t>
      </w:r>
    </w:p>
    <w:p w14:paraId="090FBB1F">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research, via extensive interviews with non-genetic inheritors, contemporary designers, and audiences, in conjunction with quantitative surveys of cultural perceptions and brand resonance, clarifies the evolution of the Cizhou Kiln from a static heritage to a dynamic cultural brand. The results suggest that attaining a dynamic balance in cultural branding necessitates maintaining cultural integrity while integrating market narratives. This study validates the methodological rigor of narrative inquiry and interpretative hybrid research in non-heritage branding, providing apparent frameworks and practical techniques for revitalizing visual heritage and enhancing cultural creative industries in the digital era. </w:t>
      </w:r>
    </w:p>
    <w:p w14:paraId="1DD6315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Keywords: Mixed Methods; Narrative Inquiry; Semiotic Analysis; Transmedia Storytelling; Cultural Branding; Cizhou Kiln Decorative Patterns.</w:t>
      </w:r>
    </w:p>
    <w:p w14:paraId="10933535">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lang w:val="en-US"/>
        </w:rPr>
        <w:t>1.</w:t>
      </w:r>
      <w:r>
        <w:rPr>
          <w:rFonts w:hint="default" w:ascii="Times New Roman Regular" w:hAnsi="Times New Roman Regular" w:cs="Times New Roman Regular"/>
        </w:rPr>
        <w:t xml:space="preserve">Introduction </w:t>
      </w:r>
    </w:p>
    <w:p w14:paraId="2AFEEF1F">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The Cizhou kiln, a renowned folk porcelain system in northern China, holds a significant place in ceramic history due to its striking black-and-white contrast and distinctive ornamental patterns (He, 1996). Amidst the proliferation of information dissemination methods and escalating competition in the global cultural marketplace, the incorporation of the decorative motifs of the Cizhou Kiln into cross-media narratives and branding design practices can enhance its heritage and strengthen the local cultural industry. Cizhou kiln ornamental patterns, notable for their distinctiveness and cultural significance, have not been thoroughly examined, incorporated, or utilized in contemporary branding and mass communication (Zhao, 2019). This academic and application gap motivates and directs this investigation. This study will incorporate three primary theoretical frameworks to properly analyze how the beautiful patterns of the Cizhou Kiln can be recorded and translated into current value. Initially, semiotics analyzes the morphology, semantics, and socio-cultural implications of the decorative patterns of the Cizhou Kiln from a semiotic standpoint. Semiotics interprets the morphology, semantics, and socio-cultural connotations of Cizhou Kiln decorative patterns, elucidating the cultural memories and symbolic functions of these patterns visually while offering a systematic "recoding" strategy for the brand's subsequent visual elements and narrative structure (Hu et al., 2019). Transmedia storytelling represents a process where integral elements of fiction get dispersed systematically across multiple delivery channels for the purpose of creating a unified and coordinated entertainment experience (Jenkins, 2006; Liu, 2019). The theory of cross-media narrative can assist this study in examining the effective dissemination and profound interaction of the Cizhou Kiln pattern across various mediums (offline entities, digital platforms, social media, etc.) through the lenses of narratology and new media communication.</w:t>
      </w:r>
    </w:p>
    <w:p w14:paraId="2E8C8426">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Furthermore, a little aspect of Brand Theory will be incorporated: within the modern market framework, the sustainable advancement of cultural products is inextricably linked to branding activities. Brand Theory addresses topics such as brand positioning, brand equity, and the formation of cultural intellectual property (Keller, 2013; Li, 2020), which are crucial for implementing the Cizhou Kiln model in contemporary markets and social contexts. Theories are interconnected and mutually reinforcing, with semiotics offering a comprehensive examination of "visual cultural symbols," cross-media narrative expanding the communicative aspect of "how to narrate the story of the Cizhou Kiln," and branding theory synthesizing the cultural and narrative assets of the former two into a strategically significant cultural and narrative resource. The brand theory synthesizes the cultural and narrative assets of the initial two into a culturally significant brand image with strategic value.</w:t>
      </w:r>
    </w:p>
    <w:p w14:paraId="3D6179B8">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In light of the background above and theoretical framework, the pivotal research question of this study is: "How can the decorative patterns of the Cizhou Kiln be systematically reinterpreted, recoded, and integrated within the diverse contexts of contemporary cross-media narratives and modern brand design, to ensure the preservation of their unique cultural heritage while simultaneously establishing a highly recognizable brand image with cultural value in the contemporary market and societal context?" This inquiry emphasizes the imperative of "transcending mere inheritance" and seeks to investigate how Cizhou Kiln patterns might evolve from "static artifacts" to "dynamic brand experiences" in both theory and practice. The study investigates the theoretical frameworks and practical pathways through which non-heritage patterns could evolve from "static craft" to "dynamic brand experience." To analyze this issue at a more sophisticated level, the study establishes the following precise objectives: At the semiotic level, through morphological and semantic studies, it delineates the visual attributes and cultural implications of the decorative motifs of the Cizhou Kiln, extracting the fundamental symbolic elements applicable across many media. At the cross-media narrative level, it employs narratology and cultural communication theory to construct a cohesive yet adaptable multi-platform framework for the Cizhou Kiln cultural narrative while examining the narrative potential of the structure across various media touchpoints. At the branding level, it integrates branding and user research to assess viable strategies for "branding the Cizhou Kiln" and provide a cultural branding approach that amalgamates regional attributes and market potential.</w:t>
      </w:r>
    </w:p>
    <w:p w14:paraId="35D2C0FE">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study employs a qualitative-driven Mixed Methods Research approach, centering on Narrative Inquiry, to investigate the transformation of meaning within contemporary brand design by deconstructing the cultural narrative and cross-media reconstruction of traditional decorative patterns from the Cizhou Kiln. A limited quantity of quantitative analysis (e.g., user experience questionnaires, brand awareness surveys, etc.) is integrated to assess the design's communication efficacy from the standpoint of user acceptance, thereby aiding in the interpretation of the gathered textual data and facilitating the synergy between qualitative and quantitative methods, ultimately enriching the research's scope and depth.</w:t>
      </w:r>
    </w:p>
    <w:p w14:paraId="49C53A94">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lang w:val="en-US"/>
        </w:rPr>
        <w:t>2</w:t>
      </w:r>
      <w:r>
        <w:rPr>
          <w:rFonts w:hint="default" w:ascii="Times New Roman Regular" w:hAnsi="Times New Roman Regular" w:cs="Times New Roman Regular"/>
        </w:rPr>
        <w:t xml:space="preserve"> Literature Review </w:t>
      </w:r>
    </w:p>
    <w:p w14:paraId="22D92EE3">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chapter seeks to outline the extent of the research literature, assess significant studies within each area, critically identify inconsistencies and gaps, and ultimately clarify the central theme and methodological framework of this study. The framework consists of a four-step sequence: "Literature Scope and Search → Critical Review → Key Controversies → Research Gaps," which provides clarity and establishes a defined hierarchy.</w:t>
      </w:r>
    </w:p>
    <w:p w14:paraId="18DE02CB">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2.1 Literature Scope and Search Techniques </w:t>
      </w:r>
    </w:p>
    <w:p w14:paraId="410D15A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study addresses four main areas: the historical context of the Ci Zhou kilns and Chinese ceramics; the conservation of non-heritage and cultural transmission; visual semiotics and cross-media narratives; and branding theory in the cultural sector. The search channels include China Knowledge, Wanfang, Web of Science, and Scopus, as well as institutional reports and museum catalogs, such as those from UNESCO and WIPO. The search methodology utilized Boolean logic combinations, such as "Cizhou Kiln" AND "branding" AND "semiotics". The temporal scope was defined from 2015 to 2025, with a focus on the last five years to ensure contemporaneity and innovation. </w:t>
      </w:r>
    </w:p>
    <w:p w14:paraId="601FC385">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2.2 Characteristics of the Literature and Evaluation </w:t>
      </w:r>
    </w:p>
    <w:p w14:paraId="04EE6EC8">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study examines the history of the Cizhou Kiln and Chinese ceramics, the preservation of non-heritage and cultural inheritance, visual semiotics and cross-media storytelling, branding theory, and the cultural industry. These publications outline the theoretical and practical frameworks for "recoding" the patterns of the Cizhou Kiln and integrating them into modern brand narratives. </w:t>
      </w:r>
    </w:p>
    <w:p w14:paraId="059497A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Chinese databases Zhi.com and Wanfang, as well as the websites of professional organizations like UNESCO, provide literature on archaeology, art history, and folk crafts. Fang Li Li's (2013) History of Chinese Ceramics outlines the morphological characteristics of key kilns from the Song and Yuan dynasties, referencing the decorative techniques of white-on-black and ticked-and-scratched flowers from the Cizhou Kiln. This literature provides a foundation for understanding the origins of themes, the characteristics of the craft, and the historical context. The British Museum and the Metropolitan Museum of Art have recorded and analyzed the distinctive works of the Cizhou Kiln in their catalogs (British Museum, n.d.). These publications primarily emphasize art appreciation and the significance of heritage. Boolean operators were utilized to combine primary terms in the search, including "Cizhou Kiln" AND "branding" AND "semiotics"; "non-heritage" AND "cross-media story" OR "digital communication"; in addition to secondary filtering by date and subject area. The search timeline was set from 2019 to the present to capture recent trends in modern branding and transmedia narratives, with the objective of identifying their contemporaneity and innovativeness. UNESCO and Policy Discourse Two thousand three UNESCO Convention on the Safeguarding of Intangible Cultural Heritage The 2003 Convention for the Safeguarding of the Intangible Cultural Heritage (UNESCO, 2003) establishes essential principles for the preservation and transmission of intangible cultural heritage, providing policy and ethical guidelines for integrating traditional crafts into contemporary society. Many scholars (Smith, 2006) have investigated the "re-creation" of NRH in contemporary culture, emphasizing the integration of traditional skills with modern markets and consumerism. </w:t>
      </w:r>
    </w:p>
    <w:p w14:paraId="05A08802">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Saussure's and Peirce's semiotic theories provide a basis for exploring how "pattern" functions as a symbol to generate meaning, whereas Panofsky's (1939) iconographic studies supply methodological guidance for investigating the connection between traditional patterns and cultural connotations. Panofsky's (1939) analysis of iconography provides a methodological framework for investigating the connection between traditional patterns and cultural connotations. Researchers in China, including Peng Zhi (2018), have examined the symbolic and aesthetic characteristics of traditional Chinese decorative patterns using an iconographic approach. Transmedia Storytelling, as discussed in Chen's (2021) work From Telling a Story to Telling an Idea, has been widely applied across film, television, gaming, and the cultural and creative industries. Multiple studies (Yao Guozhang and Yao Chongbing (2024); Wang Qin (2025)) investigate the growth of national-style intellectual properties and non-heritage subjects on digital platforms and social media, emphasizing their impact on the cultural identities of young audiences through multi-touch narratives. Aaker's (1991) concept of brand equity and Keller's (2008) framework on consumer cognition and brand associations represent important contributions to the study of consumer-brand relationships. Aaker's (1991) concept of Brand Equity and Keller's (2008) framework on consumer cognition and brand association serve as essential foundations for analyzing the conversion of traditional symbols into recognizable brand attributes. Wang et al. (2022) demonstrated that IP-based local cultural elements contribute to the sustainable development of regional economies and the dissemination of culture within their analysis of creative industries. Domestic examples, including the cultural production of the Forbidden City and the intellectual property development of Dunhuang, provide valuable insights for the modernization of the Magnetic Kiln. </w:t>
      </w:r>
    </w:p>
    <w:p w14:paraId="0F84054B">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p>
    <w:p w14:paraId="3275E62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literature exhibits complexity and fragmentation. This research domain encompasses literature of varying depth; however, disciplinary barriers and a singular research dimension impede the development of a systematic approach that integrates perspectives from history, culture, semiotics, and cultural branding. This complicates the thorough analysis of the "cross-media narrative of the Cizhou Kiln and contemporary branding design," which is the central focus of this study. </w:t>
      </w:r>
    </w:p>
    <w:p w14:paraId="334855A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Research on the decorative patterns of the Cizhou Kiln primarily focuses on the dimensions of "form-date" and "craft-image." However, it overlooks the semantic interpretation of patterns in contemporary visual communication and branding, along with the aspect of user perception. Many focus on the technique, aesthetic qualities, and historical importance of classic artifacts, limiting their analysis to "cultural relics appraisal" and "historical interruption." This approach overlooks contemporary relevance and lacks a systematic semiotic analysis, which impedes the direct integration of these elements into modern design. A lack of systematic investigation into semiotic meaning complicates the direct translation into contemporary design features. For example, Wang Zengcheng and Sun Yuzheng. In "Printing and Dyeing" by Sun Yuanzheng (2024). In his master's thesis, Hou Zhigang established the basis for the development of patterns from the Northern Song Dynasty to the Yuan Dynasty. This study develops the framework of the "Folk Narrative-Image Motif-Craft Strategy" to examine the perspectives on the creation of magnetic kilns during the Song and Yuan Dynasties. It also explores cross-media narratives of traditional patterns.</w:t>
      </w:r>
    </w:p>
    <w:p w14:paraId="60B10C79">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Certain studies on the cross-media development of Dunhuang mural paintings and cultural creations from the Forbidden City have demonstrated significant success. These studies primarily focus on "digital products" or "gamification applications," overlooking commercial aspects like brand positioning, user experience, and market interface. They often focus on "digital products" or "game-like applications," overlooking a thorough analysis of brand positioning, user experience, and commercial factors such as market interface. They frequently stay at the phase of "visual remodeling" or "multimedia exhibition," overlooking the sustained management of brand assets or cultural intellectual property. Jenkins (2006) and Ryan (2019) introduced the "materialized narrative" model. Wen Bo (2025, "Martial Arts Research") examined the digitalization of NRLs through the lens of material culture and narrative, emphasizing "symbolic-contextual mapping." Deng Xunchun (2025, "Screen Printing") and Li Xu, along with Liu Xu (2025, "Screen Printing"), employed shadow puppets and regional branding as a case study to substantiate the "context-role-plot" model. This framework has not been fully integrated with the media translation of ceramic patterns. </w:t>
      </w:r>
    </w:p>
    <w:p w14:paraId="7C31AC0B">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integration of mixed research methods in decorative pattern redesign and user experience has led to a shift in the design community from a focus on style to an emphasis on 'meaning-experience'. Verganti (2009) argues that "design-driven innovation is about creating a vision about a possible new meaning and making that vision come true," while Norman (2004, Basic Books) contributes to this discourse. The importance of emotional design is emphasized. Hybrid research methodologies highlight the iterative process of "symbol mining followed by quantitative validation." Yulong Chen and Ke Xue (2021) evaluated the emotional advantages of traditional Su-embroidery patterns using interviews and the User Experience Questionnaire (UEQ). Xu, N. and Zhao, Y. (2023) investigated the concept of "Sustainability," whereas Hizkia, Y. (2023) analyzed "The Implications for the Design of Traditional Su-embroidery Patterns." Hizkia C. Ole, Eirene W. M. Sakka, and Deske W. Mandagi (2025) utilized Partial Least Squares Structural Equation Modeling (PLS-SEM) to confirm the significance of the pathway "Narrative Integrity-Perceived Cultural Value- Brand Loyalty." As a result, current research on ceramic pattern branding is limited to evaluating aesthetic preference and fails to establish the causal relationship between "narrative mechanism and experiential indicators." </w:t>
      </w:r>
    </w:p>
    <w:p w14:paraId="13E70982">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In conclusion, the application of branding theory in the cultural sector, as explored by Aaker (1991) and Keller (2008), primarily addresses generic consumer products or businesses, overlooking a thorough analysis of non-heritage or traditional crafts. It is essential to adapt and improve branding theory by incorporating local cultural attributes, artisanal qualities, and cross-media communication strategies. </w:t>
      </w:r>
    </w:p>
    <w:p w14:paraId="3133D63D">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2.3 Principal Discussions and Disputes in the Literature </w:t>
      </w:r>
    </w:p>
    <w:p w14:paraId="1550FBD6">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An analysis of the literature across multiple disciplines reveals several significant disputes and questions that require further investigation. Initially, a dichotomy exists between "preservation" and "innovation": some researchers (Smith &amp; Akagawa, 2009) argue that Intangible Cultural Heritage must maintain authenticity, expressing concerns that commercialization may lead to cultural alienation or symbolic depletion. They argue that Intangible Cultural Heritage should maintain its originality, highlighting concerns that commercialization could lead to cultural alienation or symbolic depletion. Other researchers (O'Connor, 2013; Wang, 2015) argue that a moderate degree of commercialization and branding could preserve cultural heritage and avert its "museumisation." The challenge involves maintaining the cultural essence and aesthetic spirit of the CizhouKiln patterns in contemporary applications while simultaneously meeting commercial expectations and branding requirements, thus requiring a careful balance. </w:t>
      </w:r>
    </w:p>
    <w:p w14:paraId="717DEEB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depth and risks associated with homogenization in transmedia narratives. Transmedia storytelling is the art of world-making （Jenkins,2006). He argued that transmedia narratives expand worldviews and characterizations through diverse media; however, many cultural examples often involve the "repetition of the same content across multiple channels" rather than authentic story progression. The development of Dunhuang and the Forbidden City intellectual property faces challenges associated with "excessive homogenization of ancillary items" and "insufficient core narratives" (Chao &amp; Li, 2020). This study suggests that Cizhou Kiln themes can foster unique but complementary narrative elements across various media, avoiding simple replication and collage. </w:t>
      </w:r>
    </w:p>
    <w:p w14:paraId="2137485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concept of "cultural intellectual property" in brand design presents distinct challenges. Aaker (1991) and Keller (2008) offer a systematic theory of brand equity relevant to both consumer and corporate brands. However, in the context of developing "cultural IP of non-heritage crafts," the interests of regional communities are often neglected (Wang, 2015). The development of the "cultural IP of NRL crafts" often neglects the interests of regional communities, the perspectives of inheritors, and the local cultural heritage (Wang, 2015). The design and communication strategy should consider the social and cultural ecology surrounding the origin of the Cizhou Kiln, as well as the needs of artists, governmental entities, cultural institutions, and market stakeholders. </w:t>
      </w:r>
    </w:p>
    <w:p w14:paraId="3487E2DC">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identified inconsistencies demonstrate the need to balance "cultural authenticity" with "branding," as well as "depth of multimedia story" with "user engagement." This study must focus on achieving a balance between theoretical frameworks and practical applications. </w:t>
      </w:r>
    </w:p>
    <w:p w14:paraId="66992347">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2.4 Identification of Research Gaps and Thematic Focus </w:t>
      </w:r>
    </w:p>
    <w:p w14:paraId="7D268F48">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Current semiotic studies predominantly focus on iconography and decorative arts analysis, lacking a systematic method for translating patterns from historical forms into modern visual language. Despite the prevalence of digital cultural creation in the Forbidden City and Dunhuang, there is a significant lack of case studies examining the development of cross-media narratives within the Cizhou Kiln, a regional ceramic system characterized as "folk." Vacant areas. Many researchers have observed audience preferences for non-heritage cultural and creative products; however, there is a lack of thorough qualitative and quantitative studies, especially concerning the influence of "cross-media brand touchpoints" on users' emotional resonance and identity. Moreover, the branding theoretical frameworks proposed by Aaker and Keller have not been adequately integrated with the "Traditional Crafts - Local Communities" framework. The branding theoretical frameworks of Aaker and Keller have not fully integrated the triadic relationship of "traditional crafts - local communities - global markets," indicating a need for academic revision and empirical validation. </w:t>
      </w:r>
    </w:p>
    <w:p w14:paraId="1AD96964">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study focuses on three main themes: the semiotic recoding of decorative patterns in the Cizhou Kiln, cross-media narrative construction, and user experience and branding strategies. A mixed-method approach will be employed, integrating qualitative and quantitative research to address both the claims of existing literature and the shortcomings in aligning local practices with theoretical frameworks.</w:t>
      </w:r>
    </w:p>
    <w:p w14:paraId="6666639B">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p>
    <w:p w14:paraId="4BA80D09">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lang w:val="en-US"/>
        </w:rPr>
        <w:t xml:space="preserve">3 </w:t>
      </w:r>
      <w:r>
        <w:rPr>
          <w:rFonts w:hint="default" w:ascii="Times New Roman Regular" w:hAnsi="Times New Roman Regular" w:cs="Times New Roman Regular"/>
        </w:rPr>
        <w:t xml:space="preserve">Methodology </w:t>
      </w:r>
    </w:p>
    <w:p w14:paraId="1A521ABE">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study argues, based on constructivist philosophy, that cultural meaning is not an objectively inherent entity but a dynamic process influenced by particular social contexts and media activities. The modern manifestation of the decorative art of the Cizhou Kiln, characterized by its symbolic and culturally rooted visual language, depends on both the modeling of motifs and their narration, interpretation, and re-perception across diverse media platforms. The present expression depends on the modeling form of the pattern and the way it is narrated, interpreted, and re-perceived across various media platforms. </w:t>
      </w:r>
    </w:p>
    <w:p w14:paraId="25256579">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3.1 Mixed Methods Approach </w:t>
      </w:r>
    </w:p>
    <w:p w14:paraId="2804DC7A">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study gathers multidimensional evidence from qualitative (core) and quantitative (supplementary) sources to comprehensively address the research question: "How can cross-media narrative reconstruction and modern branding design of the decorative patterns of the Cizhou Kiln balance cultural heritage and market value?" This study utilizes a Mixed Methods approach, primarily driven by qualitative research through Narrative Inquiry, supplemented by a quantitative survey to validate the textual data and support the qualitative findings. This research analyzes the cultural semiotics of the ornamental patterns of the Cizhou Kiln and assesses the impact of cross-media branding design on user experience and market response. Symbol interpretation and experiential perception are better suited for qualitative research; however, aspects such as "market awareness" and "potential consumer choice" can be effectively evaluated through quantitative methods. "The integration of quantitative and qualitative data can dramatically enhance the value of mixed methods research" (Creswell and Plano Clark, 2017). "Various processes for methodologic and data-analysis triangulation are described in this scoping review but lack detail, thus hampering standardization in case study research, potentially affecting research traceability" (Schlunegger, Zumstein-Shaha and Palm, 2024). This study's qualitative aspect seeks to explore the question, "How do users subjectively perceive and interpret magnetic kiln patterns in cross-media storytelling and branding, and what cultural and emotional significances do these patterns possess?" The inquiry quantitatively examines whether the target audience's awareness and preference for the brand image of the Cizhou Kiln significantly increase after multimedia exposure and whether there exists a statistically significant difference among various populations. </w:t>
      </w:r>
    </w:p>
    <w:p w14:paraId="37C91552">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3.2 Methodology and Methods </w:t>
      </w:r>
    </w:p>
    <w:p w14:paraId="4CC6839B">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research employs narrative inquiry as its primary methodological framework. The narrative inquiry method investigates how individuals construct meaning through narratives, focusing on story, context, and cultural identity. This study examines the role of decorative patterns in conveying cultural significance and the ways in which brands construct narratives, with narrative functioning as the central mechanism. The current discourse surrounding the decorative art of the Cizhou Kiln reveals that diverse mediums, such as digital images and interactive design, serve as "narrators." These mediums facilitate the transformation of primitive image symbols into contemporary symbols that are emotionally resonant and imbued with identity. In modern communication, diverse media, such as digital imagery, interactive design, and brand visual systems, serve as "narrators," transforming original image symbols into contemporary cultural expressions that possess temporal relevance, emotional depth, and identity."Narrative inquiry is a way of understanding experience"(Clandinin and Connelly, 2000). A significant repository of oral material, encompassing historical narratives, tales, and artisanal legacies, exists for non-heritage or traditional crafts. Narrative inquiry can more effectively incorporate this material into cross-media branding initiatives. Interviews, oral histories, and textual recordings facilitate the collection of narratives from various participants, including craftsmen, brand designers, and users. These narratives can be compared and analyzed to clarify the cultural significance and contemporary relevance of the Cizhou Kiln patterns from multiple perspectives. This project will entail conducting oral history interviews with current artisans or residents to clarify the history and narratives linked to the patterns. Narrative interviews can be conducted with relevant brand planners to determine how they transform these narratives into brand elements or cross-media scripts, as well as to collect the re-narratives of consumers or audiences after their interaction with the brand stories, thus examining how these narratives are internalized or reinterpreted by the audiences. </w:t>
      </w:r>
    </w:p>
    <w:p w14:paraId="589C1F8D">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Phenomenology is a project of exploring and explicating human experience as it is lived through(van Manen, 2016), rendering it appropriate for exploring first-person experiences, emotional variations, and cultural identity of audiences engaging with the "cross-media branding design of the Cizhou Kiln." However, it is not suitable as the primary research framework. In design research and user experience, phenomenology assists researchers in understanding how audiences extract meaning from their experiences with patterns or narratives. These two techniques demonstrate several similarities, each with unique strengths and limitations. Phenomenology enables a thorough examination of customers' subjective perceptions of traditional cultural brands, thereby fostering a detailed qualitative understanding. However, the samples are generally restricted in size, which limits the representation of diverse populations; the interpretation of interview findings relies on the researcher's subjectivity. Narrative inquiry methodology is well-suited for investigating "traditional culture - contemporary transformation," as it yields structured multiple perspectives. However, it relies on a limited sample of interviews and textual analyses, requiring significant time for interviewing, recording, and analyzing the process. </w:t>
      </w:r>
    </w:p>
    <w:p w14:paraId="34E65C38">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The first step in the data collection process within qualitative research methodology is to identify the interview subjects. This study focuses on the inheritors of the Cizhou Kiln, specifically young next-generation inheritors (NGIs), local cultural institutions or scholars, brand strategists, and audience groups involved in cross-media narrative experiences. Qualitative and semi-structured interviews will be conducted with these subjects, focusing on their perceptions of the pattern, cross-media narrative experiences, brand associations, cultural identity, and emotional resonance for further development. The qualitative semi-structured interviews will focus on participants' understanding of the pattern, cross-media narrative experience, brand associations, cultural identity, and emotional resonance. The interviews will be carried out either individually or in small focus groups, depending on the circumstances, to facilitate discussion and interaction. A foundational group of artisans or emerging cultural workers can initiate the process by recommending additional suitable interviews or participants, thereby facilitating a snowball effect in expansion.</w:t>
      </w:r>
    </w:p>
    <w:p w14:paraId="4FE7E67F">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Additionally, monitoring audience responses in cross-media presentations, such as exhibitions and VR applications, is crucial. It is important to gather and analyze relevant documents, oral histories, brand storytelling scripts, design sketches, and visual outputs. Focus on the narrative framework within the interview text, including scene establishment, key events, character interactions, and associated components. Examine the narrative structure and values across different periods and groups to understand the importance of "storytelling" in the "Cizhou Kiln" from multiple perspectives. The final stage involves integrating qualitative methodology interviews into the narrative process. It is crucial to review the interviews, observational notes, or narrative texts of qualitative methods multiple times to identify the core concepts or sentiments (e.g., "craftsmanship," "regional memory," "current values," etc.). </w:t>
      </w:r>
    </w:p>
    <w:p w14:paraId="6913F075">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quantitative study approach primarily utilized questionnaires to assess brand image recognition and cultural identification. The sample employed includes an online questionnaire, specifically Questionnaire Star, targeting consumers across various age groups and geographical locations. Modest stratification was utilized (e.g., different areas or communities of interest) to collect a diverse array of opinions. A Likert Scale can be utilized to evaluate perceptions of contemporary items that incorporate the Magnetic State Kiln design and the acceptance of cross-media narrative effects, among other factors. The User Experience Questionnaire (UEQ) can be utilized to evaluate user ease of use and satisfaction in the context of digital media technology or interaction design, encompassing applications, virtual reality, augmented reality, and other immersive experiences. The synthesis of the data will confirm the quantitative findings alongside the qualitative themes; for example, a high score in "Cultural Identity" will correspond with the themes of "Deep Sense of History" or "Sense of Closeness" as demonstrated in the interviews. The interviews reflected themes of deep historical awareness and a sense of intimacy. </w:t>
      </w:r>
    </w:p>
    <w:p w14:paraId="30684243">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3.3 Ethical Considerations </w:t>
      </w:r>
    </w:p>
    <w:p w14:paraId="6D4EEAE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"All participants were required to sign an informed consent form prior to the initiation of the interview or survey, which outlined the study's objectives, the anonymization procedures, and the extent of data utilization (Kalpokas and Hecker, 2023)." Employ codes instead of real names; store all recordings and transcripts on a password-protected cloud or encrypted hard drive; and comply with the GDPR or relevant data protection regulations. Engagement with artisans and local communities requires respect for cultural and craft traditions. Interviews or observations may involve proprietary techniques or commercially sensitive information, which must be managed carefully to ensure that only publicly permissible content is included in the findings. Researchers should clearly disclose their roles and objectives to mitigate "commercial speculation" and allow interviewees the opportunity to review interview summaries as necessary to ensure accuracy and maintain trust. </w:t>
      </w:r>
    </w:p>
    <w:p w14:paraId="000F6FFC">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3.4 Alternative Methodologies and Techniques </w:t>
      </w:r>
    </w:p>
    <w:p w14:paraId="118F5027">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The regional characteristics of the Cizhou Kiln, along with extended engagement in the production area and the application of ethnographic methods, facilitate comprehensive observation of the community and the daily activities of the craftsmen. This approach is closely connected to the genuine contexts of the production and transmission (Spradley, 1979), thus enabling the understanding of "locality" and "cultural deep description." However, the study has notable limitations, including significant time requirements, the need for advanced field methodologies and anthropological expertise, and the risk of bias toward a focused, in-depth analysis, which hinders the collection of comprehensive market data. Moreover, if we aim to engage closely with corporations or governmental bodies in the future and promote transformative changes through iterative cycles of design, feedback, and improvement—particularly the "plan-act-observe-reflect" framework—we will be prepared to accomplish this. Action research can be utilized to enable interventional change (Kemmis and McTaggart, 1988), facilitating rapid iterations of the branding program for the Cizhou Kiln at a practical level, thus supporting businesses in their early stages. However, certain limitations are present, including the tendency for market or management objectives to take priority, thereby undermining academic neutrality, among other issues.</w:t>
      </w:r>
    </w:p>
    <w:p w14:paraId="43E164A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IV: Discussion and Analysis </w:t>
      </w:r>
    </w:p>
    <w:p w14:paraId="5298648F">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study depends on a mixed research methodology that combines qualitative and quantitative approaches to examine the re-creative value of the Cizhou Kiln pattern in relation to cross-media narrative and contemporary branding from multiple perspectives. This study aims to achieve an integrative impact by encompassing both the complicated cultural and emotional dimensions and providing broader, comparable quantitative measures, thus addressing the complex challenges posed by this research comprehensively. More comprehensive and comparable quantitative metrics are necessary to address the complex issues that arise in our work more effectively. We employed narrative inquiry methodology to conduct interviews with pertinent individuals and audiences, focusing on their significant experiences, emotional perspectives, and the meanings they derived from their engagement with the production process. This study investigates how audiences perceive the cultural connotation of the Cizhou Kiln through cross-media narratives. How do inheritors and contemporary designers balance the authenticity of ancient craftsmanship with market demand? Quantitative research employs numerical data to assess cross-media story and brand design acceptance within a large sample, along with the factors influencing these perceptions, thus enhancing the practicality and validity of the research questions. Exclusively depending on qualitative interviews may lead to a lack of breadth and objective measures; on the other hand, solely employing quantitative surveys may miss the depth of individuals' understanding of traditional symbols in emotional and cultural contexts. Thus, these two research avenues collaboratively tackle the core research questions, leading to renowned methodological alignment.</w:t>
      </w:r>
    </w:p>
    <w:p w14:paraId="55972B7F">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4.1 Possible Discoveries and Findings </w:t>
      </w:r>
    </w:p>
    <w:p w14:paraId="4D2A519A">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Analyzing the patterns as a "visual symbol system" (Saussure, 1983; Peirce, 1931-1958) enhances understanding of the translation of their form and cultural implications within the contemporary media landscape. The semiotic perspective provides a systematic analysis of 'form and meaning', clarifying the reasons certain simplified or stylized patterns persist in evoking associations with folk culture. The transmedia narrative framework (Jenkins, 2006) clarifies how "multi-platform storytelling" creates a cumulative experience. This demonstrates that they have some structural characteristics of the basic level I narratives; level II narratives have added elements of conflict, drama, emotional intensity, cultural tropes, or archetypal characters. Cultural and branding theories elucidate brand recognition and preference processes while addressing the 'museumisation' of the Cizhou Kiln and reconciling cultural authenticity with market-oriented strategies (O'Connor, 2013). Theoretical frameworks interconnect and provide a solid interpretative foundation for the contemporary re-interpretation of traditional crafts through the triadic approach of "symbol-story-brand". </w:t>
      </w:r>
    </w:p>
    <w:p w14:paraId="4428514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p>
    <w:p w14:paraId="77530FA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Analysis of in-depth interviews with inheritors, young designers, and users employing narrative inquiry methodology reveals diverse interpretations of the symbolic essence of the Cizhou Kiln pattern. Inheritors emphasize historical sentiment, craftsmanship aesthetics, and folklore symbolism. Young designers focus on symbolic refinement, visual impact, and integration into brand visual identity. Users prioritize the aesthetics of the finished product, personalization, and the novelty of the cross-media experience. Emerging designers focus on the extraction of symbols and visual impact alongside the incorporation of storytelling into brand visual identity. Consumers tend to prioritize the aesthetics of the final product, personalization, and the novelty of cross-media experiences. Interviews of this type, if they reveal interpretative discrepancies among the three parties, suggest that the semiotic recoding process must attain a balance between cultural authenticity and economic simplification. Quantitative surveys, including questionnaires, evaluate brand awareness and attitudes before and after cross-media interactions, such as short videos and digital engagements. Should the data reveal a notable increase in users' awareness of the Cizhou Kiln and their cultural preferences, it can be concluded that cross-media narratives are effective for brand promotion. The data suggests a significant increase in the acceptance of brand design among younger individuals, indicating that the efficacy of new media expressions and traditional patterns may lie in the integration of content form and contemporary aesthetic trends (Kim and Yoon, 2021). </w:t>
      </w:r>
    </w:p>
    <w:p w14:paraId="177F434C">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4.2 Emerging Questions and Limitations </w:t>
      </w:r>
    </w:p>
    <w:p w14:paraId="730D25F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design of this study could result in specific risks and limitations. Firstly, there is a concern regarding potential sampling error within the target population. If the interviews or surveys primarily focus on specific regions and demographics, particularly those with a strong interest in traditional culture, while excluding a wider or possibly indifferent group, the results may be biased towards favorable and positive feedback. To improve the study's generalizability, it should involve a more culturally diverse demographic, multinational audiences, or general consumers who have not had direct exposure to Cizhou Kiln. The authentic views of local artisans or community members may be influenced by the 'researcher relationship.' Subsequent research should consider integrating fieldwork or a small-scale anthropological approach. The same holds for quantitative surveys, as the potential for data generalization decreases when the distribution method targets 'art and culture' groups. Additionally, constraints related to time and resources present challenges, as the effectiveness of cross-media narratives typically requires extended "repeated exposure" for proper development, and the "attitudinal augmentation" observed in the short term may simply reflect a temporary novelty. A conflict may emerge between cultural ethics and internal discord. The branding of NRLs raises questions about their authenticity. Focusing exclusively on market reactions while failing to express the needs of the community and artisans may lead to the neglect of local cultural stakeholders' perspectives and interests in this process (Wang, 2015). Cross-media narrative theory suggests that audiences tend to pursue deeper content; however, users may only engage with a particular medium for a limited duration. Should quantitative data reveal that customers are primarily "shallow consumers," it is crucial to explore strategies for effectively conveying the attractiveness of the Cizhou Kiln within a limited timeframe. The question arises as to whether the "folk aesthetic" and the "black and white painting language" necessitate different interpretations by individuals from diverse cultural backgrounds. The identified issues suggest that the study approach, while capable of yielding multidimensional insights, faces the limitation of insufficient control over the external environment. Longer duration and a larger sample are essential for a thorough validation of the prevalence of cross-media narratives in branding. The mixed research method combines semiotic analysis, qualitative interviews, and quantitative assessment, which may complicate study execution and lead to conflated analyses if time or resources are limited. It is crucial to develop a strong hierarchical plan in the design phase, define the objectives and scope of each method, and ensure that the results are logically consistent. </w:t>
      </w:r>
    </w:p>
    <w:p w14:paraId="13AEA171">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p>
    <w:p w14:paraId="56A56BDD">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4.3 Theoretical Interaction and Methodological Considerations </w:t>
      </w:r>
    </w:p>
    <w:p w14:paraId="4F18A96E">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Artisans emphasize the quality of workmanship, historical relevance, and familial stories linked to the motifs, expressing concern over the potential simplification or commercialization of these representations. Contemporary designers or brand practitioners typically enhance recognizable symbols and provide them with meanings that align more closely with current aesthetics and market demands. This variation in interpretation corresponds with Peirce's concept of "Interpretant": the same motif is invoked with different "references" across diverse subject-object relationships. Furthermore, numerous local residents or folklore experts recognize patterns as symbols of regional culture, representing local traditions and positive connotations. In contrast, the general public or younger consumers may regard them merely as "national trends" or "fashion elements," lacking a deeper understanding of their significance. If supported by interview data or observational recordings, the tension between "traditional symbolism" and "commercialized expression" in the semiotic re-encoding process will represent a key finding of the study. The findings indicate that semiotics and transmedia narrative theory can analyze the emergence of diverse meanings of the same pattern across various communities. This analysis assists transmedia narratives in achieving "differentiated expression," which preserves regional characteristics while ensuring identifiability and extensibility in branding. Henry Jenkins' (2006) concept of cross-media narrative asserts that a strong intellectual property (IP) must offer an integrated, value-adding perspective or content ecosystem across multiple media platforms rather than simply duplicating content. The study, especially the quantitative aspect, indicates that the audience's awareness, emotional attachment, and willingness to engage with the cultural symbol of the Cizhou Kiln significantly increase following exposure to short videos, physical exhibits, and digital interactive games. If the study indicates that a significant number of users reported dissatisfaction with the insufficient articulation and repetitive nature across media, it would support the concerns articulated by Chao and Li (2020) about the cross-media initiative between the Forbidden City and Dunhuang: "Multimedia" does not necessarily imply "deep narrative," and to effectively engage the audience, the project must be "multimedia."Effective engagement of individuals necessitates the development of diverse and complementary content distribution mechanisms. This suggests that cross-media narratives should not simply serve as an amalgamation of marketing techniques but must instead be a purposeful endeavor in developing brand and cultural significance. Suppose the findings of this study support this conclusion. In that case, it will improve understanding of the practical application of transmedia narrative theory in non-heritage branding and further the development of the interdisciplinary field of "transmedia+heritage studies" in academia. Keller's (2008) Consumer-Based Brand Equity (CBBE) model delineates brand identity, brand meaning, brand response, and brand resonance, providing a structured framework for brand development that encompasses visual identity design, cultural value integration, user feedback mechanisms, and routes to brand resonance. User feedback system: brand resonance trajectory. This concept can guide the development of research questionnaires or interviews. Should quantitative surveys or focus group interviews reveal that users have improved their perception of the traditional craft image after cross-media exposure to the pattern—evidenced by their recollection of the unique black-and-white lines and folk painting style, alignment with the artisanal spirit and regional narratives, and a willingness to invest in related cultural peripherals or experiential activities. The theory of branding exhibits a degree of mobility, allowing for the integration of traditional cultural resource</w:t>
      </w:r>
      <w:r>
        <w:rPr>
          <w:rFonts w:hint="default" w:ascii="Times New Roman Regular" w:hAnsi="Times New Roman Regular" w:cs="Times New Roman Regular"/>
        </w:rPr>
        <w:t>s into contemporary brand operational systems. Complaints about cultural appropriation or excessive commercialization may emerge, with interviewers or community members questioning the dilution of 'authenticity', leading to what Smith &amp; Akagawa (2009) describe as the 'heritage ethic' contradiction. If validated, this outcome would provide empirical evidence for traditional craft branding within academic discourse. The resources can function as cultural assets, offering unique value to brands. Researchers must establish a strong connection between branding and cultural studies with ethics, community interests, and historical contexts; failure to do so may lead to a reduction to mere "consumerisation."</w:t>
      </w:r>
    </w:p>
    <w:p w14:paraId="033566F0">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lang w:val="en-US"/>
        </w:rPr>
        <w:t>5</w:t>
      </w:r>
      <w:r>
        <w:rPr>
          <w:rFonts w:hint="default" w:ascii="Times New Roman Regular" w:hAnsi="Times New Roman Regular" w:cs="Times New Roman Regular"/>
        </w:rPr>
        <w:t xml:space="preserve"> Conclusion</w:t>
      </w:r>
    </w:p>
    <w:p w14:paraId="7023A1D6">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Semiotics, cross-media narrative, and branding are used to analyze the "branding of non-heritage culture," producing a complicated framework. This is unique in earlier investigations and expands the theoretical basis for traditional pattern applications today. This study builds and evaluates a mixed-methods methodology that combines narrative inquiry with quantitative analysis to reconstitute ornamental themes from the Cizhou Kiln and modern branding design across media. The four levels of historical motif analysis are symbolic, grammatical, semantic, and narrative. The narrative inquiry technique explains how these themes create meaning in varied social contexts and provides a foundation for storytelling and character representation in current visual language. This strategy transforms Cizhou Kiln from "material remnants" to "culture story units." Traditional archaeological and art historical study neglects user factors and communication contexts. This research integrates a qualitative cross-media story prototype into the brand visual system and allows quantitative verification, creating a "qualitative interpretation - quantitative testing - re-interpretation." This suggests that cultural narrative depth affects users' cultural meaning and brand loyalty. This shows that cultural narrative depth strongly affects users' cultural importance and brand loyalty.</w:t>
      </w:r>
    </w:p>
    <w:p w14:paraId="1D9BD019">
      <w:pPr>
        <w:pStyle w:val="2"/>
        <w:keepNext w:val="0"/>
        <w:keepLines w:val="0"/>
        <w:widowControl/>
        <w:suppressLineNumbers w:val="0"/>
        <w:spacing w:before="0" w:beforeAutospacing="1" w:after="0" w:afterAutospacing="1"/>
        <w:ind w:left="0" w:right="0"/>
        <w:rPr>
          <w:rFonts w:hint="default" w:ascii="Times New Roman Regular" w:hAnsi="Times New Roman Regular" w:cs="Times New Roman Regular"/>
        </w:rPr>
      </w:pPr>
      <w:r>
        <w:rPr>
          <w:rFonts w:hint="default" w:ascii="Times New Roman Regular" w:hAnsi="Times New Roman Regular" w:cs="Times New Roman Regular"/>
        </w:rPr>
        <w:t>This study shows that narrative inquiry and semiotic analysis can revive folk kiln patterns. This study uses an interpretative sequential mixed design to explain how to turn qualitative insights into measurable indicators, giving an accurate framework for studying non-heritage cultural intellectual goods. The hybrid study combines cultural ontology research, design practice, and user experience to strengthen findings and give a framework for scholars. This study provides direction for future research despite its sample geography, media type, and longitudinal monitoring restrictions. It proposes two main approaches: first, to prove narrative structures are universal across cultures, and second, to use new media like VR and AR to deepen and intensify narratives. Qualitative research is crucial to reviving cultural symbols and design applications, according to this study. A thorough mixed research study supports its methodological approach to traditional craftsmanship in contemporary branding contexts.</w:t>
      </w:r>
    </w:p>
    <w:p w14:paraId="79DE6D5E">
      <w:pPr>
        <w:rPr>
          <w:rFonts w:hint="default" w:ascii="Times New Roman Regular" w:hAnsi="Times New Roman Regular" w:cs="Times New Roman Regular"/>
          <w:color w:val="auto"/>
          <w:sz w:val="21"/>
          <w:szCs w:val="21"/>
          <w:lang w:val="en-US" w:eastAsia="zh-CN"/>
        </w:rPr>
      </w:pPr>
      <w:r>
        <w:rPr>
          <w:rFonts w:hint="default" w:ascii="Times New Roman Regular" w:hAnsi="Times New Roman Regular" w:cs="Times New Roman Regular"/>
          <w:color w:val="auto"/>
          <w:sz w:val="21"/>
          <w:szCs w:val="21"/>
          <w:lang w:val="en-US" w:eastAsia="zh-CN"/>
        </w:rPr>
        <w:br w:type="page"/>
      </w:r>
    </w:p>
    <w:p w14:paraId="251BA1F8">
      <w:pPr>
        <w:pStyle w:val="2"/>
        <w:keepNext w:val="0"/>
        <w:keepLines w:val="0"/>
        <w:widowControl/>
        <w:suppressLineNumbers w:val="0"/>
        <w:spacing w:before="0" w:beforeAutospacing="1" w:after="0" w:afterAutospacing="1"/>
        <w:ind w:left="0" w:right="0"/>
        <w:rPr>
          <w:rFonts w:hint="eastAsia" w:ascii="Times New Roman Regular" w:hAnsi="Times New Roman Regular" w:cs="Times New Roman Regular"/>
          <w:color w:val="auto"/>
          <w:sz w:val="21"/>
          <w:szCs w:val="21"/>
          <w:lang w:val="en-US" w:eastAsia="zh-CN"/>
        </w:rPr>
      </w:pPr>
      <w:r>
        <w:rPr>
          <w:rFonts w:hint="default" w:ascii="Times New Roman Regular" w:hAnsi="Times New Roman Regular" w:cs="Times New Roman Regular"/>
          <w:color w:val="auto"/>
          <w:sz w:val="21"/>
          <w:szCs w:val="21"/>
          <w:lang w:val="en-US" w:eastAsia="zh-CN"/>
        </w:rPr>
        <w:t>R</w:t>
      </w:r>
      <w:r>
        <w:rPr>
          <w:rFonts w:hint="eastAsia" w:ascii="Times New Roman Regular" w:hAnsi="Times New Roman Regular" w:cs="Times New Roman Regular"/>
          <w:color w:val="auto"/>
          <w:sz w:val="21"/>
          <w:szCs w:val="21"/>
          <w:lang w:val="en-US" w:eastAsia="zh-CN"/>
        </w:rPr>
        <w:t>eference：</w:t>
      </w:r>
    </w:p>
    <w:p w14:paraId="3BEA3781">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He Li (1996). </w:t>
      </w:r>
      <w:r>
        <w:rPr>
          <w:rFonts w:hint="default" w:ascii="Times New Roman Italic" w:hAnsi="Times New Roman Italic" w:cs="Times New Roman Italic"/>
          <w:i/>
          <w:iCs/>
          <w:color w:val="auto"/>
        </w:rPr>
        <w:t>Chinese Ceramics: A New Comprehensive Survey from the Asian Art Museum of San Francisco.</w:t>
      </w:r>
      <w:r>
        <w:rPr>
          <w:rFonts w:hint="default" w:ascii="Times New Roman Regular" w:hAnsi="Times New Roman Regular" w:cs="Times New Roman Regular"/>
          <w:color w:val="auto"/>
        </w:rPr>
        <w:t xml:space="preserve"> London: Thames &amp; Hudson.</w:t>
      </w:r>
    </w:p>
    <w:p w14:paraId="21F2BB54">
      <w:pPr>
        <w:rPr>
          <w:rFonts w:hint="default" w:ascii="Times New Roman Regular" w:hAnsi="Times New Roman Regular" w:cs="Times New Roman Regular"/>
          <w:color w:val="auto"/>
        </w:rPr>
      </w:pPr>
    </w:p>
    <w:p w14:paraId="62608B42">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Zhao, F. (2019) </w:t>
      </w:r>
      <w:r>
        <w:rPr>
          <w:rFonts w:hint="default" w:ascii="Times New Roman Italic" w:hAnsi="Times New Roman Italic" w:cs="Times New Roman Italic"/>
          <w:i/>
          <w:iCs/>
          <w:color w:val="auto"/>
        </w:rPr>
        <w:t xml:space="preserve">Research on the Application of Cizhou Kiln Decorative Elements in Modern Decorative Painting. </w:t>
      </w:r>
      <w:r>
        <w:rPr>
          <w:rFonts w:hint="default" w:ascii="Times New Roman Regular" w:hAnsi="Times New Roman Regular" w:cs="Times New Roman Regular"/>
          <w:color w:val="auto"/>
        </w:rPr>
        <w:t>Master's thesis. Central South University of Forestry and Technology.</w:t>
      </w:r>
    </w:p>
    <w:p w14:paraId="18FFB6D7">
      <w:pPr>
        <w:rPr>
          <w:rFonts w:hint="default" w:ascii="Times New Roman Regular" w:hAnsi="Times New Roman Regular" w:cs="Times New Roman Regular"/>
          <w:color w:val="auto"/>
        </w:rPr>
      </w:pPr>
    </w:p>
    <w:p w14:paraId="055DDDE0">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Hu, B., Zelenko, O., Pinxit, V. &amp; Buys, L. (2019) ‘A Social Semiotic Approach and a Visual Analysis Approach for Chinese Traditional Visual Language: A Case of Tea Packaging Design’, </w:t>
      </w:r>
      <w:r>
        <w:rPr>
          <w:rFonts w:hint="default" w:ascii="Times New Roman Italic" w:hAnsi="Times New Roman Italic" w:cs="Times New Roman Italic"/>
          <w:i/>
          <w:iCs/>
          <w:color w:val="auto"/>
        </w:rPr>
        <w:t>Theory and Practice in Language Studies,</w:t>
      </w:r>
      <w:r>
        <w:rPr>
          <w:rFonts w:hint="default" w:ascii="Times New Roman Regular" w:hAnsi="Times New Roman Regular" w:cs="Times New Roman Regular"/>
          <w:color w:val="auto"/>
        </w:rPr>
        <w:t xml:space="preserve"> 9(2), pp. 168–177. </w:t>
      </w:r>
    </w:p>
    <w:p w14:paraId="46801D3D">
      <w:pPr>
        <w:rPr>
          <w:rFonts w:hint="default" w:ascii="Times New Roman Regular" w:hAnsi="Times New Roman Regular" w:cs="Times New Roman Regular"/>
          <w:color w:val="auto"/>
        </w:rPr>
      </w:pPr>
    </w:p>
    <w:p w14:paraId="7AD7DD6C">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Liu, Y. (2019) ‘Application of Transmedia Storytelling in Cultural Brand Communication’, </w:t>
      </w:r>
      <w:r>
        <w:rPr>
          <w:rFonts w:hint="default" w:ascii="Times New Roman Italic" w:hAnsi="Times New Roman Italic" w:cs="Times New Roman Italic"/>
          <w:i/>
          <w:iCs/>
          <w:color w:val="auto"/>
        </w:rPr>
        <w:t>Media Watch</w:t>
      </w:r>
      <w:r>
        <w:rPr>
          <w:rFonts w:hint="default" w:ascii="Times New Roman Regular" w:hAnsi="Times New Roman Regular" w:cs="Times New Roman Regular"/>
          <w:color w:val="auto"/>
        </w:rPr>
        <w:t>, 11(6), pp. 78–82.</w:t>
      </w:r>
    </w:p>
    <w:p w14:paraId="67FADF13">
      <w:pPr>
        <w:rPr>
          <w:rFonts w:hint="default" w:ascii="Times New Roman Regular" w:hAnsi="Times New Roman Regular" w:cs="Times New Roman Regular"/>
          <w:color w:val="auto"/>
        </w:rPr>
      </w:pPr>
    </w:p>
    <w:p w14:paraId="59A7938C">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Jenkins, H. (2006)</w:t>
      </w:r>
      <w:r>
        <w:rPr>
          <w:rFonts w:hint="default" w:ascii="Times New Roman Italic" w:hAnsi="Times New Roman Italic" w:cs="Times New Roman Italic"/>
          <w:i/>
          <w:iCs/>
          <w:color w:val="auto"/>
        </w:rPr>
        <w:t xml:space="preserve"> Convergence Culture: Where Old and New Media Collide. </w:t>
      </w:r>
      <w:r>
        <w:rPr>
          <w:rFonts w:hint="default" w:ascii="Times New Roman Regular" w:hAnsi="Times New Roman Regular" w:cs="Times New Roman Regular"/>
          <w:color w:val="auto"/>
        </w:rPr>
        <w:t>New York: New York University Press.</w:t>
      </w:r>
    </w:p>
    <w:p w14:paraId="6CF412EC">
      <w:pPr>
        <w:rPr>
          <w:rFonts w:hint="default" w:ascii="Times New Roman Regular" w:hAnsi="Times New Roman Regular" w:cs="Times New Roman Regular"/>
          <w:color w:val="auto"/>
        </w:rPr>
      </w:pPr>
    </w:p>
    <w:p w14:paraId="27FD7C40">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Keller, K.L. (2013)</w:t>
      </w:r>
      <w:r>
        <w:rPr>
          <w:rFonts w:hint="default" w:ascii="Times New Roman Italic" w:hAnsi="Times New Roman Italic" w:cs="Times New Roman Italic"/>
          <w:i/>
          <w:iCs/>
          <w:color w:val="auto"/>
        </w:rPr>
        <w:t xml:space="preserve"> Strategic Brand Management: Building, Measuring, and Managing Brand Equity</w:t>
      </w:r>
      <w:r>
        <w:rPr>
          <w:rFonts w:hint="default" w:ascii="Times New Roman Regular" w:hAnsi="Times New Roman Regular" w:cs="Times New Roman Regular"/>
          <w:color w:val="auto"/>
        </w:rPr>
        <w:t>. 4th ed. Harlow: Pearson Education.</w:t>
      </w:r>
    </w:p>
    <w:p w14:paraId="706DB9EA">
      <w:pPr>
        <w:rPr>
          <w:rFonts w:hint="default" w:ascii="Times New Roman Regular" w:hAnsi="Times New Roman Regular" w:cs="Times New Roman Regular"/>
          <w:color w:val="auto"/>
        </w:rPr>
      </w:pPr>
    </w:p>
    <w:p w14:paraId="0788E2EA">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Fang, L. (2013) </w:t>
      </w:r>
      <w:r>
        <w:rPr>
          <w:rFonts w:hint="default" w:ascii="Times New Roman Italic" w:hAnsi="Times New Roman Italic" w:cs="Times New Roman Italic"/>
          <w:i/>
          <w:iCs/>
          <w:color w:val="auto"/>
        </w:rPr>
        <w:t>Zhongguo taoci shi Shang</w:t>
      </w:r>
      <w:r>
        <w:rPr>
          <w:rFonts w:hint="default" w:ascii="Times New Roman Regular" w:hAnsi="Times New Roman Regular" w:cs="Times New Roman Regular"/>
          <w:color w:val="auto"/>
        </w:rPr>
        <w:t xml:space="preserve"> [History of Chinese Ceramics, Volume I]. Jinan: Qilu Publishing House.</w:t>
      </w:r>
    </w:p>
    <w:p w14:paraId="23FFCDAC">
      <w:pPr>
        <w:rPr>
          <w:rFonts w:hint="default" w:ascii="Times New Roman Italic" w:hAnsi="Times New Roman Italic" w:cs="Times New Roman Italic"/>
          <w:i/>
          <w:iCs/>
          <w:color w:val="auto"/>
        </w:rPr>
      </w:pPr>
    </w:p>
    <w:p w14:paraId="6196DA6C">
      <w:pPr>
        <w:rPr>
          <w:rFonts w:hint="default" w:ascii="Times New Roman" w:hAnsi="Times New Roman" w:cs="Times New Roman"/>
          <w:i w:val="0"/>
          <w:iCs w:val="0"/>
          <w:color w:val="auto"/>
        </w:rPr>
      </w:pPr>
      <w:r>
        <w:rPr>
          <w:rFonts w:hint="default" w:ascii="Times New Roman" w:hAnsi="Times New Roman" w:cs="Times New Roman"/>
          <w:i w:val="0"/>
          <w:iCs w:val="0"/>
          <w:color w:val="auto"/>
        </w:rPr>
        <w:t xml:space="preserve">UNESCO (2003) </w:t>
      </w:r>
      <w:r>
        <w:rPr>
          <w:rFonts w:hint="default" w:ascii="Times New Roman Italic" w:hAnsi="Times New Roman Italic" w:cs="Times New Roman Italic"/>
          <w:i/>
          <w:iCs/>
          <w:color w:val="auto"/>
        </w:rPr>
        <w:t xml:space="preserve">Convention for the Safeguarding of the Intangible Cultural Heritage. </w:t>
      </w:r>
      <w:r>
        <w:rPr>
          <w:rFonts w:hint="default" w:ascii="Times New Roman" w:hAnsi="Times New Roman" w:cs="Times New Roman"/>
          <w:i w:val="0"/>
          <w:iCs w:val="0"/>
          <w:color w:val="auto"/>
        </w:rPr>
        <w:t xml:space="preserve">Paris: United Nations Educational, Scientific and Cultural Organization. </w:t>
      </w:r>
    </w:p>
    <w:p w14:paraId="5FB36A19">
      <w:pPr>
        <w:rPr>
          <w:rFonts w:hint="default" w:ascii="Times New Roman Italic" w:hAnsi="Times New Roman Italic" w:cs="Times New Roman Italic"/>
          <w:i/>
          <w:iCs/>
          <w:color w:val="auto"/>
        </w:rPr>
      </w:pPr>
    </w:p>
    <w:p w14:paraId="7B330C6B">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rPr>
        <w:t xml:space="preserve">Smith, L. (2006) </w:t>
      </w:r>
      <w:r>
        <w:rPr>
          <w:rFonts w:hint="default" w:ascii="Times New Roman Italic" w:hAnsi="Times New Roman Italic" w:cs="Times New Roman Italic"/>
          <w:i/>
          <w:iCs/>
          <w:color w:val="auto"/>
        </w:rPr>
        <w:t>Uses of Heritage.</w:t>
      </w:r>
      <w:r>
        <w:rPr>
          <w:rFonts w:hint="default" w:ascii="Times New Roman" w:hAnsi="Times New Roman" w:cs="Times New Roman"/>
          <w:i w:val="0"/>
          <w:iCs w:val="0"/>
          <w:color w:val="auto"/>
        </w:rPr>
        <w:t xml:space="preserve"> London: Routledge</w:t>
      </w:r>
      <w:r>
        <w:rPr>
          <w:rFonts w:hint="default" w:ascii="Times New Roman" w:hAnsi="Times New Roman" w:cs="Times New Roman"/>
          <w:i w:val="0"/>
          <w:iCs w:val="0"/>
          <w:color w:val="auto"/>
          <w:lang w:val="en-US"/>
        </w:rPr>
        <w:t>.</w:t>
      </w:r>
    </w:p>
    <w:p w14:paraId="7B89921D">
      <w:pPr>
        <w:rPr>
          <w:rFonts w:hint="default" w:ascii="Times New Roman" w:hAnsi="Times New Roman" w:cs="Times New Roman"/>
          <w:i w:val="0"/>
          <w:iCs w:val="0"/>
          <w:color w:val="auto"/>
          <w:lang w:val="en-US"/>
        </w:rPr>
      </w:pPr>
    </w:p>
    <w:p w14:paraId="64FA4979">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Peng, Z. (2018) 'Theoretical Approaches to Iconology and Its Localization: A Review of Domestic Studies Since 2010', </w:t>
      </w:r>
      <w:r>
        <w:rPr>
          <w:rFonts w:hint="default" w:ascii="Times New Roman Italic" w:hAnsi="Times New Roman Italic" w:cs="Times New Roman Italic"/>
          <w:i/>
          <w:iCs/>
          <w:color w:val="auto"/>
          <w:lang w:val="en-US"/>
        </w:rPr>
        <w:t xml:space="preserve">Chinese Art Criticism, </w:t>
      </w:r>
      <w:r>
        <w:rPr>
          <w:rFonts w:hint="default" w:ascii="Times New Roman" w:hAnsi="Times New Roman" w:cs="Times New Roman"/>
          <w:i w:val="0"/>
          <w:iCs w:val="0"/>
          <w:color w:val="auto"/>
          <w:lang w:val="en-US"/>
        </w:rPr>
        <w:t>(in Chinese).</w:t>
      </w:r>
    </w:p>
    <w:p w14:paraId="2FB2B93C">
      <w:pPr>
        <w:rPr>
          <w:rFonts w:hint="default" w:ascii="Times New Roman" w:hAnsi="Times New Roman" w:cs="Times New Roman"/>
          <w:i w:val="0"/>
          <w:iCs w:val="0"/>
          <w:color w:val="auto"/>
          <w:lang w:val="en-US"/>
        </w:rPr>
      </w:pPr>
    </w:p>
    <w:p w14:paraId="70E34C45">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Yao, G. and Yao, C. (2024) 'Digital Communication of Intangible Cultural Heritage: Conceptual Framework, Practical Dilemmas, and Implementation Pathways',</w:t>
      </w:r>
      <w:r>
        <w:rPr>
          <w:rFonts w:hint="default" w:ascii="Times New Roman Italic" w:hAnsi="Times New Roman Italic" w:cs="Times New Roman Italic"/>
          <w:i/>
          <w:iCs/>
          <w:color w:val="auto"/>
          <w:lang w:val="en-US"/>
        </w:rPr>
        <w:t xml:space="preserve"> Journal of Xihua University (Philosophy and Social Sciences Edition)</w:t>
      </w:r>
      <w:r>
        <w:rPr>
          <w:rFonts w:hint="default" w:ascii="Times New Roman" w:hAnsi="Times New Roman" w:cs="Times New Roman"/>
          <w:i w:val="0"/>
          <w:iCs w:val="0"/>
          <w:color w:val="auto"/>
          <w:lang w:val="en-US"/>
        </w:rPr>
        <w:t xml:space="preserve">, 6, pp.88–97. </w:t>
      </w:r>
    </w:p>
    <w:p w14:paraId="35090313">
      <w:pPr>
        <w:rPr>
          <w:rFonts w:hint="default" w:ascii="Times New Roman" w:hAnsi="Times New Roman" w:cs="Times New Roman"/>
          <w:i w:val="0"/>
          <w:iCs w:val="0"/>
          <w:color w:val="auto"/>
          <w:lang w:val="en-US"/>
        </w:rPr>
      </w:pPr>
    </w:p>
    <w:p w14:paraId="225DF483">
      <w:pPr>
        <w:keepNext w:val="0"/>
        <w:keepLines w:val="0"/>
        <w:widowControl/>
        <w:suppressLineNumbers w:val="0"/>
        <w:jc w:val="left"/>
        <w:rPr>
          <w:rFonts w:hint="default" w:ascii="Times New Roman Italic" w:hAnsi="Times New Roman Italic" w:cs="Times New Roman Italic"/>
          <w:b w:val="0"/>
          <w:bCs w:val="0"/>
          <w:i/>
          <w:iCs w:val="0"/>
          <w:color w:val="auto"/>
          <w:sz w:val="21"/>
          <w:szCs w:val="21"/>
        </w:rPr>
      </w:pPr>
      <w:r>
        <w:rPr>
          <w:rFonts w:hint="default" w:ascii="Times New Roman" w:hAnsi="Times New Roman" w:cs="Times New Roman"/>
          <w:i w:val="0"/>
          <w:iCs w:val="0"/>
          <w:color w:val="auto"/>
          <w:lang w:val="en-US"/>
        </w:rPr>
        <w:t xml:space="preserve">Wang, Q. (2025) 'Communication of Intangible Cultural Heritage in the Context of New Media', </w:t>
      </w:r>
      <w:r>
        <w:rPr>
          <w:rFonts w:hint="default" w:ascii="Times New Roman Italic" w:hAnsi="Times New Roman Italic" w:cs="Times New Roman Italic"/>
          <w:b w:val="0"/>
          <w:bCs w:val="0"/>
          <w:i/>
          <w:iCs w:val="0"/>
          <w:color w:val="auto"/>
          <w:sz w:val="21"/>
          <w:szCs w:val="21"/>
          <w:lang w:val="en-US"/>
        </w:rPr>
        <w:t xml:space="preserve">Chinese Academy of Social Sciences </w:t>
      </w:r>
      <w:r>
        <w:rPr>
          <w:rStyle w:val="5"/>
          <w:rFonts w:hint="default" w:ascii="Times New Roman Italic" w:hAnsi="Times New Roman Italic" w:eastAsia="宋体" w:cs="Times New Roman Italic"/>
          <w:b w:val="0"/>
          <w:bCs w:val="0"/>
          <w:i/>
          <w:iCs w:val="0"/>
          <w:color w:val="auto"/>
          <w:kern w:val="0"/>
          <w:sz w:val="21"/>
          <w:szCs w:val="21"/>
          <w:lang w:val="en-US" w:eastAsia="zh-CN" w:bidi="ar"/>
        </w:rPr>
        <w:t>Online</w:t>
      </w:r>
      <w:r>
        <w:rPr>
          <w:rFonts w:hint="default" w:ascii="Times New Roman Italic" w:hAnsi="Times New Roman Italic" w:eastAsia="宋体" w:cs="Times New Roman Italic"/>
          <w:b w:val="0"/>
          <w:bCs w:val="0"/>
          <w:i/>
          <w:iCs w:val="0"/>
          <w:color w:val="auto"/>
          <w:kern w:val="0"/>
          <w:sz w:val="21"/>
          <w:szCs w:val="21"/>
          <w:lang w:val="en-US" w:eastAsia="zh-CN" w:bidi="ar"/>
        </w:rPr>
        <w:t>.</w:t>
      </w:r>
    </w:p>
    <w:p w14:paraId="40F51AAC">
      <w:pPr>
        <w:rPr>
          <w:rFonts w:hint="default" w:ascii="Times New Roman" w:hAnsi="Times New Roman" w:cs="Times New Roman"/>
          <w:i w:val="0"/>
          <w:iCs w:val="0"/>
          <w:color w:val="auto"/>
          <w:lang w:val="en-US"/>
        </w:rPr>
      </w:pPr>
    </w:p>
    <w:p w14:paraId="7752CBB6">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Wang, P. and Zhang, J. (2022) ‘Implications of Cizhou Kiln for Product Design’, </w:t>
      </w:r>
      <w:r>
        <w:rPr>
          <w:rFonts w:hint="default" w:ascii="Times New Roman Italic" w:hAnsi="Times New Roman Italic" w:cs="Times New Roman Italic"/>
          <w:i/>
          <w:iCs/>
          <w:color w:val="auto"/>
          <w:lang w:val="en-US"/>
        </w:rPr>
        <w:t>Proceedings of the 2022 International Conference on Science Education and Art Appreciation (SEAA 2022), Advances in Social Science, Education and Humanities Research,</w:t>
      </w:r>
      <w:r>
        <w:rPr>
          <w:rFonts w:hint="default" w:ascii="Times New Roman" w:hAnsi="Times New Roman" w:cs="Times New Roman"/>
          <w:i w:val="0"/>
          <w:iCs w:val="0"/>
          <w:color w:val="auto"/>
          <w:lang w:val="en-US"/>
        </w:rPr>
        <w:t xml:space="preserve"> 675, pp. 488–494. </w:t>
      </w:r>
    </w:p>
    <w:p w14:paraId="09B06782">
      <w:pPr>
        <w:rPr>
          <w:rFonts w:hint="default" w:ascii="Times New Roman" w:hAnsi="Times New Roman" w:cs="Times New Roman"/>
          <w:i w:val="0"/>
          <w:iCs w:val="0"/>
          <w:color w:val="auto"/>
          <w:lang w:val="en-US"/>
        </w:rPr>
      </w:pPr>
    </w:p>
    <w:p w14:paraId="07BB85FC">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Wang, Z. and Sun, Y. (2024) ‘Cizhou Kiln Pattern Design’,</w:t>
      </w:r>
      <w:r>
        <w:rPr>
          <w:rFonts w:hint="default" w:ascii="Times New Roman Italic" w:hAnsi="Times New Roman Italic" w:cs="Times New Roman Italic"/>
          <w:i/>
          <w:iCs/>
          <w:color w:val="auto"/>
          <w:lang w:val="en-US"/>
        </w:rPr>
        <w:t xml:space="preserve"> Printing and Dyeing</w:t>
      </w:r>
      <w:r>
        <w:rPr>
          <w:rFonts w:hint="default" w:ascii="Times New Roman" w:hAnsi="Times New Roman" w:cs="Times New Roman"/>
          <w:i w:val="0"/>
          <w:iCs w:val="0"/>
          <w:color w:val="auto"/>
          <w:lang w:val="en-US"/>
        </w:rPr>
        <w:t xml:space="preserve">, 50(11), p. 101. </w:t>
      </w:r>
    </w:p>
    <w:p w14:paraId="3FFC2064">
      <w:pPr>
        <w:rPr>
          <w:rFonts w:hint="default" w:ascii="Times New Roman" w:hAnsi="Times New Roman" w:cs="Times New Roman"/>
          <w:i w:val="0"/>
          <w:iCs w:val="0"/>
          <w:color w:val="auto"/>
          <w:lang w:val="en-US"/>
        </w:rPr>
      </w:pPr>
    </w:p>
    <w:p w14:paraId="0C5C2B9E">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Sun, Y. (2024) </w:t>
      </w:r>
      <w:r>
        <w:rPr>
          <w:rFonts w:hint="default" w:ascii="Times New Roman Italic" w:hAnsi="Times New Roman Italic" w:cs="Times New Roman Italic"/>
          <w:i/>
          <w:iCs/>
          <w:color w:val="auto"/>
          <w:lang w:val="en-US"/>
        </w:rPr>
        <w:t xml:space="preserve">Exploration and Practice of the Application of Song, Jin and Yuan Cizhou Kiln Art in Landscape Design </w:t>
      </w:r>
      <w:r>
        <w:rPr>
          <w:rFonts w:hint="default" w:ascii="Times New Roman" w:hAnsi="Times New Roman" w:cs="Times New Roman"/>
          <w:i w:val="0"/>
          <w:iCs w:val="0"/>
          <w:color w:val="auto"/>
          <w:lang w:val="en-US"/>
        </w:rPr>
        <w:t xml:space="preserve">(Master’s thesis, Shijiazhuang Tiedao University). </w:t>
      </w:r>
    </w:p>
    <w:p w14:paraId="66465EC0">
      <w:pPr>
        <w:rPr>
          <w:rFonts w:hint="default" w:ascii="Times New Roman" w:hAnsi="Times New Roman" w:cs="Times New Roman"/>
          <w:i w:val="0"/>
          <w:iCs w:val="0"/>
          <w:color w:val="auto"/>
          <w:lang w:val="en-US"/>
        </w:rPr>
      </w:pPr>
    </w:p>
    <w:p w14:paraId="3230B3A4">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Hou, Z. (2023) </w:t>
      </w:r>
      <w:r>
        <w:rPr>
          <w:rFonts w:hint="default" w:ascii="Times New Roman Italic" w:hAnsi="Times New Roman Italic" w:cs="Times New Roman Italic"/>
          <w:i/>
          <w:iCs/>
          <w:color w:val="auto"/>
          <w:lang w:val="en-US"/>
        </w:rPr>
        <w:t>A Study on the Conception of Objects in Cizhou Kiln during the Song and Yuan Dynasties</w:t>
      </w:r>
      <w:r>
        <w:rPr>
          <w:rFonts w:hint="default" w:ascii="Times New Roman" w:hAnsi="Times New Roman" w:cs="Times New Roman"/>
          <w:i w:val="0"/>
          <w:iCs w:val="0"/>
          <w:color w:val="auto"/>
          <w:lang w:val="en-US"/>
        </w:rPr>
        <w:t xml:space="preserve"> (PhD thesis, Hebei University).</w:t>
      </w:r>
    </w:p>
    <w:p w14:paraId="223D728D">
      <w:pPr>
        <w:rPr>
          <w:rFonts w:hint="default" w:ascii="Times New Roman" w:hAnsi="Times New Roman" w:cs="Times New Roman"/>
          <w:i w:val="0"/>
          <w:iCs w:val="0"/>
          <w:color w:val="auto"/>
          <w:lang w:val="en-US"/>
        </w:rPr>
      </w:pPr>
    </w:p>
    <w:p w14:paraId="261FCD81">
      <w:pPr>
        <w:keepNext w:val="0"/>
        <w:keepLines w:val="0"/>
        <w:widowControl/>
        <w:suppressLineNumbers w:val="0"/>
        <w:jc w:val="left"/>
        <w:rPr>
          <w:rFonts w:hint="default" w:ascii="Times New Roman Regular" w:hAnsi="Times New Roman Regular" w:eastAsia="宋体" w:cs="Times New Roman Regular"/>
          <w:i w:val="0"/>
          <w:color w:val="auto"/>
          <w:kern w:val="0"/>
          <w:sz w:val="21"/>
          <w:szCs w:val="21"/>
          <w:lang w:val="en-US" w:eastAsia="zh-CN" w:bidi="ar"/>
        </w:rPr>
      </w:pPr>
      <w:r>
        <w:rPr>
          <w:rFonts w:hint="default" w:ascii="Times New Roman Regular" w:hAnsi="Times New Roman Regular" w:eastAsia="宋体" w:cs="Times New Roman Regular"/>
          <w:i w:val="0"/>
          <w:color w:val="auto"/>
          <w:kern w:val="0"/>
          <w:sz w:val="21"/>
          <w:szCs w:val="21"/>
          <w:lang w:val="en-US" w:eastAsia="zh-CN" w:bidi="ar"/>
        </w:rPr>
        <w:t>Li, X., Liu, Y. and Huang, G. (2025) ‘Research on Human–Machine Co-creation Design of Intangible Cultural Heritage Digital Creative Products from the Perspective of AIGC Multimodal Narrative’,</w:t>
      </w:r>
      <w:r>
        <w:rPr>
          <w:rFonts w:hint="default" w:ascii="Times New Roman Italic" w:hAnsi="Times New Roman Italic" w:eastAsia="宋体" w:cs="Times New Roman Italic"/>
          <w:i/>
          <w:iCs/>
          <w:color w:val="auto"/>
          <w:kern w:val="0"/>
          <w:sz w:val="21"/>
          <w:szCs w:val="21"/>
          <w:lang w:val="en-US" w:eastAsia="zh-CN" w:bidi="ar"/>
        </w:rPr>
        <w:t xml:space="preserve"> </w:t>
      </w:r>
      <w:r>
        <w:rPr>
          <w:rStyle w:val="5"/>
          <w:rFonts w:hint="default" w:ascii="Times New Roman Italic" w:hAnsi="Times New Roman Italic" w:eastAsia="宋体" w:cs="Times New Roman Italic"/>
          <w:i/>
          <w:iCs/>
          <w:color w:val="auto"/>
          <w:kern w:val="0"/>
          <w:sz w:val="21"/>
          <w:szCs w:val="21"/>
          <w:lang w:val="en-US" w:eastAsia="zh-CN" w:bidi="ar"/>
        </w:rPr>
        <w:t>Packaging Engineering</w:t>
      </w:r>
      <w:r>
        <w:rPr>
          <w:rFonts w:hint="default" w:ascii="Times New Roman Regular" w:hAnsi="Times New Roman Regular" w:eastAsia="宋体" w:cs="Times New Roman Regular"/>
          <w:i w:val="0"/>
          <w:color w:val="auto"/>
          <w:kern w:val="0"/>
          <w:sz w:val="21"/>
          <w:szCs w:val="21"/>
          <w:lang w:val="en-US" w:eastAsia="zh-CN" w:bidi="ar"/>
        </w:rPr>
        <w:t xml:space="preserve">, pp. 1–14. </w:t>
      </w:r>
    </w:p>
    <w:p w14:paraId="1BEB9278">
      <w:pPr>
        <w:keepNext w:val="0"/>
        <w:keepLines w:val="0"/>
        <w:widowControl/>
        <w:suppressLineNumbers w:val="0"/>
        <w:jc w:val="left"/>
        <w:rPr>
          <w:rFonts w:hint="default" w:ascii="Times New Roman Regular" w:hAnsi="Times New Roman Regular" w:eastAsia="宋体" w:cs="Times New Roman Regular"/>
          <w:i w:val="0"/>
          <w:color w:val="auto"/>
          <w:kern w:val="0"/>
          <w:sz w:val="21"/>
          <w:szCs w:val="21"/>
          <w:lang w:val="en-US" w:eastAsia="zh-CN" w:bidi="ar"/>
        </w:rPr>
      </w:pPr>
    </w:p>
    <w:p w14:paraId="3311F77B">
      <w:pPr>
        <w:keepNext w:val="0"/>
        <w:keepLines w:val="0"/>
        <w:widowControl/>
        <w:suppressLineNumbers w:val="0"/>
        <w:jc w:val="left"/>
        <w:rPr>
          <w:rFonts w:hint="default" w:ascii="Times New Roman Regular" w:hAnsi="Times New Roman Regular" w:eastAsia="宋体" w:cs="Times New Roman Regular"/>
          <w:i w:val="0"/>
          <w:color w:val="auto"/>
          <w:kern w:val="0"/>
          <w:sz w:val="21"/>
          <w:szCs w:val="21"/>
          <w:lang w:val="en-US" w:eastAsia="zh-CN" w:bidi="ar"/>
        </w:rPr>
      </w:pPr>
      <w:r>
        <w:rPr>
          <w:rFonts w:hint="default" w:ascii="Times New Roman Regular" w:hAnsi="Times New Roman Regular" w:eastAsia="宋体" w:cs="Times New Roman Regular"/>
          <w:i w:val="0"/>
          <w:color w:val="auto"/>
          <w:kern w:val="0"/>
          <w:sz w:val="21"/>
          <w:szCs w:val="21"/>
          <w:lang w:val="en-US" w:eastAsia="zh-CN" w:bidi="ar"/>
        </w:rPr>
        <w:t>Verganti, R. (2009)</w:t>
      </w:r>
      <w:r>
        <w:rPr>
          <w:rFonts w:hint="default" w:ascii="Times New Roman Italic" w:hAnsi="Times New Roman Italic" w:eastAsia="宋体" w:cs="Times New Roman Italic"/>
          <w:i/>
          <w:iCs/>
          <w:color w:val="auto"/>
          <w:kern w:val="0"/>
          <w:sz w:val="21"/>
          <w:szCs w:val="21"/>
          <w:lang w:val="en-US" w:eastAsia="zh-CN" w:bidi="ar"/>
        </w:rPr>
        <w:t xml:space="preserve"> Design-Driven Innovation: Changing the Rules of Competition by Radically Innovating What Things Mean. </w:t>
      </w:r>
      <w:r>
        <w:rPr>
          <w:rFonts w:hint="default" w:ascii="Times New Roman Regular" w:hAnsi="Times New Roman Regular" w:eastAsia="宋体" w:cs="Times New Roman Regular"/>
          <w:i w:val="0"/>
          <w:color w:val="auto"/>
          <w:kern w:val="0"/>
          <w:sz w:val="21"/>
          <w:szCs w:val="21"/>
          <w:lang w:val="en-US" w:eastAsia="zh-CN" w:bidi="ar"/>
        </w:rPr>
        <w:t>Boston: Harvard Business Press.</w:t>
      </w:r>
    </w:p>
    <w:p w14:paraId="186DA051">
      <w:pPr>
        <w:rPr>
          <w:rFonts w:hint="default" w:ascii="Times New Roman Regular" w:hAnsi="Times New Roman Regular" w:cs="Times New Roman Regular"/>
          <w:i w:val="0"/>
          <w:iCs w:val="0"/>
          <w:color w:val="auto"/>
          <w:sz w:val="21"/>
          <w:szCs w:val="21"/>
          <w:lang w:val="en-US"/>
        </w:rPr>
      </w:pPr>
    </w:p>
    <w:p w14:paraId="0380E0A2">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Chen, Y. and Xue, K. (2021) ‘Interactive Design of Intangible Cultural Heritage Based on Social Sharing—The Digital Revitalization of “Su Embroidery”’, </w:t>
      </w:r>
      <w:r>
        <w:rPr>
          <w:rFonts w:hint="default" w:ascii="Times New Roman Italic" w:hAnsi="Times New Roman Italic" w:cs="Times New Roman Italic"/>
          <w:i/>
          <w:iCs/>
          <w:color w:val="auto"/>
          <w:lang w:val="en-US"/>
        </w:rPr>
        <w:t>Academic Journal of Humanities &amp; Social Sciences,</w:t>
      </w:r>
      <w:r>
        <w:rPr>
          <w:rFonts w:hint="default" w:ascii="Times New Roman" w:hAnsi="Times New Roman" w:cs="Times New Roman"/>
          <w:i w:val="0"/>
          <w:iCs w:val="0"/>
          <w:color w:val="auto"/>
          <w:lang w:val="en-US"/>
        </w:rPr>
        <w:t xml:space="preserve"> 4(4), pp. 53–60. </w:t>
      </w:r>
    </w:p>
    <w:p w14:paraId="61057F0E">
      <w:pPr>
        <w:rPr>
          <w:rFonts w:hint="default" w:ascii="Times New Roman" w:hAnsi="Times New Roman" w:cs="Times New Roman"/>
          <w:i w:val="0"/>
          <w:iCs w:val="0"/>
          <w:color w:val="auto"/>
          <w:lang w:val="en-US"/>
        </w:rPr>
      </w:pPr>
    </w:p>
    <w:p w14:paraId="145D52F3">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Xu, N. &amp; Zhao, Y. (2023). A Moderated Mediation Analysis of the Relationship between Cultural Embeddedness of Regional Brand Products and Behavior Loyalty: A Case Study of Wudang Mountains in Hubei Province of China. </w:t>
      </w:r>
      <w:r>
        <w:rPr>
          <w:rFonts w:hint="default" w:ascii="Times New Roman Italic" w:hAnsi="Times New Roman Italic" w:cs="Times New Roman Italic"/>
          <w:i/>
          <w:iCs/>
          <w:color w:val="auto"/>
          <w:lang w:val="en-US"/>
        </w:rPr>
        <w:t>Sustainability,</w:t>
      </w:r>
      <w:r>
        <w:rPr>
          <w:rFonts w:hint="default" w:ascii="Times New Roman" w:hAnsi="Times New Roman" w:cs="Times New Roman"/>
          <w:i w:val="0"/>
          <w:iCs w:val="0"/>
          <w:color w:val="auto"/>
          <w:lang w:val="en-US"/>
        </w:rPr>
        <w:t xml:space="preserve"> 15(10), 7927.</w:t>
      </w:r>
    </w:p>
    <w:p w14:paraId="566E92EB">
      <w:pPr>
        <w:rPr>
          <w:rFonts w:hint="default" w:ascii="Times New Roman" w:hAnsi="Times New Roman" w:cs="Times New Roman"/>
          <w:i w:val="0"/>
          <w:iCs w:val="0"/>
          <w:color w:val="auto"/>
          <w:lang w:val="en-US"/>
        </w:rPr>
      </w:pPr>
    </w:p>
    <w:p w14:paraId="74110C26">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Ole, H. C., Sakka, E. W. M. &amp; Mandagi, D. W. (2025). Perceived Quality, Brand Trust, Image, and Loyalty as Key Drivers of Fast Food Brand Equity. </w:t>
      </w:r>
      <w:r>
        <w:rPr>
          <w:rFonts w:hint="default" w:ascii="Times New Roman Italic" w:hAnsi="Times New Roman Italic" w:cs="Times New Roman Italic"/>
          <w:i/>
          <w:iCs/>
          <w:color w:val="auto"/>
          <w:lang w:val="en-US"/>
        </w:rPr>
        <w:t xml:space="preserve">Indonesian Journal of Islamic Economics and Finance, </w:t>
      </w:r>
      <w:r>
        <w:rPr>
          <w:rFonts w:hint="default" w:ascii="Times New Roman" w:hAnsi="Times New Roman" w:cs="Times New Roman"/>
          <w:i w:val="0"/>
          <w:iCs w:val="0"/>
          <w:color w:val="auto"/>
          <w:lang w:val="en-US"/>
        </w:rPr>
        <w:t>11(4), 4170–4183.​</w:t>
      </w:r>
    </w:p>
    <w:p w14:paraId="34E5F99A">
      <w:pPr>
        <w:rPr>
          <w:rFonts w:hint="default" w:ascii="Times New Roman" w:hAnsi="Times New Roman" w:cs="Times New Roman"/>
          <w:i w:val="0"/>
          <w:iCs w:val="0"/>
          <w:color w:val="auto"/>
          <w:lang w:val="en-US"/>
        </w:rPr>
      </w:pPr>
    </w:p>
    <w:p w14:paraId="1A37F1DA">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Creswell, J. W. and Plano Clark, V. L. (201</w:t>
      </w:r>
      <w:r>
        <w:rPr>
          <w:rFonts w:hint="eastAsia" w:ascii="Times New Roman" w:hAnsi="Times New Roman" w:cs="Times New Roman"/>
          <w:i w:val="0"/>
          <w:iCs w:val="0"/>
          <w:color w:val="auto"/>
          <w:lang w:val="en-US" w:eastAsia="zh-CN"/>
        </w:rPr>
        <w:t>7</w:t>
      </w:r>
      <w:r>
        <w:rPr>
          <w:rFonts w:hint="default" w:ascii="Times New Roman" w:hAnsi="Times New Roman" w:cs="Times New Roman"/>
          <w:i w:val="0"/>
          <w:iCs w:val="0"/>
          <w:color w:val="auto"/>
          <w:lang w:val="en-US"/>
        </w:rPr>
        <w:t xml:space="preserve">) </w:t>
      </w:r>
      <w:r>
        <w:rPr>
          <w:rFonts w:hint="default" w:ascii="Times New Roman Italic" w:hAnsi="Times New Roman Italic" w:cs="Times New Roman Italic"/>
          <w:i/>
          <w:iCs/>
          <w:color w:val="auto"/>
          <w:lang w:val="en-US"/>
        </w:rPr>
        <w:t>Designing and Conducting Mixed Methods Research.</w:t>
      </w:r>
      <w:r>
        <w:rPr>
          <w:rFonts w:hint="default" w:ascii="Times New Roman" w:hAnsi="Times New Roman" w:cs="Times New Roman"/>
          <w:i w:val="0"/>
          <w:iCs w:val="0"/>
          <w:color w:val="auto"/>
          <w:lang w:val="en-US"/>
        </w:rPr>
        <w:t xml:space="preserve"> Thousand Oaks, CA: SAGE Publications.</w:t>
      </w:r>
    </w:p>
    <w:p w14:paraId="16AC0A06">
      <w:pPr>
        <w:rPr>
          <w:rFonts w:hint="default" w:ascii="Times New Roman" w:hAnsi="Times New Roman" w:cs="Times New Roman"/>
          <w:i w:val="0"/>
          <w:iCs w:val="0"/>
          <w:color w:val="auto"/>
          <w:lang w:val="en-US"/>
        </w:rPr>
      </w:pPr>
    </w:p>
    <w:p w14:paraId="062F674B">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Schlunegger, M.C., Zumstein-Shaha, M. and Palm, R. (2024) ‘Methodologic and data-analysis triangulation in case studies: A scoping review’,</w:t>
      </w:r>
      <w:r>
        <w:rPr>
          <w:rFonts w:hint="default" w:ascii="Times New Roman Italic" w:hAnsi="Times New Roman Italic" w:cs="Times New Roman Italic"/>
          <w:i/>
          <w:iCs/>
          <w:color w:val="auto"/>
          <w:lang w:val="en-US"/>
        </w:rPr>
        <w:t xml:space="preserve"> Western Journal of Nursing Research,</w:t>
      </w:r>
      <w:r>
        <w:rPr>
          <w:rFonts w:hint="default" w:ascii="Times New Roman" w:hAnsi="Times New Roman" w:cs="Times New Roman"/>
          <w:i w:val="0"/>
          <w:iCs w:val="0"/>
          <w:color w:val="auto"/>
          <w:lang w:val="en-US"/>
        </w:rPr>
        <w:t xml:space="preserve"> 46(8), pp. 611–622</w:t>
      </w:r>
    </w:p>
    <w:p w14:paraId="56566E2B">
      <w:pPr>
        <w:rPr>
          <w:rFonts w:hint="default" w:ascii="Times New Roman" w:hAnsi="Times New Roman" w:cs="Times New Roman"/>
          <w:i w:val="0"/>
          <w:iCs w:val="0"/>
          <w:color w:val="auto"/>
          <w:lang w:val="en-US"/>
        </w:rPr>
      </w:pPr>
    </w:p>
    <w:p w14:paraId="254AD9B0">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Clandinin, D.J. and Connelly, F.M. (2000) </w:t>
      </w:r>
      <w:r>
        <w:rPr>
          <w:rFonts w:hint="default" w:ascii="Times New Roman Italic" w:hAnsi="Times New Roman Italic" w:cs="Times New Roman Italic"/>
          <w:i/>
          <w:iCs/>
          <w:color w:val="auto"/>
          <w:lang w:val="en-US"/>
        </w:rPr>
        <w:t>Narrative Inquiry: Experience and Story in Qualitative Research</w:t>
      </w:r>
      <w:r>
        <w:rPr>
          <w:rFonts w:hint="default" w:ascii="Times New Roman" w:hAnsi="Times New Roman" w:cs="Times New Roman"/>
          <w:i w:val="0"/>
          <w:iCs w:val="0"/>
          <w:color w:val="auto"/>
          <w:lang w:val="en-US"/>
        </w:rPr>
        <w:t>. San Francisco: Jossey-Bass.</w:t>
      </w:r>
    </w:p>
    <w:p w14:paraId="6C4A27C0">
      <w:pPr>
        <w:rPr>
          <w:rFonts w:hint="default" w:ascii="Times New Roman" w:hAnsi="Times New Roman" w:cs="Times New Roman"/>
          <w:i w:val="0"/>
          <w:iCs w:val="0"/>
          <w:color w:val="auto"/>
          <w:lang w:val="en-US"/>
        </w:rPr>
      </w:pPr>
    </w:p>
    <w:p w14:paraId="24D767B9">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Van Manen, M. (2016) </w:t>
      </w:r>
      <w:r>
        <w:rPr>
          <w:rFonts w:hint="default" w:ascii="Times New Roman Italic" w:hAnsi="Times New Roman Italic" w:cs="Times New Roman Italic"/>
          <w:i/>
          <w:iCs/>
          <w:color w:val="auto"/>
          <w:lang w:val="en-US"/>
        </w:rPr>
        <w:t>Researching Lived Experience: Human Science for an Action Sensitive Pedagogy.</w:t>
      </w:r>
      <w:r>
        <w:rPr>
          <w:rFonts w:hint="default" w:ascii="Times New Roman" w:hAnsi="Times New Roman" w:cs="Times New Roman"/>
          <w:i w:val="0"/>
          <w:iCs w:val="0"/>
          <w:color w:val="auto"/>
          <w:lang w:val="en-US"/>
        </w:rPr>
        <w:t xml:space="preserve"> 2nd ed. London: Routledge.</w:t>
      </w:r>
    </w:p>
    <w:p w14:paraId="4114BA01">
      <w:pPr>
        <w:rPr>
          <w:rFonts w:hint="default" w:ascii="Times New Roman" w:hAnsi="Times New Roman" w:cs="Times New Roman"/>
          <w:i w:val="0"/>
          <w:iCs w:val="0"/>
          <w:color w:val="auto"/>
          <w:lang w:val="en-US"/>
        </w:rPr>
      </w:pPr>
    </w:p>
    <w:p w14:paraId="44F971C3">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Kalpokas, N. and Hecker, J. (2023) ‘Ethical Considerations in Qualitative Research’, </w:t>
      </w:r>
      <w:r>
        <w:rPr>
          <w:rFonts w:hint="default" w:ascii="Times New Roman Italic" w:hAnsi="Times New Roman Italic" w:cs="Times New Roman Italic"/>
          <w:i/>
          <w:iCs/>
          <w:color w:val="auto"/>
          <w:lang w:val="en-US"/>
        </w:rPr>
        <w:t>The Ultimate Guide to Qualitative Research – Part 1,</w:t>
      </w:r>
      <w:r>
        <w:rPr>
          <w:rFonts w:hint="default" w:ascii="Times New Roman" w:hAnsi="Times New Roman" w:cs="Times New Roman"/>
          <w:i w:val="0"/>
          <w:iCs w:val="0"/>
          <w:color w:val="auto"/>
          <w:lang w:val="en-US"/>
        </w:rPr>
        <w:t xml:space="preserve"> ATLAS.ti. </w:t>
      </w:r>
    </w:p>
    <w:p w14:paraId="5A38EE5A">
      <w:pPr>
        <w:rPr>
          <w:rFonts w:hint="default" w:ascii="Times New Roman" w:hAnsi="Times New Roman" w:cs="Times New Roman"/>
          <w:i w:val="0"/>
          <w:iCs w:val="0"/>
          <w:color w:val="auto"/>
          <w:lang w:val="en-US"/>
        </w:rPr>
      </w:pPr>
    </w:p>
    <w:p w14:paraId="4A4E9911">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Spradley, J.P. (1979)</w:t>
      </w:r>
      <w:r>
        <w:rPr>
          <w:rFonts w:hint="default" w:ascii="Times New Roman Italic" w:hAnsi="Times New Roman Italic" w:cs="Times New Roman Italic"/>
          <w:i/>
          <w:iCs/>
          <w:color w:val="auto"/>
          <w:lang w:val="en-US"/>
        </w:rPr>
        <w:t xml:space="preserve"> The Ethnographic Interview</w:t>
      </w:r>
      <w:r>
        <w:rPr>
          <w:rFonts w:hint="default" w:ascii="Times New Roman" w:hAnsi="Times New Roman" w:cs="Times New Roman"/>
          <w:i w:val="0"/>
          <w:iCs w:val="0"/>
          <w:color w:val="auto"/>
          <w:lang w:val="en-US"/>
        </w:rPr>
        <w:t>. New York: Holt, Rinehart and Winston.</w:t>
      </w:r>
    </w:p>
    <w:p w14:paraId="54C24F1B">
      <w:pPr>
        <w:rPr>
          <w:rFonts w:hint="default" w:ascii="Times New Roman" w:hAnsi="Times New Roman" w:cs="Times New Roman"/>
          <w:i w:val="0"/>
          <w:iCs w:val="0"/>
          <w:color w:val="auto"/>
          <w:lang w:val="en-US"/>
        </w:rPr>
      </w:pPr>
    </w:p>
    <w:p w14:paraId="0AC4D855">
      <w:pPr>
        <w:rPr>
          <w:rFonts w:hint="default" w:ascii="Times New Roman" w:hAnsi="Times New Roman" w:cs="Times New Roman"/>
          <w:i w:val="0"/>
          <w:iCs w:val="0"/>
          <w:color w:val="auto"/>
          <w:lang w:val="en-US" w:eastAsia="zh-CN"/>
        </w:rPr>
      </w:pPr>
      <w:r>
        <w:rPr>
          <w:rFonts w:hint="default" w:ascii="Times New Roman" w:hAnsi="Times New Roman" w:cs="Times New Roman"/>
          <w:i w:val="0"/>
          <w:iCs w:val="0"/>
          <w:color w:val="auto"/>
          <w:lang w:val="en-US" w:eastAsia="zh-CN"/>
        </w:rPr>
        <w:t>Kemmis, S., &amp; McTaggart, R. (1988).</w:t>
      </w:r>
      <w:r>
        <w:rPr>
          <w:rFonts w:hint="default" w:ascii="Times New Roman Italic" w:hAnsi="Times New Roman Italic" w:cs="Times New Roman Italic"/>
          <w:i/>
          <w:iCs/>
          <w:color w:val="auto"/>
          <w:lang w:val="en-US" w:eastAsia="zh-CN"/>
        </w:rPr>
        <w:t xml:space="preserve"> The Action Research Planner.</w:t>
      </w:r>
      <w:r>
        <w:rPr>
          <w:rFonts w:hint="default" w:ascii="Times New Roman" w:hAnsi="Times New Roman" w:cs="Times New Roman"/>
          <w:i w:val="0"/>
          <w:iCs w:val="0"/>
          <w:color w:val="auto"/>
          <w:lang w:val="en-US" w:eastAsia="zh-CN"/>
        </w:rPr>
        <w:t xml:space="preserve"> Victoria: Deakin University Press.</w:t>
      </w:r>
    </w:p>
    <w:p w14:paraId="5475F99A">
      <w:pPr>
        <w:rPr>
          <w:rFonts w:hint="default" w:ascii="Times New Roman" w:hAnsi="Times New Roman" w:cs="Times New Roman"/>
          <w:i w:val="0"/>
          <w:iCs w:val="0"/>
          <w:color w:val="auto"/>
          <w:lang w:val="en-US"/>
        </w:rPr>
      </w:pPr>
    </w:p>
    <w:p w14:paraId="352A6C38">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Kim, J., &amp; Yoon, H. J. (2021). </w:t>
      </w:r>
      <w:r>
        <w:rPr>
          <w:rFonts w:hint="default" w:ascii="Times New Roman Italic" w:hAnsi="Times New Roman Italic" w:cs="Times New Roman Italic"/>
          <w:i/>
          <w:iCs/>
          <w:color w:val="auto"/>
          <w:lang w:val="en-US"/>
        </w:rPr>
        <w:t>Sharing consumers' brand storytelling: Influence of consumers' storytelling on brand attitude via emotions and cognitions.</w:t>
      </w:r>
      <w:r>
        <w:rPr>
          <w:rFonts w:hint="default" w:ascii="Times New Roman" w:hAnsi="Times New Roman" w:cs="Times New Roman"/>
          <w:i w:val="0"/>
          <w:iCs w:val="0"/>
          <w:color w:val="auto"/>
          <w:lang w:val="en-US"/>
        </w:rPr>
        <w:t xml:space="preserve"> Journal of Business Research, 134, 1-13.</w:t>
      </w:r>
    </w:p>
    <w:p w14:paraId="1936D553">
      <w:pPr>
        <w:rPr>
          <w:rFonts w:hint="default" w:ascii="Times New Roman" w:hAnsi="Times New Roman" w:cs="Times New Roman"/>
          <w:i w:val="0"/>
          <w:iCs w:val="0"/>
          <w:color w:val="auto"/>
          <w:lang w:val="en-US"/>
        </w:rPr>
      </w:pPr>
    </w:p>
    <w:p w14:paraId="10632BCD">
      <w:pPr>
        <w:rPr>
          <w:rFonts w:hint="default" w:ascii="Times New Roman" w:hAnsi="Times New Roman" w:cs="Times New Roman"/>
          <w:i w:val="0"/>
          <w:iCs w:val="0"/>
          <w:color w:val="auto"/>
          <w:lang w:val="en-US"/>
        </w:rPr>
      </w:pPr>
      <w:r>
        <w:rPr>
          <w:rFonts w:hint="default" w:ascii="Times New Roman" w:hAnsi="Times New Roman" w:cs="Times New Roman"/>
          <w:i w:val="0"/>
          <w:iCs w:val="0"/>
          <w:color w:val="auto"/>
          <w:lang w:val="en-US"/>
        </w:rPr>
        <w:t xml:space="preserve">Smith, L. and Akagawa, N. (eds.) 2009. </w:t>
      </w:r>
      <w:r>
        <w:rPr>
          <w:rFonts w:hint="default" w:ascii="Times New Roman Italic" w:hAnsi="Times New Roman Italic" w:cs="Times New Roman Italic"/>
          <w:i/>
          <w:iCs/>
          <w:color w:val="auto"/>
          <w:lang w:val="en-US"/>
        </w:rPr>
        <w:t>Intangible Heritage</w:t>
      </w:r>
      <w:r>
        <w:rPr>
          <w:rFonts w:hint="default" w:ascii="Times New Roman" w:hAnsi="Times New Roman" w:cs="Times New Roman"/>
          <w:i w:val="0"/>
          <w:iCs w:val="0"/>
          <w:color w:val="auto"/>
          <w:lang w:val="en-US"/>
        </w:rPr>
        <w:t>. London: Routledge.</w:t>
      </w:r>
    </w:p>
    <w:p w14:paraId="250462D3">
      <w:pPr>
        <w:rPr>
          <w:rFonts w:hint="default" w:ascii="Times New Roman Regular" w:hAnsi="Times New Roman Regular" w:cs="Times New Roman Regular"/>
          <w:color w:val="auto"/>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Regular">
    <w:panose1 w:val="02020803070505020304"/>
    <w:charset w:val="00"/>
    <w:family w:val="auto"/>
    <w:pitch w:val="default"/>
    <w:sig w:usb0="E0002AEF" w:usb1="C0007841" w:usb2="00000009" w:usb3="00000000" w:csb0="400001FF" w:csb1="FFFF0000"/>
  </w:font>
  <w:font w:name="Times New Roman Italic">
    <w:panose1 w:val="02020803070505020304"/>
    <w:charset w:val="00"/>
    <w:family w:val="auto"/>
    <w:pitch w:val="default"/>
    <w:sig w:usb0="E0002AEF" w:usb1="C0007841"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Bold">
    <w:panose1 w:val="02020803070505020304"/>
    <w:charset w:val="00"/>
    <w:family w:val="auto"/>
    <w:pitch w:val="default"/>
    <w:sig w:usb0="E0002AEF" w:usb1="C0007841"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BBFE540"/>
    <w:rsid w:val="0B6F5E1E"/>
    <w:rsid w:val="0D5DBF67"/>
    <w:rsid w:val="1FFF4ED3"/>
    <w:rsid w:val="35D63724"/>
    <w:rsid w:val="3B6DADB0"/>
    <w:rsid w:val="3FFA0652"/>
    <w:rsid w:val="47DEC20E"/>
    <w:rsid w:val="5DBFC375"/>
    <w:rsid w:val="5EF3C0D6"/>
    <w:rsid w:val="5EFD3D91"/>
    <w:rsid w:val="5FD9F5E4"/>
    <w:rsid w:val="5FFD285A"/>
    <w:rsid w:val="6BBFE540"/>
    <w:rsid w:val="6F7B824C"/>
    <w:rsid w:val="77FF824B"/>
    <w:rsid w:val="7D3F6209"/>
    <w:rsid w:val="BEF49EE8"/>
    <w:rsid w:val="C75A00C2"/>
    <w:rsid w:val="D3F70A59"/>
    <w:rsid w:val="DADF1458"/>
    <w:rsid w:val="E5FF73EF"/>
    <w:rsid w:val="ECCB34B7"/>
    <w:rsid w:val="F3B2B310"/>
    <w:rsid w:val="F57FBF88"/>
    <w:rsid w:val="FCFFFC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 w:type="character" w:styleId="5">
    <w:name w:val="Emphasis"/>
    <w:basedOn w:val="4"/>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0</Words>
  <Characters>0</Characters>
  <Lines>1</Lines>
  <Paragraphs>1</Paragraphs>
  <TotalTime>17</TotalTime>
  <ScaleCrop>false</ScaleCrop>
  <LinksUpToDate>false</LinksUpToDate>
  <CharactersWithSpaces>0</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2025-05-02T19:22:00Z</dcterms:created>
  <dc:creator>薛mm</dc:creator>
  <cp:lastModifiedBy>薛mm</cp:lastModifiedBy>
  <dcterms:modified xsi:type="dcterms:W3CDTF">2025-05-02T19:48:36Z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C1D1EB6A45725C1421D514684892BA92_41</vt:lpwstr>
  </property>
</Properties>
</file>