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CAA66" w14:textId="77777777" w:rsidR="00435A7C" w:rsidRDefault="00435A7C">
      <w:pPr>
        <w:jc w:val="left"/>
        <w:rPr>
          <w:b/>
          <w:bCs/>
          <w:sz w:val="36"/>
          <w:szCs w:val="36"/>
        </w:rPr>
      </w:pPr>
    </w:p>
    <w:p w14:paraId="41A1FE25" w14:textId="3284BC70" w:rsidR="00435A7C" w:rsidRDefault="00435A7C">
      <w:pPr>
        <w:jc w:val="right"/>
        <w:rPr>
          <w:b/>
          <w:bCs/>
          <w:sz w:val="36"/>
          <w:szCs w:val="36"/>
        </w:rPr>
      </w:pPr>
    </w:p>
    <w:p w14:paraId="7E9FAB47" w14:textId="77777777" w:rsidR="00435A7C" w:rsidRDefault="00435A7C">
      <w:pPr>
        <w:jc w:val="center"/>
        <w:rPr>
          <w:b/>
          <w:bCs/>
          <w:sz w:val="36"/>
          <w:szCs w:val="36"/>
        </w:rPr>
      </w:pPr>
    </w:p>
    <w:p w14:paraId="7C35AEED" w14:textId="77777777" w:rsidR="00A73C08" w:rsidRDefault="00A73C08">
      <w:pPr>
        <w:jc w:val="center"/>
        <w:rPr>
          <w:b/>
          <w:bCs/>
          <w:sz w:val="36"/>
          <w:szCs w:val="36"/>
        </w:rPr>
      </w:pPr>
    </w:p>
    <w:p w14:paraId="21DA47B6" w14:textId="77777777" w:rsidR="00645612" w:rsidRDefault="00645612" w:rsidP="00645612">
      <w:pPr>
        <w:jc w:val="center"/>
        <w:rPr>
          <w:b/>
          <w:bCs/>
          <w:sz w:val="36"/>
          <w:szCs w:val="36"/>
        </w:rPr>
      </w:pPr>
    </w:p>
    <w:p w14:paraId="1BD907FB" w14:textId="77777777" w:rsidR="00645612" w:rsidRDefault="00645612" w:rsidP="00645612">
      <w:pPr>
        <w:jc w:val="center"/>
        <w:rPr>
          <w:b/>
          <w:bCs/>
          <w:sz w:val="36"/>
          <w:szCs w:val="36"/>
        </w:rPr>
      </w:pPr>
    </w:p>
    <w:p w14:paraId="555E308E" w14:textId="4DFDC771" w:rsidR="00435A7C" w:rsidRDefault="00000000" w:rsidP="00645612">
      <w:pPr>
        <w:jc w:val="center"/>
        <w:rPr>
          <w:b/>
          <w:bCs/>
          <w:sz w:val="36"/>
          <w:szCs w:val="36"/>
        </w:rPr>
      </w:pPr>
      <w:r>
        <w:rPr>
          <w:b/>
          <w:bCs/>
          <w:sz w:val="36"/>
          <w:szCs w:val="36"/>
        </w:rPr>
        <w:t xml:space="preserve">Programme: BA (Hons) Business Management </w:t>
      </w:r>
    </w:p>
    <w:p w14:paraId="6825F042" w14:textId="0E3DC35B" w:rsidR="00435A7C" w:rsidRDefault="003761C8" w:rsidP="00645612">
      <w:pPr>
        <w:jc w:val="center"/>
        <w:rPr>
          <w:b/>
          <w:bCs/>
          <w:sz w:val="36"/>
          <w:szCs w:val="36"/>
        </w:rPr>
      </w:pPr>
      <w:proofErr w:type="spellStart"/>
      <w:r>
        <w:rPr>
          <w:b/>
          <w:bCs/>
          <w:sz w:val="36"/>
          <w:szCs w:val="36"/>
        </w:rPr>
        <w:t>LCBB4013</w:t>
      </w:r>
      <w:proofErr w:type="spellEnd"/>
      <w:r>
        <w:rPr>
          <w:b/>
          <w:bCs/>
          <w:sz w:val="36"/>
          <w:szCs w:val="36"/>
        </w:rPr>
        <w:t xml:space="preserve">: Stakeholder Engagement </w:t>
      </w:r>
    </w:p>
    <w:p w14:paraId="056CC360" w14:textId="77777777" w:rsidR="00E756D3" w:rsidRDefault="00771881">
      <w:pPr>
        <w:jc w:val="center"/>
        <w:rPr>
          <w:b/>
          <w:bCs/>
          <w:sz w:val="36"/>
          <w:szCs w:val="36"/>
        </w:rPr>
      </w:pPr>
      <w:r w:rsidRPr="00645612">
        <w:rPr>
          <w:b/>
          <w:bCs/>
          <w:sz w:val="36"/>
          <w:szCs w:val="36"/>
        </w:rPr>
        <w:t>Component 1: Coursework-Portfolio</w:t>
      </w:r>
    </w:p>
    <w:p w14:paraId="56C1809D" w14:textId="77777777" w:rsidR="00433575" w:rsidRDefault="00433575">
      <w:pPr>
        <w:jc w:val="center"/>
      </w:pPr>
      <w:r w:rsidRPr="00433575">
        <w:t xml:space="preserve">Ionel </w:t>
      </w:r>
      <w:proofErr w:type="spellStart"/>
      <w:r w:rsidRPr="00433575">
        <w:t>costea</w:t>
      </w:r>
      <w:proofErr w:type="spellEnd"/>
    </w:p>
    <w:p w14:paraId="127F0712" w14:textId="0E13AF55" w:rsidR="00435A7C" w:rsidRDefault="00511E91">
      <w:pPr>
        <w:jc w:val="center"/>
      </w:pPr>
      <w:r>
        <w:t xml:space="preserve">ID: </w:t>
      </w:r>
      <w:r w:rsidR="00433575" w:rsidRPr="00433575">
        <w:t>2422706</w:t>
      </w:r>
      <w:r w:rsidR="00771881">
        <w:br w:type="page" w:clear="all"/>
      </w:r>
    </w:p>
    <w:sdt>
      <w:sdtPr>
        <w:id w:val="995846882"/>
        <w:placeholder>
          <w:docPart w:val="DefaultPlaceholder_TEXT"/>
        </w:placeholder>
        <w:docPartObj>
          <w:docPartGallery w:val="Table of Contents"/>
          <w:docPartUnique/>
        </w:docPartObj>
      </w:sdtPr>
      <w:sdtContent>
        <w:p w14:paraId="2E3EF104" w14:textId="77777777" w:rsidR="00435A7C" w:rsidRDefault="00000000">
          <w:pPr>
            <w:pStyle w:val="TOC1"/>
            <w:tabs>
              <w:tab w:val="right" w:leader="dot" w:pos="9360"/>
            </w:tabs>
            <w:jc w:val="center"/>
          </w:pPr>
          <w:r>
            <w:rPr>
              <w:b/>
              <w:bCs/>
              <w:sz w:val="28"/>
              <w:szCs w:val="28"/>
            </w:rPr>
            <w:fldChar w:fldCharType="begin"/>
          </w:r>
          <w:r>
            <w:rPr>
              <w:b/>
              <w:bCs/>
              <w:sz w:val="28"/>
              <w:szCs w:val="28"/>
            </w:rPr>
            <w:instrText xml:space="preserve">TOC \o "1-9" \h </w:instrText>
          </w:r>
          <w:r>
            <w:rPr>
              <w:b/>
              <w:bCs/>
              <w:sz w:val="28"/>
              <w:szCs w:val="28"/>
            </w:rPr>
            <w:fldChar w:fldCharType="separate"/>
          </w:r>
          <w:hyperlink w:anchor="_Toc1" w:tooltip="#_Toc1" w:history="1">
            <w:r w:rsidR="00435A7C">
              <w:rPr>
                <w:rStyle w:val="Hyperlink"/>
                <w:b/>
                <w:bCs/>
                <w:sz w:val="28"/>
                <w:szCs w:val="28"/>
              </w:rPr>
              <w:t>Table Of Contents</w:t>
            </w:r>
            <w:r w:rsidR="00435A7C">
              <w:rPr>
                <w:rStyle w:val="Hyperlink"/>
              </w:rPr>
              <w:t xml:space="preserve">                                                                                                                                                            Stakeholder Management Plan: Central line Signalling Incremental upgrade Project (CSIP)</w:t>
            </w:r>
            <w:r w:rsidR="00435A7C">
              <w:tab/>
            </w:r>
            <w:r w:rsidR="00435A7C">
              <w:fldChar w:fldCharType="begin"/>
            </w:r>
            <w:r w:rsidR="00435A7C">
              <w:instrText>PAGEREF _Toc1 \h</w:instrText>
            </w:r>
            <w:r w:rsidR="00435A7C">
              <w:fldChar w:fldCharType="separate"/>
            </w:r>
            <w:r w:rsidR="00435A7C">
              <w:t>2</w:t>
            </w:r>
            <w:r w:rsidR="00435A7C">
              <w:fldChar w:fldCharType="end"/>
            </w:r>
          </w:hyperlink>
        </w:p>
        <w:p w14:paraId="3FB0F820" w14:textId="77777777" w:rsidR="00435A7C" w:rsidRDefault="00435A7C">
          <w:pPr>
            <w:pStyle w:val="TOC1"/>
            <w:tabs>
              <w:tab w:val="right" w:leader="dot" w:pos="9360"/>
            </w:tabs>
          </w:pPr>
          <w:hyperlink w:anchor="_Toc2" w:tooltip="#_Toc2" w:history="1">
            <w:r>
              <w:rPr>
                <w:rStyle w:val="Hyperlink"/>
              </w:rPr>
              <w:t>1.0 Introduction</w:t>
            </w:r>
            <w:r>
              <w:tab/>
            </w:r>
            <w:r>
              <w:fldChar w:fldCharType="begin"/>
            </w:r>
            <w:r>
              <w:instrText>PAGEREF _Toc2 \h</w:instrText>
            </w:r>
            <w:r>
              <w:fldChar w:fldCharType="separate"/>
            </w:r>
            <w:r>
              <w:t>2</w:t>
            </w:r>
            <w:r>
              <w:fldChar w:fldCharType="end"/>
            </w:r>
          </w:hyperlink>
        </w:p>
        <w:p w14:paraId="032BBD05" w14:textId="77777777" w:rsidR="00435A7C" w:rsidRDefault="00435A7C">
          <w:pPr>
            <w:pStyle w:val="TOC1"/>
            <w:tabs>
              <w:tab w:val="right" w:leader="dot" w:pos="9360"/>
            </w:tabs>
          </w:pPr>
          <w:hyperlink w:anchor="_Toc3" w:tooltip="#_Toc3" w:history="1">
            <w:r>
              <w:rPr>
                <w:rStyle w:val="Hyperlink"/>
              </w:rPr>
              <w:t>2.0 Stakeholder Engagement &amp; Communication Strategy</w:t>
            </w:r>
            <w:r>
              <w:tab/>
            </w:r>
            <w:r>
              <w:fldChar w:fldCharType="begin"/>
            </w:r>
            <w:r>
              <w:instrText>PAGEREF _Toc3 \h</w:instrText>
            </w:r>
            <w:r>
              <w:fldChar w:fldCharType="separate"/>
            </w:r>
            <w:r>
              <w:t>3</w:t>
            </w:r>
            <w:r>
              <w:fldChar w:fldCharType="end"/>
            </w:r>
          </w:hyperlink>
        </w:p>
        <w:p w14:paraId="3FFF10AE" w14:textId="77777777" w:rsidR="00435A7C" w:rsidRDefault="00435A7C">
          <w:pPr>
            <w:pStyle w:val="TOC2"/>
            <w:tabs>
              <w:tab w:val="right" w:leader="dot" w:pos="9360"/>
            </w:tabs>
          </w:pPr>
          <w:hyperlink w:anchor="_Toc4" w:tooltip="#_Toc4" w:history="1">
            <w:r>
              <w:rPr>
                <w:rStyle w:val="Hyperlink"/>
              </w:rPr>
              <w:t>2.1 Stakeholder Power, Influence, and Interest Analysis</w:t>
            </w:r>
            <w:r>
              <w:tab/>
            </w:r>
            <w:r>
              <w:fldChar w:fldCharType="begin"/>
            </w:r>
            <w:r>
              <w:instrText>PAGEREF _Toc4 \h</w:instrText>
            </w:r>
            <w:r>
              <w:fldChar w:fldCharType="separate"/>
            </w:r>
            <w:r>
              <w:t>4</w:t>
            </w:r>
            <w:r>
              <w:fldChar w:fldCharType="end"/>
            </w:r>
          </w:hyperlink>
        </w:p>
        <w:p w14:paraId="372FAEF7" w14:textId="77777777" w:rsidR="00435A7C" w:rsidRDefault="00435A7C">
          <w:pPr>
            <w:pStyle w:val="TOC2"/>
            <w:tabs>
              <w:tab w:val="right" w:leader="dot" w:pos="9360"/>
            </w:tabs>
          </w:pPr>
          <w:hyperlink w:anchor="_Toc5" w:tooltip="#_Toc5" w:history="1">
            <w:r>
              <w:rPr>
                <w:rStyle w:val="Hyperlink"/>
              </w:rPr>
              <w:t>2.2 Stakeholder Positioning Map</w:t>
            </w:r>
            <w:r>
              <w:tab/>
            </w:r>
            <w:r>
              <w:fldChar w:fldCharType="begin"/>
            </w:r>
            <w:r>
              <w:instrText>PAGEREF _Toc5 \h</w:instrText>
            </w:r>
            <w:r>
              <w:fldChar w:fldCharType="separate"/>
            </w:r>
            <w:r>
              <w:t>6</w:t>
            </w:r>
            <w:r>
              <w:fldChar w:fldCharType="end"/>
            </w:r>
          </w:hyperlink>
        </w:p>
        <w:p w14:paraId="3B581CB6" w14:textId="77777777" w:rsidR="00435A7C" w:rsidRDefault="00435A7C">
          <w:pPr>
            <w:pStyle w:val="TOC2"/>
            <w:tabs>
              <w:tab w:val="right" w:leader="dot" w:pos="9360"/>
            </w:tabs>
          </w:pPr>
          <w:hyperlink w:anchor="_Toc6" w:tooltip="#_Toc6" w:history="1">
            <w:r>
              <w:rPr>
                <w:rStyle w:val="Hyperlink"/>
              </w:rPr>
              <w:t>2.3 Communication and Consultation Plan</w:t>
            </w:r>
            <w:r>
              <w:tab/>
            </w:r>
            <w:r>
              <w:fldChar w:fldCharType="begin"/>
            </w:r>
            <w:r>
              <w:instrText>PAGEREF _Toc6 \h</w:instrText>
            </w:r>
            <w:r>
              <w:fldChar w:fldCharType="separate"/>
            </w:r>
            <w:r>
              <w:t>7</w:t>
            </w:r>
            <w:r>
              <w:fldChar w:fldCharType="end"/>
            </w:r>
          </w:hyperlink>
        </w:p>
        <w:p w14:paraId="3E5249EF" w14:textId="77777777" w:rsidR="00435A7C" w:rsidRDefault="00435A7C">
          <w:pPr>
            <w:pStyle w:val="TOC1"/>
            <w:tabs>
              <w:tab w:val="right" w:leader="dot" w:pos="9360"/>
            </w:tabs>
          </w:pPr>
          <w:hyperlink w:anchor="_Toc7" w:tooltip="#_Toc7" w:history="1">
            <w:r>
              <w:rPr>
                <w:rStyle w:val="Hyperlink"/>
              </w:rPr>
              <w:t>3.0 Framework for Ethical Stakeholder Consultation</w:t>
            </w:r>
            <w:r>
              <w:tab/>
            </w:r>
            <w:r>
              <w:fldChar w:fldCharType="begin"/>
            </w:r>
            <w:r>
              <w:instrText>PAGEREF _Toc7 \h</w:instrText>
            </w:r>
            <w:r>
              <w:fldChar w:fldCharType="separate"/>
            </w:r>
            <w:r>
              <w:t>11</w:t>
            </w:r>
            <w:r>
              <w:fldChar w:fldCharType="end"/>
            </w:r>
          </w:hyperlink>
        </w:p>
        <w:p w14:paraId="75EB2B2A" w14:textId="77777777" w:rsidR="00435A7C" w:rsidRDefault="00435A7C">
          <w:pPr>
            <w:pStyle w:val="TOC2"/>
            <w:tabs>
              <w:tab w:val="right" w:leader="dot" w:pos="9360"/>
            </w:tabs>
          </w:pPr>
          <w:hyperlink w:anchor="_Toc8" w:tooltip="#_Toc8" w:history="1">
            <w:r>
              <w:rPr>
                <w:rStyle w:val="Hyperlink"/>
              </w:rPr>
              <w:t>3.1Methods of Consultation</w:t>
            </w:r>
            <w:r>
              <w:tab/>
            </w:r>
            <w:r>
              <w:fldChar w:fldCharType="begin"/>
            </w:r>
            <w:r>
              <w:instrText>PAGEREF _Toc8 \h</w:instrText>
            </w:r>
            <w:r>
              <w:fldChar w:fldCharType="separate"/>
            </w:r>
            <w:r>
              <w:t>11</w:t>
            </w:r>
            <w:r>
              <w:fldChar w:fldCharType="end"/>
            </w:r>
          </w:hyperlink>
        </w:p>
        <w:p w14:paraId="59E3E630" w14:textId="77777777" w:rsidR="00435A7C" w:rsidRDefault="00435A7C">
          <w:pPr>
            <w:pStyle w:val="TOC2"/>
            <w:tabs>
              <w:tab w:val="right" w:leader="dot" w:pos="9360"/>
            </w:tabs>
          </w:pPr>
          <w:hyperlink w:anchor="_Toc9" w:tooltip="#_Toc9" w:history="1">
            <w:r>
              <w:rPr>
                <w:rStyle w:val="Hyperlink"/>
              </w:rPr>
              <w:t>3.2 Ethical Considerations</w:t>
            </w:r>
            <w:r>
              <w:tab/>
            </w:r>
            <w:r>
              <w:fldChar w:fldCharType="begin"/>
            </w:r>
            <w:r>
              <w:instrText>PAGEREF _Toc9 \h</w:instrText>
            </w:r>
            <w:r>
              <w:fldChar w:fldCharType="separate"/>
            </w:r>
            <w:r>
              <w:t>11</w:t>
            </w:r>
            <w:r>
              <w:fldChar w:fldCharType="end"/>
            </w:r>
          </w:hyperlink>
        </w:p>
        <w:p w14:paraId="1702AA10" w14:textId="77777777" w:rsidR="00435A7C" w:rsidRDefault="00435A7C">
          <w:pPr>
            <w:pStyle w:val="TOC2"/>
            <w:tabs>
              <w:tab w:val="right" w:leader="dot" w:pos="9360"/>
            </w:tabs>
          </w:pPr>
          <w:hyperlink w:anchor="_Toc10" w:tooltip="#_Toc10" w:history="1">
            <w:r>
              <w:rPr>
                <w:rStyle w:val="Hyperlink"/>
              </w:rPr>
              <w:t>3.3 Feedback Collection and Review</w:t>
            </w:r>
            <w:r>
              <w:tab/>
            </w:r>
            <w:r>
              <w:fldChar w:fldCharType="begin"/>
            </w:r>
            <w:r>
              <w:instrText>PAGEREF _Toc10 \h</w:instrText>
            </w:r>
            <w:r>
              <w:fldChar w:fldCharType="separate"/>
            </w:r>
            <w:r>
              <w:t>12</w:t>
            </w:r>
            <w:r>
              <w:fldChar w:fldCharType="end"/>
            </w:r>
          </w:hyperlink>
        </w:p>
        <w:p w14:paraId="5C42ED7F" w14:textId="77777777" w:rsidR="00435A7C" w:rsidRDefault="00435A7C">
          <w:pPr>
            <w:pStyle w:val="TOC1"/>
            <w:tabs>
              <w:tab w:val="right" w:leader="dot" w:pos="9360"/>
            </w:tabs>
          </w:pPr>
          <w:hyperlink w:anchor="_Toc11" w:tooltip="#_Toc11" w:history="1">
            <w:r>
              <w:rPr>
                <w:rStyle w:val="Hyperlink"/>
              </w:rPr>
              <w:t>4.0 Conclusion and Reflection</w:t>
            </w:r>
            <w:r>
              <w:tab/>
            </w:r>
            <w:r>
              <w:fldChar w:fldCharType="begin"/>
            </w:r>
            <w:r>
              <w:instrText>PAGEREF _Toc11 \h</w:instrText>
            </w:r>
            <w:r>
              <w:fldChar w:fldCharType="separate"/>
            </w:r>
            <w:r>
              <w:t>13</w:t>
            </w:r>
            <w:r>
              <w:fldChar w:fldCharType="end"/>
            </w:r>
          </w:hyperlink>
        </w:p>
        <w:p w14:paraId="0E9DF822" w14:textId="77777777" w:rsidR="00435A7C" w:rsidRDefault="00435A7C">
          <w:pPr>
            <w:pStyle w:val="TOC2"/>
            <w:tabs>
              <w:tab w:val="right" w:leader="dot" w:pos="9360"/>
            </w:tabs>
          </w:pPr>
          <w:hyperlink w:anchor="_Toc12" w:tooltip="#_Toc12" w:history="1">
            <w:r>
              <w:rPr>
                <w:rStyle w:val="Hyperlink"/>
              </w:rPr>
              <w:t>4.1 Conclusion</w:t>
            </w:r>
            <w:r>
              <w:tab/>
            </w:r>
            <w:r>
              <w:fldChar w:fldCharType="begin"/>
            </w:r>
            <w:r>
              <w:instrText>PAGEREF _Toc12 \h</w:instrText>
            </w:r>
            <w:r>
              <w:fldChar w:fldCharType="separate"/>
            </w:r>
            <w:r>
              <w:t>13</w:t>
            </w:r>
            <w:r>
              <w:fldChar w:fldCharType="end"/>
            </w:r>
          </w:hyperlink>
        </w:p>
        <w:p w14:paraId="5D44DF68" w14:textId="77777777" w:rsidR="00435A7C" w:rsidRDefault="00435A7C">
          <w:pPr>
            <w:pStyle w:val="TOC2"/>
            <w:tabs>
              <w:tab w:val="right" w:leader="dot" w:pos="9360"/>
            </w:tabs>
          </w:pPr>
          <w:hyperlink w:anchor="_Toc13" w:tooltip="#_Toc13" w:history="1">
            <w:r>
              <w:rPr>
                <w:rStyle w:val="Hyperlink"/>
              </w:rPr>
              <w:t>4.2 Personal Reflection</w:t>
            </w:r>
            <w:r>
              <w:tab/>
            </w:r>
            <w:r>
              <w:fldChar w:fldCharType="begin"/>
            </w:r>
            <w:r>
              <w:instrText>PAGEREF _Toc13 \h</w:instrText>
            </w:r>
            <w:r>
              <w:fldChar w:fldCharType="separate"/>
            </w:r>
            <w:r>
              <w:t>13</w:t>
            </w:r>
            <w:r>
              <w:fldChar w:fldCharType="end"/>
            </w:r>
          </w:hyperlink>
        </w:p>
        <w:p w14:paraId="363B7552" w14:textId="77777777" w:rsidR="00435A7C" w:rsidRDefault="00435A7C">
          <w:pPr>
            <w:pStyle w:val="TOC1"/>
            <w:tabs>
              <w:tab w:val="right" w:leader="dot" w:pos="9360"/>
            </w:tabs>
          </w:pPr>
          <w:hyperlink w:anchor="_Toc14" w:tooltip="#_Toc14" w:history="1">
            <w:r>
              <w:rPr>
                <w:rStyle w:val="Hyperlink"/>
              </w:rPr>
              <w:t>Reference</w:t>
            </w:r>
            <w:r>
              <w:tab/>
            </w:r>
            <w:r>
              <w:fldChar w:fldCharType="begin"/>
            </w:r>
            <w:r>
              <w:instrText>PAGEREF _Toc14 \h</w:instrText>
            </w:r>
            <w:r>
              <w:fldChar w:fldCharType="separate"/>
            </w:r>
            <w:r>
              <w:t>15</w:t>
            </w:r>
            <w:r>
              <w:fldChar w:fldCharType="end"/>
            </w:r>
          </w:hyperlink>
        </w:p>
        <w:p w14:paraId="22108AC8" w14:textId="77777777" w:rsidR="00435A7C" w:rsidRDefault="00000000">
          <w:r>
            <w:fldChar w:fldCharType="end"/>
          </w:r>
        </w:p>
      </w:sdtContent>
    </w:sdt>
    <w:p w14:paraId="6FA8D2C6" w14:textId="77777777" w:rsidR="00435A7C" w:rsidRDefault="00000000">
      <w:r>
        <w:br w:type="page" w:clear="all"/>
      </w:r>
    </w:p>
    <w:p w14:paraId="3AAAF801" w14:textId="77777777" w:rsidR="00435A7C" w:rsidRDefault="00000000">
      <w:pPr>
        <w:pStyle w:val="Heading1"/>
      </w:pPr>
      <w:bookmarkStart w:id="0" w:name="_t7whposqdcei"/>
      <w:bookmarkStart w:id="1" w:name="_Toc1"/>
      <w:bookmarkEnd w:id="0"/>
      <w:r>
        <w:lastRenderedPageBreak/>
        <w:t>Stakeholder Management Plan: Central line Signalling Incremental upgrade Project (</w:t>
      </w:r>
      <w:proofErr w:type="spellStart"/>
      <w:r>
        <w:t>CSIP</w:t>
      </w:r>
      <w:proofErr w:type="spellEnd"/>
      <w:r>
        <w:t>)</w:t>
      </w:r>
      <w:bookmarkEnd w:id="1"/>
    </w:p>
    <w:p w14:paraId="4BF924CA" w14:textId="77777777" w:rsidR="00435A7C" w:rsidRDefault="00000000">
      <w:pPr>
        <w:pStyle w:val="Heading1"/>
      </w:pPr>
      <w:bookmarkStart w:id="2" w:name="_g9jtcpep0m10"/>
      <w:bookmarkStart w:id="3" w:name="_Toc2"/>
      <w:bookmarkEnd w:id="2"/>
      <w:r>
        <w:t>1.0 Introduction</w:t>
      </w:r>
      <w:bookmarkEnd w:id="3"/>
    </w:p>
    <w:p w14:paraId="30053ED6" w14:textId="77777777" w:rsidR="00435A7C" w:rsidRDefault="00000000">
      <w:r>
        <w:t>There is a challenge experienced in the London transport system. It has to strike a balance between the demands of the global city and the demands of ageing assets. London Underground is the oldest metro system in the world, and it needs to be systematically invested in to achieve a State of Good Repair (</w:t>
      </w:r>
      <w:proofErr w:type="spellStart"/>
      <w:r>
        <w:t>SoGR</w:t>
      </w:r>
      <w:proofErr w:type="spellEnd"/>
      <w:r>
        <w:t>), which is more challenging because of the years of underinvestment. In the case of signals, the £</w:t>
      </w:r>
      <w:proofErr w:type="spellStart"/>
      <w:r>
        <w:t>130m</w:t>
      </w:r>
      <w:proofErr w:type="spellEnd"/>
      <w:r>
        <w:t xml:space="preserve"> a year investment is necessary to reach a Steady State; however, in recent years, the investment has been as low as £</w:t>
      </w:r>
      <w:proofErr w:type="spellStart"/>
      <w:r>
        <w:t>7m</w:t>
      </w:r>
      <w:proofErr w:type="spellEnd"/>
      <w:r>
        <w:t>-£</w:t>
      </w:r>
      <w:proofErr w:type="spellStart"/>
      <w:r>
        <w:t>38m</w:t>
      </w:r>
      <w:proofErr w:type="spellEnd"/>
      <w:r>
        <w:t xml:space="preserve"> (Purley, 2025). The Central Line Signalling Incremental Upgrade Project (</w:t>
      </w:r>
      <w:proofErr w:type="spellStart"/>
      <w:r>
        <w:t>CSIP</w:t>
      </w:r>
      <w:proofErr w:type="spellEnd"/>
      <w:r>
        <w:t>) is an important strategic intervention. It promises the future of a vital network artery. Its existing signalling system is customised and outdated. This presents a threat to the reliability and restricts capacity enhancement in the future. Operational integrity requires modernisation.</w:t>
      </w:r>
    </w:p>
    <w:p w14:paraId="54486F55" w14:textId="77777777" w:rsidR="00435A7C" w:rsidRDefault="00000000">
      <w:pPr>
        <w:jc w:val="center"/>
      </w:pPr>
      <w:r>
        <w:rPr>
          <w:noProof/>
        </w:rPr>
        <mc:AlternateContent>
          <mc:Choice Requires="wpg">
            <w:drawing>
              <wp:inline distT="0" distB="0" distL="0" distR="0" wp14:anchorId="4D84C607" wp14:editId="79ADD6A0">
                <wp:extent cx="4572000" cy="3005789"/>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6"/>
                        <a:srcRect t="6080"/>
                        <a:stretch/>
                      </pic:blipFill>
                      <pic:spPr bwMode="auto">
                        <a:xfrm>
                          <a:off x="0" y="0"/>
                          <a:ext cx="4572000" cy="3005789"/>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 o:spid="_x0000_s1" type="#_x0000_t75" style="width:360.00pt;height:236.68pt;mso-wrap-distance-left:0.00pt;mso-wrap-distance-top:0.00pt;mso-wrap-distance-right:0.00pt;mso-wrap-distance-bottom:0.00pt;z-index:1;">
                <v:imagedata r:id="rId12" o:title="" croptop="3985f" cropleft="0f" cropbottom="0f" cropright="0f"/>
                <o:lock v:ext="edit" rotation="t"/>
              </v:shape>
            </w:pict>
          </mc:Fallback>
        </mc:AlternateContent>
      </w:r>
    </w:p>
    <w:p w14:paraId="79E3F6AD" w14:textId="77777777" w:rsidR="00435A7C" w:rsidRDefault="00000000">
      <w:pPr>
        <w:jc w:val="center"/>
      </w:pPr>
      <w:r>
        <w:t>Figure: London Underground</w:t>
      </w:r>
    </w:p>
    <w:p w14:paraId="397B5325" w14:textId="77777777" w:rsidR="00435A7C" w:rsidRDefault="00000000">
      <w:pPr>
        <w:jc w:val="center"/>
      </w:pPr>
      <w:r>
        <w:t>(Source: Purley, 2025)</w:t>
      </w:r>
    </w:p>
    <w:p w14:paraId="4B317580" w14:textId="77777777" w:rsidR="00435A7C" w:rsidRDefault="00000000">
      <w:r>
        <w:t xml:space="preserve">The </w:t>
      </w:r>
      <w:r>
        <w:rPr>
          <w:b/>
          <w:bCs/>
        </w:rPr>
        <w:t>Central Line Signalling Incremental Upgrade Project (</w:t>
      </w:r>
      <w:proofErr w:type="spellStart"/>
      <w:r>
        <w:rPr>
          <w:b/>
          <w:bCs/>
        </w:rPr>
        <w:t>CSIP</w:t>
      </w:r>
      <w:proofErr w:type="spellEnd"/>
      <w:r>
        <w:rPr>
          <w:b/>
          <w:bCs/>
        </w:rPr>
        <w:t>)</w:t>
      </w:r>
      <w:r>
        <w:t xml:space="preserve"> is a 15 to 20-year project proposed to be a systematic replacement of the existing signalling and control system by a new, digital Communications-Based Train Control (</w:t>
      </w:r>
      <w:proofErr w:type="spellStart"/>
      <w:r>
        <w:t>CBTC</w:t>
      </w:r>
      <w:proofErr w:type="spellEnd"/>
      <w:r>
        <w:t xml:space="preserve">) system. This is a progressive strategy. It enables the possibility of updating some parts of the system when they have gone out of use, hence </w:t>
      </w:r>
      <w:r>
        <w:lastRenderedPageBreak/>
        <w:t>preventing disastrous collapse. Central Line is the longest Tube line. It serves about 4.5 million customer journeys each week. It links major destinations like the West End and the City of London. The project is essential for the long-term health of the capital.</w:t>
      </w:r>
    </w:p>
    <w:p w14:paraId="43759F25" w14:textId="77777777" w:rsidR="00435A7C" w:rsidRDefault="00000000">
      <w:pPr>
        <w:jc w:val="center"/>
      </w:pPr>
      <w:r>
        <w:rPr>
          <w:noProof/>
        </w:rPr>
        <mc:AlternateContent>
          <mc:Choice Requires="wpg">
            <w:drawing>
              <wp:inline distT="0" distB="0" distL="0" distR="0" wp14:anchorId="1D0FC165" wp14:editId="007B108B">
                <wp:extent cx="4381500" cy="264386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13"/>
                        <a:srcRect/>
                        <a:stretch/>
                      </pic:blipFill>
                      <pic:spPr bwMode="auto">
                        <a:xfrm>
                          <a:off x="0" y="0"/>
                          <a:ext cx="4381500" cy="2643865"/>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 o:spid="_x0000_s2" type="#_x0000_t75" style="width:345.00pt;height:208.18pt;mso-wrap-distance-left:0.00pt;mso-wrap-distance-top:0.00pt;mso-wrap-distance-right:0.00pt;mso-wrap-distance-bottom:0.00pt;z-index:1;">
                <v:imagedata r:id="rId14" o:title="" croptop="0f" cropleft="0f" cropbottom="0f" cropright="0f"/>
                <o:lock v:ext="edit" rotation="t"/>
              </v:shape>
            </w:pict>
          </mc:Fallback>
        </mc:AlternateContent>
      </w:r>
    </w:p>
    <w:p w14:paraId="12671AA6" w14:textId="77777777" w:rsidR="00435A7C" w:rsidRDefault="00000000">
      <w:pPr>
        <w:jc w:val="center"/>
      </w:pPr>
      <w:r>
        <w:t>Figure: Indicative Plan</w:t>
      </w:r>
    </w:p>
    <w:p w14:paraId="1875FB5E" w14:textId="77777777" w:rsidR="00435A7C" w:rsidRDefault="00000000">
      <w:pPr>
        <w:jc w:val="center"/>
      </w:pPr>
      <w:r>
        <w:t xml:space="preserve">(Source: Purley, 2025) </w:t>
      </w:r>
    </w:p>
    <w:p w14:paraId="01390D4F" w14:textId="77777777" w:rsidR="00435A7C" w:rsidRDefault="00000000">
      <w:r>
        <w:t xml:space="preserve">Management of various stakeholders is what will bring success. Each group's interests differ; the major stakeholders and their advantages are: </w:t>
      </w:r>
      <w:r>
        <w:rPr>
          <w:b/>
          <w:bCs/>
        </w:rPr>
        <w:t>Transport for London (TfL)</w:t>
      </w:r>
      <w:r>
        <w:t xml:space="preserve">, which gains the operational efficiency of one of the fundamental assets. The project saves on the maintenance expenses that would be incurred in the long term due to the use of outdated technology. The project is in line with the Transport Strategy of the </w:t>
      </w:r>
      <w:r>
        <w:rPr>
          <w:b/>
          <w:bCs/>
        </w:rPr>
        <w:t>Mayor</w:t>
      </w:r>
      <w:r>
        <w:t>. It provides a better experience in public transport, and that is critical to economic development.</w:t>
      </w:r>
      <w:r>
        <w:rPr>
          <w:b/>
          <w:bCs/>
        </w:rPr>
        <w:t xml:space="preserve"> Central Line Passengers </w:t>
      </w:r>
      <w:r>
        <w:t xml:space="preserve">will enjoy a dependable service. The upgrade minimises delays on one of the busiest lines. The stewardship of the </w:t>
      </w:r>
      <w:r>
        <w:rPr>
          <w:b/>
          <w:bCs/>
        </w:rPr>
        <w:t>UK Government</w:t>
      </w:r>
      <w:r>
        <w:t xml:space="preserve"> is the one that is to blame; it makes sure that London is competitive in the world. </w:t>
      </w:r>
      <w:r>
        <w:rPr>
          <w:b/>
          <w:bCs/>
        </w:rPr>
        <w:t xml:space="preserve">TfL Operations Staff </w:t>
      </w:r>
      <w:r>
        <w:t xml:space="preserve">will work in a modern system. This enhances the working environment. An effective project will guarantee employment security. The Central Line supports </w:t>
      </w:r>
      <w:r>
        <w:rPr>
          <w:b/>
          <w:bCs/>
        </w:rPr>
        <w:t>London businesses and firms</w:t>
      </w:r>
      <w:r>
        <w:t xml:space="preserve"> in terms of employees and customers. The upgrade provides the reliability of this essential connection. This plan examines these stakeholders to come up with specific engagement strategies.</w:t>
      </w:r>
    </w:p>
    <w:p w14:paraId="04C0401B" w14:textId="77777777" w:rsidR="00435A7C" w:rsidRDefault="00435A7C">
      <w:pPr>
        <w:pStyle w:val="Heading1"/>
      </w:pPr>
    </w:p>
    <w:p w14:paraId="5E680C52" w14:textId="77777777" w:rsidR="00435A7C" w:rsidRDefault="00000000">
      <w:pPr>
        <w:pStyle w:val="Heading1"/>
      </w:pPr>
      <w:bookmarkStart w:id="4" w:name="_ad2j8gr05aua"/>
      <w:bookmarkStart w:id="5" w:name="_Toc3"/>
      <w:bookmarkEnd w:id="4"/>
      <w:r>
        <w:t>2.0 Stakeholder Engagement &amp; Communication Strategy</w:t>
      </w:r>
      <w:bookmarkEnd w:id="5"/>
    </w:p>
    <w:p w14:paraId="58AD9A2F" w14:textId="77777777" w:rsidR="00435A7C" w:rsidRDefault="00000000">
      <w:r>
        <w:t>The Central Line Signalling Incremental Upgrade Project (</w:t>
      </w:r>
      <w:proofErr w:type="spellStart"/>
      <w:r>
        <w:t>CSIP</w:t>
      </w:r>
      <w:proofErr w:type="spellEnd"/>
      <w:r>
        <w:t xml:space="preserve">) is going to face a lot of issues, such as obtaining long-term funding in a poor financial situation and dealing with the unavoidable inconvenience of the project to the passengers and residents (Kujala </w:t>
      </w:r>
      <w:r>
        <w:rPr>
          <w:i/>
          <w:iCs/>
        </w:rPr>
        <w:t>et al</w:t>
      </w:r>
      <w:r>
        <w:t>., 2022). Such an active and planned stakeholder engagement strategy is therefore crucial.</w:t>
      </w:r>
    </w:p>
    <w:p w14:paraId="1700E959" w14:textId="77777777" w:rsidR="00435A7C" w:rsidRDefault="00000000">
      <w:pPr>
        <w:pStyle w:val="Heading2"/>
      </w:pPr>
      <w:bookmarkStart w:id="6" w:name="_h0si3o8fpdna"/>
      <w:bookmarkStart w:id="7" w:name="_Toc4"/>
      <w:bookmarkEnd w:id="6"/>
      <w:r>
        <w:t>2.1 Stakeholder Power, Influence, and Interest Analysis</w:t>
      </w:r>
      <w:bookmarkEnd w:id="7"/>
    </w:p>
    <w:p w14:paraId="1904C0DE" w14:textId="77777777" w:rsidR="00435A7C" w:rsidRDefault="00000000">
      <w:r>
        <w:t xml:space="preserve">The table below includes a detailed discussion of the main stakeholders of the </w:t>
      </w:r>
      <w:proofErr w:type="spellStart"/>
      <w:r>
        <w:t>CSIP</w:t>
      </w:r>
      <w:proofErr w:type="spellEnd"/>
      <w:r>
        <w:t>, estimating their power and interest in the project and giving the reasons based on the current operational and financial context.</w:t>
      </w:r>
    </w:p>
    <w:tbl>
      <w:tblPr>
        <w:tblStyle w:val="StGen0"/>
        <w:tblW w:w="0" w:type="auto"/>
        <w:tblInd w:w="0" w:type="dxa"/>
        <w:tblLook w:val="04A0" w:firstRow="1" w:lastRow="0" w:firstColumn="1" w:lastColumn="0" w:noHBand="0" w:noVBand="1"/>
      </w:tblPr>
      <w:tblGrid>
        <w:gridCol w:w="2048"/>
        <w:gridCol w:w="1949"/>
        <w:gridCol w:w="1081"/>
        <w:gridCol w:w="4270"/>
      </w:tblGrid>
      <w:tr w:rsidR="00435A7C" w14:paraId="7F08CB17" w14:textId="77777777">
        <w:trPr>
          <w:trHeight w:val="815"/>
        </w:trPr>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6667CDB4" w14:textId="77777777" w:rsidR="00435A7C" w:rsidRDefault="00000000">
            <w:pPr>
              <w:spacing w:line="240" w:lineRule="auto"/>
              <w:jc w:val="center"/>
              <w:rPr>
                <w:b/>
                <w:bCs/>
              </w:rPr>
            </w:pPr>
            <w:r>
              <w:rPr>
                <w:b/>
                <w:bCs/>
              </w:rPr>
              <w:t>Stakeholder</w:t>
            </w:r>
          </w:p>
        </w:tc>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374B500D" w14:textId="77777777" w:rsidR="00435A7C" w:rsidRDefault="00000000">
            <w:pPr>
              <w:spacing w:line="240" w:lineRule="auto"/>
              <w:jc w:val="center"/>
              <w:rPr>
                <w:b/>
                <w:bCs/>
              </w:rPr>
            </w:pPr>
            <w:r>
              <w:rPr>
                <w:b/>
                <w:bCs/>
              </w:rPr>
              <w:t>Power/Influence Level</w:t>
            </w:r>
          </w:p>
        </w:tc>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5F4ADE82" w14:textId="77777777" w:rsidR="00435A7C" w:rsidRDefault="00000000">
            <w:pPr>
              <w:spacing w:line="240" w:lineRule="auto"/>
              <w:jc w:val="center"/>
              <w:rPr>
                <w:b/>
                <w:bCs/>
              </w:rPr>
            </w:pPr>
            <w:r>
              <w:rPr>
                <w:b/>
                <w:bCs/>
              </w:rPr>
              <w:t>Interest Level</w:t>
            </w:r>
          </w:p>
        </w:tc>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56470E9F" w14:textId="77777777" w:rsidR="00435A7C" w:rsidRDefault="00000000">
            <w:pPr>
              <w:spacing w:line="240" w:lineRule="auto"/>
              <w:jc w:val="center"/>
              <w:rPr>
                <w:b/>
                <w:bCs/>
              </w:rPr>
            </w:pPr>
            <w:r>
              <w:rPr>
                <w:b/>
                <w:bCs/>
              </w:rPr>
              <w:t>Justification for Assessment</w:t>
            </w:r>
          </w:p>
        </w:tc>
      </w:tr>
      <w:tr w:rsidR="00435A7C" w14:paraId="4354E5A0" w14:textId="77777777">
        <w:trPr>
          <w:trHeight w:val="1970"/>
        </w:trPr>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0F642FB0" w14:textId="77777777" w:rsidR="00435A7C" w:rsidRDefault="00000000">
            <w:pPr>
              <w:spacing w:line="240" w:lineRule="auto"/>
              <w:jc w:val="center"/>
              <w:rPr>
                <w:b/>
                <w:bCs/>
              </w:rPr>
            </w:pPr>
            <w:r>
              <w:rPr>
                <w:b/>
                <w:bCs/>
              </w:rPr>
              <w:t>Transport for London (TfL)</w:t>
            </w:r>
          </w:p>
        </w:tc>
        <w:tc>
          <w:tcPr>
            <w:tcW w:w="0" w:type="auto"/>
            <w:tcBorders>
              <w:top w:val="single" w:sz="5" w:space="0" w:color="434343"/>
              <w:left w:val="single" w:sz="5" w:space="0" w:color="434343"/>
              <w:bottom w:val="single" w:sz="5" w:space="0" w:color="434343"/>
              <w:right w:val="single" w:sz="5" w:space="0" w:color="434343"/>
            </w:tcBorders>
            <w:shd w:val="clear" w:color="auto" w:fill="E06666"/>
            <w:tcMar>
              <w:top w:w="100" w:type="dxa"/>
              <w:left w:w="100" w:type="dxa"/>
              <w:bottom w:w="100" w:type="dxa"/>
              <w:right w:w="100" w:type="dxa"/>
            </w:tcMar>
          </w:tcPr>
          <w:p w14:paraId="11863002" w14:textId="77777777" w:rsidR="00435A7C" w:rsidRDefault="00000000">
            <w:pPr>
              <w:spacing w:before="240" w:after="240"/>
            </w:pPr>
            <w:r>
              <w:t>High</w:t>
            </w:r>
          </w:p>
        </w:tc>
        <w:tc>
          <w:tcPr>
            <w:tcW w:w="0" w:type="auto"/>
            <w:tcBorders>
              <w:top w:val="single" w:sz="5" w:space="0" w:color="434343"/>
              <w:left w:val="single" w:sz="5" w:space="0" w:color="434343"/>
              <w:bottom w:val="single" w:sz="5" w:space="0" w:color="434343"/>
              <w:right w:val="single" w:sz="5" w:space="0" w:color="434343"/>
            </w:tcBorders>
            <w:shd w:val="clear" w:color="auto" w:fill="E06666"/>
            <w:tcMar>
              <w:top w:w="100" w:type="dxa"/>
              <w:left w:w="100" w:type="dxa"/>
              <w:bottom w:w="100" w:type="dxa"/>
              <w:right w:w="100" w:type="dxa"/>
            </w:tcMar>
          </w:tcPr>
          <w:p w14:paraId="63EC71A0" w14:textId="77777777" w:rsidR="00435A7C" w:rsidRDefault="00000000">
            <w:pPr>
              <w:spacing w:before="240" w:after="240"/>
            </w:pPr>
            <w:r>
              <w:t>High</w:t>
            </w:r>
          </w:p>
        </w:tc>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00CFEA1C" w14:textId="77777777" w:rsidR="00435A7C" w:rsidRDefault="00000000">
            <w:r>
              <w:t>TfL, being both the owner and operator of the project, has final control over delivery. The project is fundamental to its purpose of ensuring the long-term financial and operational sustainability of the network by having a State of Good Repair ‌(TFL, 2023).</w:t>
            </w:r>
          </w:p>
        </w:tc>
      </w:tr>
      <w:tr w:rsidR="00435A7C" w14:paraId="7BBB323B" w14:textId="77777777">
        <w:trPr>
          <w:trHeight w:val="1685"/>
        </w:trPr>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2AFA0079" w14:textId="77777777" w:rsidR="00435A7C" w:rsidRDefault="00000000">
            <w:pPr>
              <w:spacing w:line="240" w:lineRule="auto"/>
              <w:jc w:val="center"/>
              <w:rPr>
                <w:b/>
                <w:bCs/>
              </w:rPr>
            </w:pPr>
            <w:r>
              <w:rPr>
                <w:b/>
                <w:bCs/>
              </w:rPr>
              <w:t>The Mayor of London &amp; Greater London Authority (GLA)</w:t>
            </w:r>
          </w:p>
        </w:tc>
        <w:tc>
          <w:tcPr>
            <w:tcW w:w="0" w:type="auto"/>
            <w:tcBorders>
              <w:top w:val="single" w:sz="5" w:space="0" w:color="434343"/>
              <w:left w:val="single" w:sz="5" w:space="0" w:color="434343"/>
              <w:bottom w:val="single" w:sz="5" w:space="0" w:color="434343"/>
              <w:right w:val="single" w:sz="5" w:space="0" w:color="434343"/>
            </w:tcBorders>
            <w:shd w:val="clear" w:color="auto" w:fill="E06666"/>
            <w:tcMar>
              <w:top w:w="100" w:type="dxa"/>
              <w:left w:w="100" w:type="dxa"/>
              <w:bottom w:w="100" w:type="dxa"/>
              <w:right w:w="100" w:type="dxa"/>
            </w:tcMar>
          </w:tcPr>
          <w:p w14:paraId="53F0DCA0" w14:textId="77777777" w:rsidR="00435A7C" w:rsidRDefault="00000000">
            <w:pPr>
              <w:spacing w:before="240" w:after="240"/>
            </w:pPr>
            <w:r>
              <w:t>High</w:t>
            </w:r>
          </w:p>
        </w:tc>
        <w:tc>
          <w:tcPr>
            <w:tcW w:w="0" w:type="auto"/>
            <w:tcBorders>
              <w:top w:val="single" w:sz="5" w:space="0" w:color="434343"/>
              <w:left w:val="single" w:sz="5" w:space="0" w:color="434343"/>
              <w:bottom w:val="single" w:sz="5" w:space="0" w:color="434343"/>
              <w:right w:val="single" w:sz="5" w:space="0" w:color="434343"/>
            </w:tcBorders>
            <w:shd w:val="clear" w:color="auto" w:fill="E06666"/>
            <w:tcMar>
              <w:top w:w="100" w:type="dxa"/>
              <w:left w:w="100" w:type="dxa"/>
              <w:bottom w:w="100" w:type="dxa"/>
              <w:right w:w="100" w:type="dxa"/>
            </w:tcMar>
          </w:tcPr>
          <w:p w14:paraId="5A4CC894" w14:textId="77777777" w:rsidR="00435A7C" w:rsidRDefault="00000000">
            <w:pPr>
              <w:spacing w:before="240" w:after="240"/>
            </w:pPr>
            <w:r>
              <w:t>High</w:t>
            </w:r>
          </w:p>
        </w:tc>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4EB7C987" w14:textId="77777777" w:rsidR="00435A7C" w:rsidRDefault="00000000">
            <w:r>
              <w:t>The Mayor establishes the transport strategy in London. The political significance of the project is its success, which is in line with the themes of the Mayor's Transport Strategy of providing an excellent experience of public transport.</w:t>
            </w:r>
          </w:p>
        </w:tc>
      </w:tr>
      <w:tr w:rsidR="00435A7C" w14:paraId="37502407" w14:textId="77777777">
        <w:trPr>
          <w:trHeight w:val="1970"/>
        </w:trPr>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5782FABE" w14:textId="77777777" w:rsidR="00435A7C" w:rsidRDefault="00000000">
            <w:pPr>
              <w:spacing w:line="240" w:lineRule="auto"/>
              <w:jc w:val="center"/>
              <w:rPr>
                <w:b/>
                <w:bCs/>
              </w:rPr>
            </w:pPr>
            <w:r>
              <w:rPr>
                <w:b/>
                <w:bCs/>
              </w:rPr>
              <w:lastRenderedPageBreak/>
              <w:t>The UK Government (Department for Transport)</w:t>
            </w:r>
          </w:p>
        </w:tc>
        <w:tc>
          <w:tcPr>
            <w:tcW w:w="0" w:type="auto"/>
            <w:tcBorders>
              <w:top w:val="single" w:sz="5" w:space="0" w:color="434343"/>
              <w:left w:val="single" w:sz="5" w:space="0" w:color="434343"/>
              <w:bottom w:val="single" w:sz="5" w:space="0" w:color="434343"/>
              <w:right w:val="single" w:sz="5" w:space="0" w:color="434343"/>
            </w:tcBorders>
            <w:shd w:val="clear" w:color="auto" w:fill="E06666"/>
            <w:tcMar>
              <w:top w:w="100" w:type="dxa"/>
              <w:left w:w="100" w:type="dxa"/>
              <w:bottom w:w="100" w:type="dxa"/>
              <w:right w:w="100" w:type="dxa"/>
            </w:tcMar>
          </w:tcPr>
          <w:p w14:paraId="56DA27DC" w14:textId="77777777" w:rsidR="00435A7C" w:rsidRDefault="00000000">
            <w:pPr>
              <w:spacing w:before="240" w:after="240"/>
            </w:pPr>
            <w:r>
              <w:t>High</w:t>
            </w:r>
          </w:p>
        </w:tc>
        <w:tc>
          <w:tcPr>
            <w:tcW w:w="0" w:type="auto"/>
            <w:tcBorders>
              <w:top w:val="single" w:sz="5" w:space="0" w:color="434343"/>
              <w:left w:val="single" w:sz="5" w:space="0" w:color="434343"/>
              <w:bottom w:val="single" w:sz="5" w:space="0" w:color="434343"/>
              <w:right w:val="single" w:sz="5" w:space="0" w:color="434343"/>
            </w:tcBorders>
            <w:shd w:val="clear" w:color="auto" w:fill="E06666"/>
            <w:tcMar>
              <w:top w:w="100" w:type="dxa"/>
              <w:left w:w="100" w:type="dxa"/>
              <w:bottom w:w="100" w:type="dxa"/>
              <w:right w:w="100" w:type="dxa"/>
            </w:tcMar>
          </w:tcPr>
          <w:p w14:paraId="0A37FECA" w14:textId="77777777" w:rsidR="00435A7C" w:rsidRDefault="00000000">
            <w:pPr>
              <w:spacing w:before="240" w:after="240"/>
            </w:pPr>
            <w:r>
              <w:t>High</w:t>
            </w:r>
          </w:p>
        </w:tc>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21363306" w14:textId="77777777" w:rsidR="00435A7C" w:rsidRDefault="00000000">
            <w:r>
              <w:t>Since the finances at TfL are extremely reliant on the Government settlements, the Government has the final authority on the capital funding required to ensure the viability of the project in the long term, especially in the face of the threat of "constrained funding".</w:t>
            </w:r>
          </w:p>
        </w:tc>
      </w:tr>
      <w:tr w:rsidR="00435A7C" w14:paraId="7EB23331" w14:textId="77777777">
        <w:trPr>
          <w:trHeight w:val="1970"/>
        </w:trPr>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1882F8E3" w14:textId="77777777" w:rsidR="00435A7C" w:rsidRDefault="00000000">
            <w:pPr>
              <w:spacing w:line="240" w:lineRule="auto"/>
              <w:jc w:val="center"/>
              <w:rPr>
                <w:b/>
                <w:bCs/>
              </w:rPr>
            </w:pPr>
            <w:r>
              <w:rPr>
                <w:b/>
                <w:bCs/>
              </w:rPr>
              <w:t>TfL Operations Staff &amp; Unions</w:t>
            </w:r>
          </w:p>
        </w:tc>
        <w:tc>
          <w:tcPr>
            <w:tcW w:w="0" w:type="auto"/>
            <w:tcBorders>
              <w:top w:val="single" w:sz="5" w:space="0" w:color="434343"/>
              <w:left w:val="single" w:sz="5" w:space="0" w:color="434343"/>
              <w:bottom w:val="single" w:sz="5" w:space="0" w:color="434343"/>
              <w:right w:val="single" w:sz="5" w:space="0" w:color="434343"/>
            </w:tcBorders>
            <w:shd w:val="clear" w:color="auto" w:fill="E06666"/>
            <w:tcMar>
              <w:top w:w="100" w:type="dxa"/>
              <w:left w:w="100" w:type="dxa"/>
              <w:bottom w:w="100" w:type="dxa"/>
              <w:right w:w="100" w:type="dxa"/>
            </w:tcMar>
          </w:tcPr>
          <w:p w14:paraId="7392D5DB" w14:textId="77777777" w:rsidR="00435A7C" w:rsidRDefault="00000000">
            <w:pPr>
              <w:spacing w:before="240" w:after="240"/>
            </w:pPr>
            <w:r>
              <w:t>High</w:t>
            </w:r>
          </w:p>
        </w:tc>
        <w:tc>
          <w:tcPr>
            <w:tcW w:w="0" w:type="auto"/>
            <w:tcBorders>
              <w:top w:val="single" w:sz="5" w:space="0" w:color="434343"/>
              <w:left w:val="single" w:sz="5" w:space="0" w:color="434343"/>
              <w:bottom w:val="single" w:sz="5" w:space="0" w:color="434343"/>
              <w:right w:val="single" w:sz="5" w:space="0" w:color="434343"/>
            </w:tcBorders>
            <w:shd w:val="clear" w:color="auto" w:fill="E06666"/>
            <w:tcMar>
              <w:top w:w="100" w:type="dxa"/>
              <w:left w:w="100" w:type="dxa"/>
              <w:bottom w:w="100" w:type="dxa"/>
              <w:right w:w="100" w:type="dxa"/>
            </w:tcMar>
          </w:tcPr>
          <w:p w14:paraId="63233801" w14:textId="77777777" w:rsidR="00435A7C" w:rsidRDefault="00000000">
            <w:pPr>
              <w:spacing w:before="240" w:after="240"/>
            </w:pPr>
            <w:r>
              <w:t>High</w:t>
            </w:r>
          </w:p>
        </w:tc>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59286B88" w14:textId="77777777" w:rsidR="00435A7C" w:rsidRDefault="00000000">
            <w:r>
              <w:t xml:space="preserve">The unions and staff are very influential in operations. Their collaboration is essential to a complicated task of incorporating a new </w:t>
            </w:r>
            <w:proofErr w:type="spellStart"/>
            <w:r>
              <w:t>CBTC</w:t>
            </w:r>
            <w:proofErr w:type="spellEnd"/>
            <w:r>
              <w:t xml:space="preserve"> system and the old and "bespoke and obsolescent" legacy system on which it is based.</w:t>
            </w:r>
          </w:p>
        </w:tc>
      </w:tr>
      <w:tr w:rsidR="00435A7C" w14:paraId="79A7DD60" w14:textId="77777777">
        <w:trPr>
          <w:trHeight w:val="1970"/>
        </w:trPr>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1562E97F" w14:textId="77777777" w:rsidR="00435A7C" w:rsidRDefault="00000000">
            <w:pPr>
              <w:spacing w:line="240" w:lineRule="auto"/>
              <w:jc w:val="center"/>
              <w:rPr>
                <w:b/>
                <w:bCs/>
              </w:rPr>
            </w:pPr>
            <w:r>
              <w:rPr>
                <w:b/>
                <w:bCs/>
              </w:rPr>
              <w:t>Central Line Passengers</w:t>
            </w:r>
          </w:p>
        </w:tc>
        <w:tc>
          <w:tcPr>
            <w:tcW w:w="0" w:type="auto"/>
            <w:tcBorders>
              <w:top w:val="single" w:sz="5" w:space="0" w:color="434343"/>
              <w:left w:val="single" w:sz="5" w:space="0" w:color="434343"/>
              <w:bottom w:val="single" w:sz="5" w:space="0" w:color="434343"/>
              <w:right w:val="single" w:sz="5" w:space="0" w:color="434343"/>
            </w:tcBorders>
            <w:shd w:val="clear" w:color="auto" w:fill="FCE5CD"/>
            <w:tcMar>
              <w:top w:w="100" w:type="dxa"/>
              <w:left w:w="100" w:type="dxa"/>
              <w:bottom w:w="100" w:type="dxa"/>
              <w:right w:w="100" w:type="dxa"/>
            </w:tcMar>
          </w:tcPr>
          <w:p w14:paraId="0EA46902" w14:textId="77777777" w:rsidR="00435A7C" w:rsidRDefault="00000000">
            <w:pPr>
              <w:spacing w:before="240" w:after="240"/>
            </w:pPr>
            <w:r>
              <w:t>Low</w:t>
            </w:r>
          </w:p>
        </w:tc>
        <w:tc>
          <w:tcPr>
            <w:tcW w:w="0" w:type="auto"/>
            <w:tcBorders>
              <w:top w:val="single" w:sz="5" w:space="0" w:color="434343"/>
              <w:left w:val="single" w:sz="5" w:space="0" w:color="434343"/>
              <w:bottom w:val="single" w:sz="5" w:space="0" w:color="434343"/>
              <w:right w:val="single" w:sz="5" w:space="0" w:color="434343"/>
            </w:tcBorders>
            <w:shd w:val="clear" w:color="auto" w:fill="E06666"/>
            <w:tcMar>
              <w:top w:w="100" w:type="dxa"/>
              <w:left w:w="100" w:type="dxa"/>
              <w:bottom w:w="100" w:type="dxa"/>
              <w:right w:w="100" w:type="dxa"/>
            </w:tcMar>
          </w:tcPr>
          <w:p w14:paraId="545D2A39" w14:textId="77777777" w:rsidR="00435A7C" w:rsidRDefault="00000000">
            <w:pPr>
              <w:spacing w:before="240" w:after="240"/>
            </w:pPr>
            <w:r>
              <w:t>High</w:t>
            </w:r>
          </w:p>
        </w:tc>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1529A4E7" w14:textId="77777777" w:rsidR="00435A7C" w:rsidRDefault="00000000">
            <w:r>
              <w:t xml:space="preserve">Individual passengers cannot be said to have high direct power, but their overall experience and satisfaction are vital indicators of project success. A very high level of interest is towards a reliable service, as they travel 4.5 million journeys per week on the line ‌(TFL, </w:t>
            </w:r>
            <w:proofErr w:type="spellStart"/>
            <w:r>
              <w:t>2023a</w:t>
            </w:r>
            <w:proofErr w:type="spellEnd"/>
            <w:r>
              <w:t>).</w:t>
            </w:r>
          </w:p>
        </w:tc>
      </w:tr>
      <w:tr w:rsidR="00435A7C" w14:paraId="1A75D8BA" w14:textId="77777777">
        <w:trPr>
          <w:trHeight w:val="2348"/>
        </w:trPr>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37E49334" w14:textId="77777777" w:rsidR="00435A7C" w:rsidRDefault="00000000">
            <w:pPr>
              <w:spacing w:line="240" w:lineRule="auto"/>
              <w:jc w:val="center"/>
              <w:rPr>
                <w:b/>
                <w:bCs/>
              </w:rPr>
            </w:pPr>
            <w:r>
              <w:rPr>
                <w:b/>
                <w:bCs/>
              </w:rPr>
              <w:t>Signalling System Suppliers</w:t>
            </w:r>
          </w:p>
        </w:tc>
        <w:tc>
          <w:tcPr>
            <w:tcW w:w="0" w:type="auto"/>
            <w:tcBorders>
              <w:top w:val="single" w:sz="5" w:space="0" w:color="434343"/>
              <w:left w:val="single" w:sz="5" w:space="0" w:color="434343"/>
              <w:bottom w:val="single" w:sz="5" w:space="0" w:color="434343"/>
              <w:right w:val="single" w:sz="5" w:space="0" w:color="434343"/>
            </w:tcBorders>
            <w:shd w:val="clear" w:color="auto" w:fill="F9CB9C"/>
            <w:tcMar>
              <w:top w:w="100" w:type="dxa"/>
              <w:left w:w="100" w:type="dxa"/>
              <w:bottom w:w="100" w:type="dxa"/>
              <w:right w:w="100" w:type="dxa"/>
            </w:tcMar>
          </w:tcPr>
          <w:p w14:paraId="56EFF7F3" w14:textId="77777777" w:rsidR="00435A7C" w:rsidRDefault="00000000">
            <w:pPr>
              <w:spacing w:before="240" w:after="240"/>
            </w:pPr>
            <w:r>
              <w:t>Medium</w:t>
            </w:r>
          </w:p>
        </w:tc>
        <w:tc>
          <w:tcPr>
            <w:tcW w:w="0" w:type="auto"/>
            <w:tcBorders>
              <w:top w:val="single" w:sz="5" w:space="0" w:color="434343"/>
              <w:left w:val="single" w:sz="5" w:space="0" w:color="434343"/>
              <w:bottom w:val="single" w:sz="5" w:space="0" w:color="434343"/>
              <w:right w:val="single" w:sz="5" w:space="0" w:color="434343"/>
            </w:tcBorders>
            <w:shd w:val="clear" w:color="auto" w:fill="E06666"/>
            <w:tcMar>
              <w:top w:w="100" w:type="dxa"/>
              <w:left w:w="100" w:type="dxa"/>
              <w:bottom w:w="100" w:type="dxa"/>
              <w:right w:w="100" w:type="dxa"/>
            </w:tcMar>
          </w:tcPr>
          <w:p w14:paraId="4F07F8BF" w14:textId="77777777" w:rsidR="00435A7C" w:rsidRDefault="00000000">
            <w:pPr>
              <w:spacing w:before="240" w:after="240"/>
            </w:pPr>
            <w:r>
              <w:t>High</w:t>
            </w:r>
          </w:p>
        </w:tc>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7FDE9E8F" w14:textId="77777777" w:rsidR="00435A7C" w:rsidRDefault="00000000">
            <w:r>
              <w:t>Potential suppliers have the technical expertise which is necessary for delivery. They will have medium power due to their experience and commercial conditions that will greatly affect the cost, cycle and technological victory of the project.</w:t>
            </w:r>
          </w:p>
        </w:tc>
      </w:tr>
      <w:tr w:rsidR="00435A7C" w14:paraId="3E20D246" w14:textId="77777777">
        <w:trPr>
          <w:trHeight w:val="1970"/>
        </w:trPr>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360805F4" w14:textId="77777777" w:rsidR="00435A7C" w:rsidRDefault="00000000">
            <w:pPr>
              <w:spacing w:before="240" w:after="240"/>
              <w:rPr>
                <w:b/>
                <w:bCs/>
              </w:rPr>
            </w:pPr>
            <w:r>
              <w:rPr>
                <w:b/>
                <w:bCs/>
              </w:rPr>
              <w:lastRenderedPageBreak/>
              <w:t>London Businesses</w:t>
            </w:r>
          </w:p>
        </w:tc>
        <w:tc>
          <w:tcPr>
            <w:tcW w:w="0" w:type="auto"/>
            <w:tcBorders>
              <w:top w:val="single" w:sz="5" w:space="0" w:color="434343"/>
              <w:left w:val="single" w:sz="5" w:space="0" w:color="434343"/>
              <w:bottom w:val="single" w:sz="5" w:space="0" w:color="434343"/>
              <w:right w:val="single" w:sz="5" w:space="0" w:color="434343"/>
            </w:tcBorders>
            <w:shd w:val="clear" w:color="auto" w:fill="F9CB9C"/>
            <w:tcMar>
              <w:top w:w="100" w:type="dxa"/>
              <w:left w:w="100" w:type="dxa"/>
              <w:bottom w:w="100" w:type="dxa"/>
              <w:right w:w="100" w:type="dxa"/>
            </w:tcMar>
          </w:tcPr>
          <w:p w14:paraId="6CD925D3" w14:textId="77777777" w:rsidR="00435A7C" w:rsidRDefault="00000000">
            <w:pPr>
              <w:spacing w:before="240" w:after="240"/>
            </w:pPr>
            <w:r>
              <w:t>Medium</w:t>
            </w:r>
          </w:p>
        </w:tc>
        <w:tc>
          <w:tcPr>
            <w:tcW w:w="0" w:type="auto"/>
            <w:tcBorders>
              <w:top w:val="single" w:sz="5" w:space="0" w:color="434343"/>
              <w:left w:val="single" w:sz="5" w:space="0" w:color="434343"/>
              <w:bottom w:val="single" w:sz="5" w:space="0" w:color="434343"/>
              <w:right w:val="single" w:sz="5" w:space="0" w:color="434343"/>
            </w:tcBorders>
            <w:shd w:val="clear" w:color="auto" w:fill="E06666"/>
            <w:tcMar>
              <w:top w:w="100" w:type="dxa"/>
              <w:left w:w="100" w:type="dxa"/>
              <w:bottom w:w="100" w:type="dxa"/>
              <w:right w:w="100" w:type="dxa"/>
            </w:tcMar>
          </w:tcPr>
          <w:p w14:paraId="618CF4BB" w14:textId="77777777" w:rsidR="00435A7C" w:rsidRDefault="00000000">
            <w:pPr>
              <w:spacing w:before="240" w:after="240"/>
            </w:pPr>
            <w:r>
              <w:t>High</w:t>
            </w:r>
          </w:p>
        </w:tc>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7795851E" w14:textId="77777777" w:rsidR="00435A7C" w:rsidRDefault="00000000">
            <w:r>
              <w:t>Companies, particularly those in major economic centres like the West End, depend on the Central Line as their labour force and consumers. Their voice can be used collectively to affect political and social opinion, which provides them with a medium power.</w:t>
            </w:r>
          </w:p>
        </w:tc>
      </w:tr>
      <w:tr w:rsidR="00435A7C" w14:paraId="39D1495D" w14:textId="77777777">
        <w:trPr>
          <w:trHeight w:val="1970"/>
        </w:trPr>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0C2FA35F" w14:textId="77777777" w:rsidR="00435A7C" w:rsidRDefault="00000000">
            <w:pPr>
              <w:spacing w:before="240" w:after="240"/>
              <w:rPr>
                <w:b/>
                <w:bCs/>
              </w:rPr>
            </w:pPr>
            <w:r>
              <w:rPr>
                <w:b/>
                <w:bCs/>
              </w:rPr>
              <w:t>Residents Along the Central Line</w:t>
            </w:r>
          </w:p>
        </w:tc>
        <w:tc>
          <w:tcPr>
            <w:tcW w:w="0" w:type="auto"/>
            <w:tcBorders>
              <w:top w:val="single" w:sz="5" w:space="0" w:color="434343"/>
              <w:left w:val="single" w:sz="5" w:space="0" w:color="434343"/>
              <w:bottom w:val="single" w:sz="5" w:space="0" w:color="434343"/>
              <w:right w:val="single" w:sz="5" w:space="0" w:color="434343"/>
            </w:tcBorders>
            <w:shd w:val="clear" w:color="auto" w:fill="FCE5CD"/>
            <w:tcMar>
              <w:top w:w="100" w:type="dxa"/>
              <w:left w:w="100" w:type="dxa"/>
              <w:bottom w:w="100" w:type="dxa"/>
              <w:right w:w="100" w:type="dxa"/>
            </w:tcMar>
          </w:tcPr>
          <w:p w14:paraId="1A9B221F" w14:textId="77777777" w:rsidR="00435A7C" w:rsidRDefault="00000000">
            <w:pPr>
              <w:spacing w:before="240" w:after="240"/>
            </w:pPr>
            <w:r>
              <w:t>Low</w:t>
            </w:r>
          </w:p>
        </w:tc>
        <w:tc>
          <w:tcPr>
            <w:tcW w:w="0" w:type="auto"/>
            <w:tcBorders>
              <w:top w:val="single" w:sz="5" w:space="0" w:color="434343"/>
              <w:left w:val="single" w:sz="5" w:space="0" w:color="434343"/>
              <w:bottom w:val="single" w:sz="5" w:space="0" w:color="434343"/>
              <w:right w:val="single" w:sz="5" w:space="0" w:color="434343"/>
            </w:tcBorders>
            <w:shd w:val="clear" w:color="auto" w:fill="FEC9A0"/>
            <w:tcMar>
              <w:top w:w="100" w:type="dxa"/>
              <w:left w:w="100" w:type="dxa"/>
              <w:bottom w:w="100" w:type="dxa"/>
              <w:right w:w="100" w:type="dxa"/>
            </w:tcMar>
          </w:tcPr>
          <w:p w14:paraId="4C78B1FD" w14:textId="77777777" w:rsidR="00435A7C" w:rsidRDefault="00000000">
            <w:pPr>
              <w:spacing w:before="240" w:after="240"/>
            </w:pPr>
            <w:r>
              <w:t>Medium</w:t>
            </w:r>
          </w:p>
        </w:tc>
        <w:tc>
          <w:tcPr>
            <w:tcW w:w="0" w:type="auto"/>
            <w:tcBorders>
              <w:top w:val="single" w:sz="5" w:space="0" w:color="434343"/>
              <w:left w:val="single" w:sz="5" w:space="0" w:color="434343"/>
              <w:bottom w:val="single" w:sz="5" w:space="0" w:color="434343"/>
              <w:right w:val="single" w:sz="5" w:space="0" w:color="434343"/>
            </w:tcBorders>
            <w:tcMar>
              <w:top w:w="100" w:type="dxa"/>
              <w:left w:w="100" w:type="dxa"/>
              <w:bottom w:w="100" w:type="dxa"/>
              <w:right w:w="100" w:type="dxa"/>
            </w:tcMar>
          </w:tcPr>
          <w:p w14:paraId="4D510FA0" w14:textId="77777777" w:rsidR="00435A7C" w:rsidRDefault="00000000">
            <w:r>
              <w:t>Individual power of the residents is low, but it could affect the local planning and create political pressure in case the construction activities are very disruptive. They have a high interest in local work phases but not otherwise in comparison with daily commuters.</w:t>
            </w:r>
          </w:p>
        </w:tc>
      </w:tr>
    </w:tbl>
    <w:p w14:paraId="2CF83F44" w14:textId="77777777" w:rsidR="00435A7C" w:rsidRDefault="00000000">
      <w:pPr>
        <w:jc w:val="center"/>
      </w:pPr>
      <w:r>
        <w:t>Table: Stakeholder Power, Influence, and Interest Analysis</w:t>
      </w:r>
    </w:p>
    <w:p w14:paraId="4A9FDC4F" w14:textId="77777777" w:rsidR="00435A7C" w:rsidRDefault="00000000">
      <w:pPr>
        <w:jc w:val="center"/>
      </w:pPr>
      <w:r>
        <w:t xml:space="preserve">(Source: ‌TFL, 2018; Kujala </w:t>
      </w:r>
      <w:r>
        <w:rPr>
          <w:i/>
          <w:iCs/>
        </w:rPr>
        <w:t>et al</w:t>
      </w:r>
      <w:r>
        <w:t>., 2022; ‌TFL, 2023)</w:t>
      </w:r>
    </w:p>
    <w:p w14:paraId="71D39CE9" w14:textId="77777777" w:rsidR="00435A7C" w:rsidRDefault="00000000">
      <w:pPr>
        <w:pStyle w:val="Heading2"/>
      </w:pPr>
      <w:bookmarkStart w:id="8" w:name="_cciuqs7kl2f5"/>
      <w:bookmarkStart w:id="9" w:name="_Toc5"/>
      <w:bookmarkEnd w:id="8"/>
      <w:r>
        <w:t>2.2 Stakeholder Positioning Map</w:t>
      </w:r>
      <w:bookmarkEnd w:id="9"/>
    </w:p>
    <w:p w14:paraId="5E378B28" w14:textId="77777777" w:rsidR="00435A7C" w:rsidRDefault="00000000">
      <w:r>
        <w:t>The power and interest analysis allows identifying four quadrants in which stakeholders can be engaged in a different way.</w:t>
      </w:r>
    </w:p>
    <w:p w14:paraId="13E268C2" w14:textId="77777777" w:rsidR="00435A7C" w:rsidRDefault="00000000">
      <w:pPr>
        <w:spacing w:before="240" w:after="240"/>
        <w:jc w:val="center"/>
      </w:pPr>
      <w:r>
        <w:rPr>
          <w:noProof/>
        </w:rPr>
        <w:lastRenderedPageBreak/>
        <mc:AlternateContent>
          <mc:Choice Requires="wpg">
            <w:drawing>
              <wp:inline distT="0" distB="0" distL="0" distR="0" wp14:anchorId="0C36579A" wp14:editId="1BCB5DC7">
                <wp:extent cx="4133425" cy="3684702"/>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5"/>
                        <a:srcRect/>
                        <a:stretch/>
                      </pic:blipFill>
                      <pic:spPr bwMode="auto">
                        <a:xfrm>
                          <a:off x="0" y="0"/>
                          <a:ext cx="4133425" cy="3684702"/>
                        </a:xfrm>
                        <a:prstGeom prst="rect">
                          <a:avLst/>
                        </a:prstGeom>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3" o:spid="_x0000_s3" type="#_x0000_t75" style="width:325.47pt;height:290.13pt;mso-wrap-distance-left:0.00pt;mso-wrap-distance-top:0.00pt;mso-wrap-distance-right:0.00pt;mso-wrap-distance-bottom:0.00pt;z-index:1;">
                <v:imagedata r:id="rId16" o:title="" croptop="0f" cropleft="0f" cropbottom="0f" cropright="0f"/>
                <o:lock v:ext="edit" rotation="t"/>
              </v:shape>
            </w:pict>
          </mc:Fallback>
        </mc:AlternateContent>
      </w:r>
    </w:p>
    <w:p w14:paraId="6FD98B2D" w14:textId="77777777" w:rsidR="00435A7C" w:rsidRDefault="00000000">
      <w:pPr>
        <w:jc w:val="center"/>
      </w:pPr>
      <w:r>
        <w:t>Figure: Stakeholder Matrix</w:t>
      </w:r>
    </w:p>
    <w:p w14:paraId="07BD401A" w14:textId="77777777" w:rsidR="00435A7C" w:rsidRDefault="00000000">
      <w:pPr>
        <w:jc w:val="center"/>
      </w:pPr>
      <w:r>
        <w:t>Source: Self-made</w:t>
      </w:r>
    </w:p>
    <w:p w14:paraId="0250D794" w14:textId="77777777" w:rsidR="00435A7C" w:rsidRDefault="00000000">
      <w:pPr>
        <w:rPr>
          <w:b/>
          <w:bCs/>
        </w:rPr>
      </w:pPr>
      <w:r>
        <w:rPr>
          <w:b/>
          <w:bCs/>
        </w:rPr>
        <w:t>Justification for Stakeholder Matrix Placement</w:t>
      </w:r>
    </w:p>
    <w:p w14:paraId="726AE9BB" w14:textId="77777777" w:rsidR="00435A7C" w:rsidRDefault="00000000">
      <w:pPr>
        <w:rPr>
          <w:b/>
          <w:bCs/>
        </w:rPr>
      </w:pPr>
      <w:r>
        <w:rPr>
          <w:b/>
          <w:bCs/>
        </w:rPr>
        <w:t>High Power, High Interest (Manage Closely)</w:t>
      </w:r>
    </w:p>
    <w:p w14:paraId="0A95A825" w14:textId="77777777" w:rsidR="00435A7C" w:rsidRDefault="00000000">
      <w:r>
        <w:t>This quadrant covers the key decision makers and influencers of the operations in the project. These four stakeholders mentioned above, namely TfL, the Mayor, the UK Government and TfL Operations Staff or Unions, have the mandate (in terms of funding, political requirement or operational control) to make the project successful. The reason why they are so interested is that the Central Line Signalling Incremental Upgrade Project (</w:t>
      </w:r>
      <w:proofErr w:type="spellStart"/>
      <w:r>
        <w:t>CSIP</w:t>
      </w:r>
      <w:proofErr w:type="spellEnd"/>
      <w:r>
        <w:t xml:space="preserve">) is a necessity in long-term financial, political and systemic stability (Kujala </w:t>
      </w:r>
      <w:r>
        <w:rPr>
          <w:i/>
          <w:iCs/>
        </w:rPr>
        <w:t>et al</w:t>
      </w:r>
      <w:r>
        <w:t>., 2022). They, therefore, need to be actively engaged and managed.</w:t>
      </w:r>
    </w:p>
    <w:p w14:paraId="2A604B90" w14:textId="77777777" w:rsidR="00435A7C" w:rsidRDefault="00000000">
      <w:r>
        <w:rPr>
          <w:b/>
          <w:bCs/>
        </w:rPr>
        <w:t>High Power, Low Interest (Keep Satisfied)</w:t>
      </w:r>
    </w:p>
    <w:p w14:paraId="4B3FAF06" w14:textId="77777777" w:rsidR="00435A7C" w:rsidRDefault="00000000">
      <w:r>
        <w:t xml:space="preserve">This quadrant is empty, as it is an indication of the critical nature of the project. High-power stakeholders of </w:t>
      </w:r>
      <w:proofErr w:type="spellStart"/>
      <w:r>
        <w:t>CSIP</w:t>
      </w:r>
      <w:proofErr w:type="spellEnd"/>
      <w:r>
        <w:t xml:space="preserve"> also have a high level of interest, since a major system overhaul contains financial, political or safety imperatives (</w:t>
      </w:r>
      <w:proofErr w:type="spellStart"/>
      <w:r>
        <w:t>Goscé</w:t>
      </w:r>
      <w:proofErr w:type="spellEnd"/>
      <w:r>
        <w:t xml:space="preserve"> and Johansson, 2018). The stakes are too high to leave any strong entity indifferent as to the result.</w:t>
      </w:r>
    </w:p>
    <w:p w14:paraId="652A5F9B" w14:textId="77777777" w:rsidR="00435A7C" w:rsidRDefault="00000000">
      <w:pPr>
        <w:rPr>
          <w:b/>
          <w:bCs/>
        </w:rPr>
      </w:pPr>
      <w:r>
        <w:rPr>
          <w:b/>
          <w:bCs/>
        </w:rPr>
        <w:lastRenderedPageBreak/>
        <w:t>Low Power, High Interest (Keep Informed)</w:t>
      </w:r>
    </w:p>
    <w:p w14:paraId="25A2A2C3" w14:textId="77777777" w:rsidR="00435A7C" w:rsidRDefault="00000000">
      <w:r>
        <w:t>This quadrant consists of the Central Line passengers, the suppliers of the signalling system and the London business. These are highly interested groups in the success of the project, especially in the aspect of enhanced reliability and business potential (</w:t>
      </w:r>
      <w:proofErr w:type="spellStart"/>
      <w:r>
        <w:t>Goscé</w:t>
      </w:r>
      <w:proofErr w:type="spellEnd"/>
      <w:r>
        <w:t xml:space="preserve"> and Johansson, 2018). They, however, do not have the direct, formal power to decide upon the scope or the timing. They should thus be kept in the know at all times by consulting and communicating with them to ensure that they remain supportive and to receive valuable and relevant feedback.</w:t>
      </w:r>
    </w:p>
    <w:p w14:paraId="6B4AEA6E" w14:textId="77777777" w:rsidR="00435A7C" w:rsidRDefault="00000000">
      <w:r>
        <w:rPr>
          <w:b/>
          <w:bCs/>
        </w:rPr>
        <w:t>Low Power, Low Interest (Monitor)</w:t>
      </w:r>
    </w:p>
    <w:p w14:paraId="341064C3" w14:textId="77777777" w:rsidR="00435A7C" w:rsidRDefault="00000000">
      <w:r>
        <w:t>Residents along the Central Line are placed here. They have very low personal authority on the entire multi-decade project. They are mostly concentrated on particular, localised construction stages. In comparison to the daily commuters, they have a low long-term interest in signalling technology. The plan of action with this group is to watch any fluctuations in local opinion which might create political pressure.</w:t>
      </w:r>
    </w:p>
    <w:p w14:paraId="73F66EC5" w14:textId="77777777" w:rsidR="00435A7C" w:rsidRDefault="00000000">
      <w:pPr>
        <w:pStyle w:val="Heading2"/>
      </w:pPr>
      <w:bookmarkStart w:id="10" w:name="_fd8vvyrflf8e"/>
      <w:bookmarkStart w:id="11" w:name="_Toc6"/>
      <w:bookmarkEnd w:id="10"/>
      <w:r>
        <w:t>2.3 Communication and Consultation Plan</w:t>
      </w:r>
      <w:bookmarkEnd w:id="11"/>
    </w:p>
    <w:p w14:paraId="500464EA" w14:textId="77777777" w:rsidR="00435A7C" w:rsidRDefault="00000000">
      <w:r>
        <w:t>The tailored communication plan requires a customised communication plan to be put into practice (Norton, 2021). The plan below provides the most important messages, approaches and objectives of each group of stakeholders.</w:t>
      </w:r>
    </w:p>
    <w:tbl>
      <w:tblPr>
        <w:tblStyle w:val="StGen1"/>
        <w:tblW w:w="0" w:type="auto"/>
        <w:tblInd w:w="0" w:type="dxa"/>
        <w:tblLook w:val="04A0" w:firstRow="1" w:lastRow="0" w:firstColumn="1" w:lastColumn="0" w:noHBand="0" w:noVBand="1"/>
      </w:tblPr>
      <w:tblGrid>
        <w:gridCol w:w="1523"/>
        <w:gridCol w:w="1646"/>
        <w:gridCol w:w="1956"/>
        <w:gridCol w:w="1582"/>
        <w:gridCol w:w="2641"/>
      </w:tblGrid>
      <w:tr w:rsidR="00435A7C" w14:paraId="573FC530" w14:textId="77777777">
        <w:trPr>
          <w:trHeight w:val="815"/>
        </w:trPr>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53A04DD5" w14:textId="77777777" w:rsidR="00435A7C" w:rsidRDefault="00000000">
            <w:pPr>
              <w:spacing w:line="240" w:lineRule="auto"/>
              <w:jc w:val="center"/>
              <w:rPr>
                <w:b/>
                <w:bCs/>
              </w:rPr>
            </w:pPr>
            <w:r>
              <w:rPr>
                <w:b/>
                <w:bCs/>
              </w:rPr>
              <w:t>Stakeholder Group</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47D6C2A3" w14:textId="77777777" w:rsidR="00435A7C" w:rsidRDefault="00000000">
            <w:pPr>
              <w:spacing w:line="240" w:lineRule="auto"/>
              <w:jc w:val="center"/>
              <w:rPr>
                <w:b/>
                <w:bCs/>
              </w:rPr>
            </w:pPr>
            <w:r>
              <w:rPr>
                <w:b/>
                <w:bCs/>
              </w:rPr>
              <w:t>Key Message (What)</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14F5D463" w14:textId="77777777" w:rsidR="00435A7C" w:rsidRDefault="00000000">
            <w:pPr>
              <w:spacing w:line="240" w:lineRule="auto"/>
              <w:jc w:val="center"/>
              <w:rPr>
                <w:b/>
                <w:bCs/>
              </w:rPr>
            </w:pPr>
            <w:r>
              <w:rPr>
                <w:b/>
                <w:bCs/>
              </w:rPr>
              <w:t>Communication Medium (How)</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35E1A665" w14:textId="77777777" w:rsidR="00435A7C" w:rsidRDefault="00000000">
            <w:pPr>
              <w:spacing w:line="240" w:lineRule="auto"/>
              <w:jc w:val="center"/>
              <w:rPr>
                <w:b/>
                <w:bCs/>
              </w:rPr>
            </w:pPr>
            <w:r>
              <w:rPr>
                <w:b/>
                <w:bCs/>
              </w:rPr>
              <w:t>Frequency (When)</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2CB92EA9" w14:textId="77777777" w:rsidR="00435A7C" w:rsidRDefault="00000000">
            <w:pPr>
              <w:spacing w:line="240" w:lineRule="auto"/>
              <w:jc w:val="center"/>
              <w:rPr>
                <w:b/>
                <w:bCs/>
              </w:rPr>
            </w:pPr>
            <w:r>
              <w:rPr>
                <w:b/>
                <w:bCs/>
              </w:rPr>
              <w:t>Objective/Justification</w:t>
            </w:r>
          </w:p>
        </w:tc>
      </w:tr>
      <w:tr w:rsidR="00435A7C" w14:paraId="1AA26510" w14:textId="77777777">
        <w:trPr>
          <w:trHeight w:val="2840"/>
        </w:trPr>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447C9A54" w14:textId="77777777" w:rsidR="00435A7C" w:rsidRDefault="00000000">
            <w:pPr>
              <w:spacing w:before="240" w:after="240"/>
              <w:rPr>
                <w:b/>
                <w:bCs/>
              </w:rPr>
            </w:pPr>
            <w:r>
              <w:rPr>
                <w:b/>
                <w:bCs/>
              </w:rPr>
              <w:t>Mayor of London &amp; GLA / UK Government</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7B3964D3" w14:textId="77777777" w:rsidR="00435A7C" w:rsidRDefault="00000000">
            <w:r>
              <w:t>Advancement against milestones, financial achievement, provision of strategic goals, and value money in the long term.</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63DDEA76" w14:textId="77777777" w:rsidR="00435A7C" w:rsidRDefault="00000000">
            <w:r>
              <w:t>Official written briefings, progress reports, and individual meetings with top management.</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53789BCA" w14:textId="77777777" w:rsidR="00435A7C" w:rsidRDefault="00000000">
            <w:r>
              <w:t>Monthly GLA; Quarterly Government or funding agreement.</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54FD75F0" w14:textId="77777777" w:rsidR="00435A7C" w:rsidRDefault="00000000">
            <w:r>
              <w:t>To sustain political and financial backing, paint a competent project management and receive continued funding tranches.</w:t>
            </w:r>
          </w:p>
        </w:tc>
      </w:tr>
      <w:tr w:rsidR="00435A7C" w14:paraId="788C6228" w14:textId="77777777">
        <w:trPr>
          <w:trHeight w:val="2840"/>
        </w:trPr>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630BC75D" w14:textId="77777777" w:rsidR="00435A7C" w:rsidRDefault="00000000">
            <w:pPr>
              <w:spacing w:before="240" w:after="240"/>
              <w:rPr>
                <w:b/>
                <w:bCs/>
              </w:rPr>
            </w:pPr>
            <w:r>
              <w:rPr>
                <w:b/>
                <w:bCs/>
              </w:rPr>
              <w:lastRenderedPageBreak/>
              <w:t>TfL Operations Staff &amp; Unions</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55EC2F99" w14:textId="77777777" w:rsidR="00435A7C" w:rsidRDefault="00000000">
            <w:r>
              <w:t>New systems information, training strategies, role and responsibility influence, and concerns about safety and operation enhancement.</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60EAE13D" w14:textId="77777777" w:rsidR="00435A7C" w:rsidRDefault="00000000">
            <w:r>
              <w:t>In-house briefings, Workshops, official union consultations, project project-specific intranet.</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2DCFC724" w14:textId="77777777" w:rsidR="00435A7C" w:rsidRDefault="00000000">
            <w:r>
              <w:t>Consultations and constant updates.</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17176BB9" w14:textId="77777777" w:rsidR="00435A7C" w:rsidRDefault="00000000">
            <w:r>
              <w:t>To build trust by making sure that operations are ready and buy-in, and addressing industrial relations in a proactive way to avoid conflicts.</w:t>
            </w:r>
          </w:p>
        </w:tc>
      </w:tr>
      <w:tr w:rsidR="00435A7C" w14:paraId="7E827968" w14:textId="77777777">
        <w:trPr>
          <w:trHeight w:val="3125"/>
        </w:trPr>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3C9EA373" w14:textId="77777777" w:rsidR="00435A7C" w:rsidRDefault="00000000">
            <w:pPr>
              <w:spacing w:before="240" w:after="240"/>
              <w:rPr>
                <w:b/>
                <w:bCs/>
              </w:rPr>
            </w:pPr>
            <w:r>
              <w:rPr>
                <w:b/>
                <w:bCs/>
              </w:rPr>
              <w:t>Central Line Passengers</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2CF143A0" w14:textId="77777777" w:rsidR="00435A7C" w:rsidRDefault="00000000">
            <w:r>
              <w:t>The timely and transparent information about the changes in the services and the weekend closures, as well as the project benefits.</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3EBC2A97" w14:textId="77777777" w:rsidR="00435A7C" w:rsidRDefault="00000000">
            <w:r>
              <w:t>TfL internet site, social media campaigns, on-platform posters, in-carriage announcements, TfL Go updates.</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53BAB80C" w14:textId="77777777" w:rsidR="00435A7C" w:rsidRDefault="00000000">
            <w:r>
              <w:t>Bi-weekly during the active work phases; otherwise, quarterly updates on the progress.</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3D33925B" w14:textId="77777777" w:rsidR="00435A7C" w:rsidRDefault="00000000">
            <w:r>
              <w:t>To avoid disappointment, reduce the frustration of disruption, and strengthen the overarching value of achieving the long-term benefits to keep the population on board.</w:t>
            </w:r>
          </w:p>
        </w:tc>
      </w:tr>
      <w:tr w:rsidR="00435A7C" w14:paraId="77A7B796" w14:textId="77777777">
        <w:trPr>
          <w:trHeight w:val="3125"/>
        </w:trPr>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6E788E81" w14:textId="77777777" w:rsidR="00435A7C" w:rsidRDefault="00000000">
            <w:pPr>
              <w:spacing w:before="240" w:after="240"/>
              <w:rPr>
                <w:b/>
                <w:bCs/>
              </w:rPr>
            </w:pPr>
            <w:r>
              <w:rPr>
                <w:b/>
                <w:bCs/>
              </w:rPr>
              <w:t>London Businesses</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21FFD14B" w14:textId="77777777" w:rsidR="00435A7C" w:rsidRDefault="00000000">
            <w:r>
              <w:t xml:space="preserve">Advance notice of major works that affect important business districts. Focus </w:t>
            </w:r>
            <w:r>
              <w:lastRenderedPageBreak/>
              <w:t>on long-term economic value and enhancement of transport reliability.</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6E0CE968" w14:textId="77777777" w:rsidR="00435A7C" w:rsidRDefault="00000000">
            <w:r>
              <w:lastRenderedPageBreak/>
              <w:t xml:space="preserve">Briefings through business associations (such as the London Chambers of Commerce), specific major </w:t>
            </w:r>
            <w:r>
              <w:lastRenderedPageBreak/>
              <w:t>commercial centres, and workshops.</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00633FB5" w14:textId="77777777" w:rsidR="00435A7C" w:rsidRDefault="00000000">
            <w:r>
              <w:lastRenderedPageBreak/>
              <w:t>Before significant construction stages and at significant milestones of the project.</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7A8FBF38" w14:textId="77777777" w:rsidR="00435A7C" w:rsidRDefault="00000000">
            <w:r>
              <w:t>To assist businesses in planning against disruption, reduce economic costs and develop a platform of corporate support for the project.</w:t>
            </w:r>
          </w:p>
        </w:tc>
      </w:tr>
      <w:tr w:rsidR="00435A7C" w14:paraId="576EB9A0" w14:textId="77777777">
        <w:trPr>
          <w:trHeight w:val="2555"/>
        </w:trPr>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783AE176" w14:textId="77777777" w:rsidR="00435A7C" w:rsidRDefault="00000000">
            <w:pPr>
              <w:spacing w:before="240" w:after="240"/>
              <w:rPr>
                <w:b/>
                <w:bCs/>
              </w:rPr>
            </w:pPr>
            <w:r>
              <w:rPr>
                <w:b/>
                <w:bCs/>
              </w:rPr>
              <w:t>Residents Along the Central Line</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05E86255" w14:textId="77777777" w:rsidR="00435A7C" w:rsidRDefault="00000000">
            <w:r>
              <w:t>Local construction schedule and noise abatement plan, and contact details for queries and concerns.</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3F111119" w14:textId="77777777" w:rsidR="00435A7C" w:rsidRDefault="00000000">
            <w:r>
              <w:t>Notice to affected property, local forums of residents and the community and updates through the local authority.</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0CC9CB18" w14:textId="77777777" w:rsidR="00435A7C" w:rsidRDefault="00000000">
            <w:r>
              <w:t>Before and during any local construction activity.</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3481177C" w14:textId="77777777" w:rsidR="00435A7C" w:rsidRDefault="00000000">
            <w:r>
              <w:t>To preserve community goodwill, make certain that disruption will be handled in a responsible way, and respond to certain local concerns.</w:t>
            </w:r>
          </w:p>
        </w:tc>
      </w:tr>
      <w:tr w:rsidR="00435A7C" w14:paraId="6712AD8D" w14:textId="77777777">
        <w:trPr>
          <w:trHeight w:val="2840"/>
        </w:trPr>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4DD41733" w14:textId="77777777" w:rsidR="00435A7C" w:rsidRDefault="00000000">
            <w:pPr>
              <w:spacing w:before="240" w:after="240"/>
              <w:rPr>
                <w:b/>
                <w:bCs/>
              </w:rPr>
            </w:pPr>
            <w:r>
              <w:rPr>
                <w:b/>
                <w:bCs/>
              </w:rPr>
              <w:t>Signalling System Suppliers</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5C8AE4D4" w14:textId="77777777" w:rsidR="00435A7C" w:rsidRDefault="00000000">
            <w:r>
              <w:t>Technical requirements, procurement schedule, collaboration prospects and long-term plan of the signalling system.</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57798908" w14:textId="77777777" w:rsidR="00435A7C" w:rsidRDefault="00000000">
            <w:r>
              <w:t>Industry engagement days, formal procurement portals, and technical workshops.</w:t>
            </w:r>
          </w:p>
          <w:p w14:paraId="6C8AE6F3" w14:textId="77777777" w:rsidR="00435A7C" w:rsidRDefault="00435A7C">
            <w:pPr>
              <w:spacing w:before="240" w:after="240"/>
              <w:rPr>
                <w:rFonts w:ascii="Arial" w:eastAsia="Arial" w:hAnsi="Arial" w:cs="Arial"/>
              </w:rPr>
            </w:pPr>
          </w:p>
          <w:p w14:paraId="27CAD976" w14:textId="77777777" w:rsidR="00435A7C" w:rsidRDefault="00435A7C">
            <w:pPr>
              <w:rPr>
                <w:rFonts w:ascii="Arial" w:eastAsia="Arial" w:hAnsi="Arial" w:cs="Arial"/>
                <w:color w:val="111111"/>
                <w:shd w:val="clear" w:color="auto" w:fill="F8D7DA"/>
              </w:rPr>
            </w:pPr>
          </w:p>
          <w:p w14:paraId="2C054DF9" w14:textId="77777777" w:rsidR="00435A7C" w:rsidRDefault="00435A7C">
            <w:pPr>
              <w:spacing w:before="240" w:after="240"/>
            </w:pP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628D1595" w14:textId="77777777" w:rsidR="00435A7C" w:rsidRDefault="00000000">
            <w:r>
              <w:t>At the stage of procurement and contract management.</w:t>
            </w:r>
          </w:p>
        </w:tc>
        <w:tc>
          <w:tcPr>
            <w:tcW w:w="0" w:type="auto"/>
            <w:tcBorders>
              <w:top w:val="single" w:sz="5" w:space="0" w:color="808080"/>
              <w:left w:val="single" w:sz="5" w:space="0" w:color="808080"/>
              <w:bottom w:val="single" w:sz="5" w:space="0" w:color="808080"/>
              <w:right w:val="single" w:sz="5" w:space="0" w:color="808080"/>
            </w:tcBorders>
            <w:tcMar>
              <w:top w:w="100" w:type="dxa"/>
              <w:left w:w="100" w:type="dxa"/>
              <w:bottom w:w="100" w:type="dxa"/>
              <w:right w:w="100" w:type="dxa"/>
            </w:tcMar>
          </w:tcPr>
          <w:p w14:paraId="5981E3F2" w14:textId="77777777" w:rsidR="00435A7C" w:rsidRDefault="00000000">
            <w:r>
              <w:t>To attract a competitive pool of qualified suppliers, innovate and deliver value for the money, and develop effective tied relationships with partners.</w:t>
            </w:r>
          </w:p>
        </w:tc>
      </w:tr>
    </w:tbl>
    <w:p w14:paraId="5298F6FA" w14:textId="77777777" w:rsidR="00435A7C" w:rsidRDefault="00000000">
      <w:pPr>
        <w:jc w:val="center"/>
      </w:pPr>
      <w:r>
        <w:t>Table: Communication Plan Table</w:t>
      </w:r>
    </w:p>
    <w:p w14:paraId="5147BF38" w14:textId="77777777" w:rsidR="00435A7C" w:rsidRDefault="00000000">
      <w:pPr>
        <w:jc w:val="center"/>
      </w:pPr>
      <w:r>
        <w:lastRenderedPageBreak/>
        <w:t xml:space="preserve">(Source: Purley, 2025; Norton, 2021; ‌TFL, 2023; </w:t>
      </w:r>
      <w:proofErr w:type="spellStart"/>
      <w:r>
        <w:t>Londonist</w:t>
      </w:r>
      <w:proofErr w:type="spellEnd"/>
      <w:r>
        <w:t>, 2023).</w:t>
      </w:r>
    </w:p>
    <w:p w14:paraId="487F9E7C" w14:textId="77777777" w:rsidR="00435A7C" w:rsidRDefault="00000000">
      <w:r>
        <w:t xml:space="preserve">This strategic communication plan forms the basis of developing and maintaining the wide-based coalition of support that the </w:t>
      </w:r>
      <w:proofErr w:type="spellStart"/>
      <w:r>
        <w:t>CSIP</w:t>
      </w:r>
      <w:proofErr w:type="spellEnd"/>
      <w:r>
        <w:t xml:space="preserve"> needs to succeed (Woodcock and Johnson, 2021). Its performance should be supported by explicit devotion to open and honest stewardship, so that it can form the necessary structure of ethical consultation.</w:t>
      </w:r>
    </w:p>
    <w:p w14:paraId="62EFDE66" w14:textId="77777777" w:rsidR="00435A7C" w:rsidRDefault="00435A7C">
      <w:pPr>
        <w:pStyle w:val="Heading1"/>
      </w:pPr>
      <w:bookmarkStart w:id="12" w:name="_okyfd1r8h7lk"/>
      <w:bookmarkEnd w:id="12"/>
    </w:p>
    <w:p w14:paraId="2733E9B7" w14:textId="77777777" w:rsidR="00435A7C" w:rsidRDefault="00000000">
      <w:pPr>
        <w:pStyle w:val="Heading1"/>
      </w:pPr>
      <w:bookmarkStart w:id="13" w:name="_g7cmt0xi4hkf"/>
      <w:bookmarkStart w:id="14" w:name="_Toc7"/>
      <w:bookmarkEnd w:id="13"/>
      <w:r>
        <w:t>3.0 Framework for Ethical Stakeholder Consultation</w:t>
      </w:r>
      <w:bookmarkEnd w:id="14"/>
    </w:p>
    <w:p w14:paraId="0D99D239" w14:textId="77777777" w:rsidR="00435A7C" w:rsidRDefault="00000000">
      <w:r>
        <w:t xml:space="preserve">In the case of a government department like Transport for London, which is in a large-scale and long-term project, it is not only a question of compliance but also a strategy that they are obliged to carry out all stakeholder consultation to the utmost ethical standards. A code of ethics would establish the trust and authority that would be needed to sustain popular approval in a period of possible upheaval over several years (Bell </w:t>
      </w:r>
      <w:r>
        <w:rPr>
          <w:i/>
          <w:iCs/>
        </w:rPr>
        <w:t>et al.</w:t>
      </w:r>
      <w:r>
        <w:t>, 2022). It shows a true dedication to meeting the public responsibility by TfL to serve the people of London, to ensure that the end product of projects is not only technically viable but also fairly distributed in terms of social consideration and that such projects are popular among the masses. This model is aimed at making the interactions clear, participatory, and interactive.</w:t>
      </w:r>
    </w:p>
    <w:p w14:paraId="612285C9" w14:textId="77777777" w:rsidR="00435A7C" w:rsidRDefault="00000000">
      <w:pPr>
        <w:pStyle w:val="Heading2"/>
      </w:pPr>
      <w:bookmarkStart w:id="15" w:name="_v79bgrarwmg8"/>
      <w:bookmarkStart w:id="16" w:name="_Toc8"/>
      <w:bookmarkEnd w:id="15"/>
      <w:proofErr w:type="spellStart"/>
      <w:r>
        <w:t>3.1Methods</w:t>
      </w:r>
      <w:proofErr w:type="spellEnd"/>
      <w:r>
        <w:t xml:space="preserve"> of Consultation</w:t>
      </w:r>
      <w:bookmarkEnd w:id="16"/>
    </w:p>
    <w:p w14:paraId="047348E3" w14:textId="77777777" w:rsidR="00435A7C" w:rsidRDefault="00000000">
      <w:r>
        <w:t>The multi-faceted approach to consultation will be adopted so as to cover a wide variety of stakeholders. This will not just be simple information, but it will establish real chances to have dialogue and feedback.</w:t>
      </w:r>
    </w:p>
    <w:p w14:paraId="55BFF046" w14:textId="77777777" w:rsidR="00435A7C" w:rsidRDefault="00000000">
      <w:r>
        <w:rPr>
          <w:b/>
          <w:bCs/>
        </w:rPr>
        <w:t>Public Forums and Exhibitions:</w:t>
      </w:r>
      <w:r>
        <w:t xml:space="preserve"> These forums will be held in convenient locations along the Central Line at critical points in the project and will enable residents and passengers to view plans, ask questions to the project team and receive direct feedback (Murphy </w:t>
      </w:r>
      <w:r>
        <w:rPr>
          <w:i/>
          <w:iCs/>
        </w:rPr>
        <w:t>et al.,</w:t>
      </w:r>
      <w:r>
        <w:t xml:space="preserve"> 2021).</w:t>
      </w:r>
    </w:p>
    <w:p w14:paraId="3F719608" w14:textId="77777777" w:rsidR="00435A7C" w:rsidRDefault="00000000">
      <w:r>
        <w:rPr>
          <w:b/>
          <w:bCs/>
        </w:rPr>
        <w:t xml:space="preserve">Targeted Workshops: </w:t>
      </w:r>
      <w:r>
        <w:t>Gathered together with certain stakeholder groups, such as local business associations or accessibility advocacy groups, to have an in-depth discussion of issues that are important to them.</w:t>
      </w:r>
    </w:p>
    <w:p w14:paraId="03957A44" w14:textId="77777777" w:rsidR="00435A7C" w:rsidRDefault="00000000">
      <w:r>
        <w:rPr>
          <w:b/>
          <w:bCs/>
        </w:rPr>
        <w:t xml:space="preserve">Formal Briefings: </w:t>
      </w:r>
      <w:r>
        <w:t xml:space="preserve">Report to the government agencies, the GLA, and local agencies to give precise reports and meet governance and oversight needs  (Murphy </w:t>
      </w:r>
      <w:r>
        <w:rPr>
          <w:i/>
          <w:iCs/>
        </w:rPr>
        <w:t>et al.,</w:t>
      </w:r>
      <w:r>
        <w:t xml:space="preserve"> 2021).</w:t>
      </w:r>
    </w:p>
    <w:p w14:paraId="18802F83" w14:textId="77777777" w:rsidR="00435A7C" w:rsidRDefault="00000000">
      <w:r>
        <w:rPr>
          <w:b/>
          <w:bCs/>
        </w:rPr>
        <w:t>Internal Consultations:</w:t>
      </w:r>
      <w:r>
        <w:t xml:space="preserve"> Frequent, formal meetings with operations staff and unions to negotiate technical implementation, training, and impacts on working practices, so that their experience will be introduced into the project.</w:t>
      </w:r>
    </w:p>
    <w:p w14:paraId="08AB7FE5" w14:textId="77777777" w:rsidR="00435A7C" w:rsidRDefault="00000000">
      <w:pPr>
        <w:pStyle w:val="Heading2"/>
      </w:pPr>
      <w:bookmarkStart w:id="17" w:name="_om5kq2i2xjh4"/>
      <w:bookmarkStart w:id="18" w:name="_Toc9"/>
      <w:bookmarkEnd w:id="17"/>
      <w:r>
        <w:lastRenderedPageBreak/>
        <w:t>3.2 Ethical Considerations</w:t>
      </w:r>
      <w:bookmarkEnd w:id="18"/>
    </w:p>
    <w:p w14:paraId="36563CB9" w14:textId="77777777" w:rsidR="00435A7C" w:rsidRDefault="00000000">
      <w:r>
        <w:t>The integrity as a process of consultation will be determined by the following core principles:</w:t>
      </w:r>
    </w:p>
    <w:p w14:paraId="25645874" w14:textId="77777777" w:rsidR="00435A7C" w:rsidRDefault="00000000">
      <w:r>
        <w:rPr>
          <w:b/>
          <w:bCs/>
        </w:rPr>
        <w:t>Data Collection and Privacy:</w:t>
      </w:r>
      <w:r>
        <w:t xml:space="preserve"> The team will not disclose the privacy of any person who attends consultations. Feedback will undergo anonymisation before analysis and publication unless explicit consent is provided to the contrary. Both the collection, storage and processing of the personal data will be in full adherence to all the relevant regulations, including GDPR (Ribeiro-Navarrete </w:t>
      </w:r>
      <w:r>
        <w:rPr>
          <w:i/>
          <w:iCs/>
        </w:rPr>
        <w:t>et al.</w:t>
      </w:r>
      <w:r>
        <w:t>, 2021). The participants will be made aware of the purpose of their data usage and the way it will be utilised.</w:t>
      </w:r>
    </w:p>
    <w:p w14:paraId="15A22C6A" w14:textId="77777777" w:rsidR="00435A7C" w:rsidRDefault="00000000">
      <w:r>
        <w:rPr>
          <w:b/>
          <w:bCs/>
        </w:rPr>
        <w:t>Mitigating Bias:</w:t>
      </w:r>
      <w:r>
        <w:t xml:space="preserve"> The team will take proactive measures to ensure that the feedback received is representative of the various communities that the Central Line serves. This will involve the targeted outreach to rarely heard organisations and groups to engage them in it. The consultation materials will be distributed in convenient formats and in a variety of languages on demand, and the team will use both non-digital and digital platforms to ensure to avoid excluding those without internet access. This prevents the tendency to make decisions based on the views of one demographic.</w:t>
      </w:r>
    </w:p>
    <w:p w14:paraId="098EA2EC" w14:textId="77777777" w:rsidR="00435A7C" w:rsidRDefault="00000000">
      <w:r>
        <w:rPr>
          <w:b/>
          <w:bCs/>
        </w:rPr>
        <w:t>Diversity, Equity, and Inclusion (DEI):</w:t>
      </w:r>
      <w:r>
        <w:t xml:space="preserve"> The consultation process will be modelled in such a way that it is inclusive and fair (</w:t>
      </w:r>
      <w:proofErr w:type="spellStart"/>
      <w:r>
        <w:t>Arsel</w:t>
      </w:r>
      <w:proofErr w:type="spellEnd"/>
      <w:r>
        <w:t xml:space="preserve"> et al., 2022). The team will proactively pursue and appreciate the views of every Londoner, especially those who have some protected characteristics under the Equality Act 2010 (Rhead </w:t>
      </w:r>
      <w:r>
        <w:rPr>
          <w:i/>
          <w:iCs/>
        </w:rPr>
        <w:t>et al.</w:t>
      </w:r>
      <w:r>
        <w:t>, 2021). This undertaking is directly linked to hard results of the project, such as the provision of wheelchair bays in the Central Line Improvement Programme (CLIP) trains. The team will examine how disruptions on projects may discriminate against various groups, and the consultation will design mitigation measures, given that the worsening of assets like lifts and escalators has negative impacts on older customers and those with disabilities, as TfL itself has reported.</w:t>
      </w:r>
    </w:p>
    <w:p w14:paraId="400CE4FE" w14:textId="77777777" w:rsidR="00435A7C" w:rsidRDefault="00000000">
      <w:pPr>
        <w:pStyle w:val="Heading2"/>
      </w:pPr>
      <w:bookmarkStart w:id="19" w:name="_3w81gjy4imx0"/>
      <w:bookmarkStart w:id="20" w:name="_Toc10"/>
      <w:bookmarkEnd w:id="19"/>
      <w:r>
        <w:t>3.3 Feedback Collection and Review</w:t>
      </w:r>
      <w:bookmarkEnd w:id="20"/>
    </w:p>
    <w:p w14:paraId="49B9B306" w14:textId="77777777" w:rsidR="00435A7C" w:rsidRDefault="00000000">
      <w:r>
        <w:t>To make sure that the input of the stakeholders is taken seriously, the feedback management system will be adopted in a systematic manner. Any comments and suggestions made by any means will be recorded in a central database. Such feedback will be sorted by topic, place, and audience group and undergo intensive qualitative analysis to define major patterns, issues, and concepts (Radeck, 2025).</w:t>
      </w:r>
    </w:p>
    <w:p w14:paraId="7415C358" w14:textId="77777777" w:rsidR="00435A7C" w:rsidRDefault="00000000">
      <w:r>
        <w:lastRenderedPageBreak/>
        <w:t xml:space="preserve">This will be presented in a summary form in the form of regular reports to the project board and delivery teams of the </w:t>
      </w:r>
      <w:proofErr w:type="spellStart"/>
      <w:r>
        <w:t>CSIP</w:t>
      </w:r>
      <w:proofErr w:type="spellEnd"/>
      <w:r>
        <w:t>, and ensure that the stakeholder views are considered a central factor in decision-making. Moreover, the team will also promise transparency through communications by using "You said, we did" style communications (Radeck, 2025). These publications will be made on the TfL site and also distributed to the relevant stakeholders and showing how the received feedback has been able to impact the project plans, but also give a justification where these suggestions are not applicable. This results in a feedback loop and shows the stakeholders that they are appreciated and their involvement has a physical effect.</w:t>
      </w:r>
    </w:p>
    <w:p w14:paraId="01F402D4" w14:textId="77777777" w:rsidR="00435A7C" w:rsidRDefault="00435A7C">
      <w:pPr>
        <w:pStyle w:val="Heading1"/>
      </w:pPr>
      <w:bookmarkStart w:id="21" w:name="_c5934m69ytsj"/>
      <w:bookmarkEnd w:id="21"/>
    </w:p>
    <w:p w14:paraId="091D3C3C" w14:textId="77777777" w:rsidR="00435A7C" w:rsidRDefault="00000000">
      <w:pPr>
        <w:pStyle w:val="Heading1"/>
      </w:pPr>
      <w:bookmarkStart w:id="22" w:name="_57emfnkmvkaa"/>
      <w:bookmarkStart w:id="23" w:name="_Toc11"/>
      <w:bookmarkEnd w:id="22"/>
      <w:r>
        <w:t>4.0 Conclusion and Reflection</w:t>
      </w:r>
      <w:bookmarkEnd w:id="23"/>
    </w:p>
    <w:p w14:paraId="419C8CA3" w14:textId="77777777" w:rsidR="00435A7C" w:rsidRDefault="00000000">
      <w:r>
        <w:t>The Central Line Signalling Incremental Upgrade Project (</w:t>
      </w:r>
      <w:proofErr w:type="spellStart"/>
      <w:r>
        <w:t>CSIP</w:t>
      </w:r>
      <w:proofErr w:type="spellEnd"/>
      <w:r>
        <w:t xml:space="preserve">) is a generational investment for the future of London. It is not merely a technical renewal. Effective delivery within a period of 15 to 20 years will depend on good relationships with stakeholders as much as it will depend on quality engineering. In this plan, an elaborate strategy has been defined. It sustains and develops such relationships by systematic analysis, direct communication, and adherence to the principle of ethical consultation. </w:t>
      </w:r>
    </w:p>
    <w:p w14:paraId="2DCC1496" w14:textId="77777777" w:rsidR="00435A7C" w:rsidRDefault="00000000">
      <w:pPr>
        <w:pStyle w:val="Heading2"/>
      </w:pPr>
      <w:bookmarkStart w:id="24" w:name="_jxkrtfsd880a"/>
      <w:bookmarkStart w:id="25" w:name="_Toc12"/>
      <w:bookmarkEnd w:id="24"/>
      <w:r>
        <w:t>4.1 Conclusion</w:t>
      </w:r>
      <w:bookmarkEnd w:id="25"/>
    </w:p>
    <w:p w14:paraId="093E7EB6" w14:textId="77777777" w:rsidR="00435A7C" w:rsidRDefault="00000000">
      <w:r>
        <w:t xml:space="preserve">The </w:t>
      </w:r>
      <w:proofErr w:type="spellStart"/>
      <w:r>
        <w:t>CSIP</w:t>
      </w:r>
      <w:proofErr w:type="spellEnd"/>
      <w:r>
        <w:t xml:space="preserve"> is a critical intervention that deals with the increasing obsolescence of the custom-made signalling system of the Central Line. This is a long-term, gradual replacement that employs a contemporary Communications-Based Train Control system. It will future-proof an artery of one of the economically critical transport routes in London. It increases dependability, and it provides future growth capacity in terms of service. The complexity of the project, its long duration, and the fact that it was funded by the government require efficient and aggressive stakeholder management.</w:t>
      </w:r>
    </w:p>
    <w:p w14:paraId="3D8FB2C8" w14:textId="77777777" w:rsidR="00435A7C" w:rsidRDefault="00000000">
      <w:r>
        <w:t xml:space="preserve">This plan creates a definite line of success. A comprehensive power and interest analysis was used to determine the unique needs of significant groups. These extend to government funding agencies and working unions, up to those who are daily passengers and residents. The communication and engagement strategy that has been obtained as a result offers a customised framework. It seeks to keep the stakeholders updated, contented and under control. Importantly, the plan is determined to use ethical consultation. It makes it an inclusive, transparent and responsive process. With such </w:t>
      </w:r>
      <w:r>
        <w:lastRenderedPageBreak/>
        <w:t xml:space="preserve">integrated strategies in place, the team would be able to control risks, establish a long-lasting coalition base of support, and make the </w:t>
      </w:r>
      <w:proofErr w:type="spellStart"/>
      <w:r>
        <w:t>CSIP</w:t>
      </w:r>
      <w:proofErr w:type="spellEnd"/>
      <w:r>
        <w:t xml:space="preserve"> provide the greatest value to all Londoners.</w:t>
      </w:r>
    </w:p>
    <w:p w14:paraId="4CCA7201" w14:textId="77777777" w:rsidR="00435A7C" w:rsidRDefault="00000000">
      <w:pPr>
        <w:pStyle w:val="Heading2"/>
      </w:pPr>
      <w:bookmarkStart w:id="26" w:name="_j3kb2qntfn32"/>
      <w:bookmarkStart w:id="27" w:name="_Toc13"/>
      <w:bookmarkEnd w:id="26"/>
      <w:r>
        <w:t>4.2 Personal Reflection</w:t>
      </w:r>
      <w:bookmarkEnd w:id="27"/>
    </w:p>
    <w:p w14:paraId="0D8477EB" w14:textId="77777777" w:rsidR="00435A7C" w:rsidRDefault="00000000">
      <w:r>
        <w:t>As a Junior Stakeholder Manager on a project of this magnitude, my responsibility is immense. The challenges that Transport for London (TfL) had to endure are clearly illustrated in the source materials. The company was engulfed in an extreme phase of replacing ageing assets and had to cope with a difficult funding landscape. The budget is very dependent on the government settlements. In this respect, stakeholder engagement is not a peripheral workstream; it constitutes a vital part of the project's viability. The argument that we must "invest money to save money" is powerful. Nevertheless, it will have to be well supported by those in charge of the funding and those who use the network on a daily basis.</w:t>
      </w:r>
    </w:p>
    <w:p w14:paraId="2DF926E6" w14:textId="77777777" w:rsidR="00435A7C" w:rsidRDefault="00000000">
      <w:r>
        <w:t xml:space="preserve">The main instrument we will use to develop that essential support is this Stakeholder Management Plan. For a project with a 15 to 20-year horizon, political memory is short. The support may be lost when new priorities emerge. It is our task to make sure that this strategic requirement of the </w:t>
      </w:r>
      <w:proofErr w:type="spellStart"/>
      <w:r>
        <w:t>CSIP</w:t>
      </w:r>
      <w:proofErr w:type="spellEnd"/>
      <w:r>
        <w:t xml:space="preserve"> does not lose its significance to the decision makers in the Department of Transport and at the Greater London Authority. The value of the project should be reinforced with the help of constant, clear, and evidence-based communication. We make it not only as a needed renewal but as an essential investment in the long-term economic future of London. In the absence of a long-term commitment, the danger of the funds being redirected or the political goodwill being diluted is extremely high. The danger of a half-completed project must be avoided.</w:t>
      </w:r>
    </w:p>
    <w:p w14:paraId="4A5605B1" w14:textId="77777777" w:rsidR="00435A7C" w:rsidRDefault="00000000">
      <w:r>
        <w:t>Finally, this plan would not only be information sharing. It is intended to transform the linkage between the project and its stakeholders. It is aimed at getting past a situation in which passengers, businesses, and residents are passive receivers of disruption. We aim to transform them into active and informed partners in a common effort. We have to create the required goodwill by ensuring their feedback is listened to and dealt with. This will enable us to have a successful completion of this historic project.</w:t>
      </w:r>
      <w:r>
        <w:br w:type="page" w:clear="all"/>
      </w:r>
    </w:p>
    <w:p w14:paraId="612543B8" w14:textId="77777777" w:rsidR="00435A7C" w:rsidRDefault="00000000">
      <w:pPr>
        <w:pStyle w:val="Heading1"/>
      </w:pPr>
      <w:bookmarkStart w:id="28" w:name="_i09ik7qo4r1q"/>
      <w:bookmarkStart w:id="29" w:name="_Toc14"/>
      <w:bookmarkEnd w:id="28"/>
      <w:r>
        <w:lastRenderedPageBreak/>
        <w:t>Reference</w:t>
      </w:r>
      <w:bookmarkEnd w:id="29"/>
    </w:p>
    <w:p w14:paraId="6DA3E3AD" w14:textId="77777777" w:rsidR="00435A7C" w:rsidRDefault="00000000">
      <w:proofErr w:type="spellStart"/>
      <w:r>
        <w:t>Arsel</w:t>
      </w:r>
      <w:proofErr w:type="spellEnd"/>
      <w:r>
        <w:t xml:space="preserve">, Z., Crockett, D. and Scott, </w:t>
      </w:r>
      <w:proofErr w:type="spellStart"/>
      <w:r>
        <w:t>M.L</w:t>
      </w:r>
      <w:proofErr w:type="spellEnd"/>
      <w:r>
        <w:t xml:space="preserve">., 2022. Diversity, equity, and inclusion (DEI) in the Journal of Consumer Research: A curation and research agenda. </w:t>
      </w:r>
      <w:r>
        <w:rPr>
          <w:i/>
          <w:iCs/>
        </w:rPr>
        <w:t>Journal of Consumer Research</w:t>
      </w:r>
      <w:r>
        <w:t xml:space="preserve">, </w:t>
      </w:r>
      <w:r>
        <w:rPr>
          <w:i/>
          <w:iCs/>
        </w:rPr>
        <w:t>48</w:t>
      </w:r>
      <w:r>
        <w:t xml:space="preserve">(5), </w:t>
      </w:r>
      <w:proofErr w:type="spellStart"/>
      <w:r>
        <w:t>pp.920</w:t>
      </w:r>
      <w:proofErr w:type="spellEnd"/>
      <w:r>
        <w:t>-933.</w:t>
      </w:r>
    </w:p>
    <w:p w14:paraId="43624B06" w14:textId="77777777" w:rsidR="00435A7C" w:rsidRDefault="00000000">
      <w:pPr>
        <w:spacing w:before="240" w:after="240"/>
      </w:pPr>
      <w:r>
        <w:t xml:space="preserve">Bell, J.A., Salis, M., Tong, E., </w:t>
      </w:r>
      <w:proofErr w:type="spellStart"/>
      <w:r>
        <w:t>Nekolaichuk</w:t>
      </w:r>
      <w:proofErr w:type="spellEnd"/>
      <w:r>
        <w:t xml:space="preserve">, E., Barned, C., Bianchi, A., Buchman, </w:t>
      </w:r>
      <w:proofErr w:type="spellStart"/>
      <w:r>
        <w:t>D.Z</w:t>
      </w:r>
      <w:proofErr w:type="spellEnd"/>
      <w:r>
        <w:t xml:space="preserve">., Rodrigues, K., Shanker, R.R. and </w:t>
      </w:r>
      <w:proofErr w:type="spellStart"/>
      <w:r>
        <w:t>Heesters</w:t>
      </w:r>
      <w:proofErr w:type="spellEnd"/>
      <w:r>
        <w:t xml:space="preserve">, A.M., 2022. Clinical ethics consultations: a scoping review of reported outcomes. </w:t>
      </w:r>
      <w:r>
        <w:rPr>
          <w:i/>
          <w:iCs/>
        </w:rPr>
        <w:t>BMC medical ethics</w:t>
      </w:r>
      <w:r>
        <w:t xml:space="preserve">, </w:t>
      </w:r>
      <w:r>
        <w:rPr>
          <w:i/>
          <w:iCs/>
        </w:rPr>
        <w:t>23</w:t>
      </w:r>
      <w:r>
        <w:t xml:space="preserve">(1), </w:t>
      </w:r>
      <w:proofErr w:type="spellStart"/>
      <w:r>
        <w:t>p.99</w:t>
      </w:r>
      <w:proofErr w:type="spellEnd"/>
      <w:r>
        <w:t>.</w:t>
      </w:r>
    </w:p>
    <w:p w14:paraId="2CE503AA" w14:textId="77777777" w:rsidR="00435A7C" w:rsidRDefault="00000000">
      <w:pPr>
        <w:spacing w:before="240" w:after="240"/>
      </w:pPr>
      <w:proofErr w:type="spellStart"/>
      <w:r>
        <w:t>Goscé</w:t>
      </w:r>
      <w:proofErr w:type="spellEnd"/>
      <w:r>
        <w:t xml:space="preserve">, L. and Johansson, A., 2018. Analysing the link between public transport use and airborne transmission: mobility and contagion in the London underground. </w:t>
      </w:r>
      <w:r>
        <w:rPr>
          <w:i/>
          <w:iCs/>
        </w:rPr>
        <w:t>Environmental Health</w:t>
      </w:r>
      <w:r>
        <w:t xml:space="preserve">, </w:t>
      </w:r>
      <w:r>
        <w:rPr>
          <w:i/>
          <w:iCs/>
        </w:rPr>
        <w:t>17</w:t>
      </w:r>
      <w:r>
        <w:t xml:space="preserve">(1), </w:t>
      </w:r>
      <w:proofErr w:type="spellStart"/>
      <w:r>
        <w:t>p.84</w:t>
      </w:r>
      <w:proofErr w:type="spellEnd"/>
      <w:r>
        <w:t>.</w:t>
      </w:r>
    </w:p>
    <w:p w14:paraId="68CA6C78" w14:textId="77777777" w:rsidR="00435A7C" w:rsidRDefault="00000000">
      <w:pPr>
        <w:spacing w:before="240" w:after="240"/>
      </w:pPr>
      <w:r>
        <w:t xml:space="preserve">Kujala, J., Sachs, S., Leinonen, H., Heikkinen, A. and Laude, D., 2022. Stakeholder engagement: Past, present, and future. </w:t>
      </w:r>
      <w:r>
        <w:rPr>
          <w:i/>
          <w:iCs/>
        </w:rPr>
        <w:t>Business &amp; Society</w:t>
      </w:r>
      <w:r>
        <w:t xml:space="preserve">, </w:t>
      </w:r>
      <w:r>
        <w:rPr>
          <w:i/>
          <w:iCs/>
        </w:rPr>
        <w:t>61</w:t>
      </w:r>
      <w:r>
        <w:t xml:space="preserve">(5), </w:t>
      </w:r>
      <w:proofErr w:type="spellStart"/>
      <w:r>
        <w:t>pp.1136</w:t>
      </w:r>
      <w:proofErr w:type="spellEnd"/>
      <w:r>
        <w:t>-1196.‌</w:t>
      </w:r>
    </w:p>
    <w:p w14:paraId="38B01E06" w14:textId="77777777" w:rsidR="00435A7C" w:rsidRDefault="00000000">
      <w:pPr>
        <w:spacing w:before="240" w:after="240"/>
      </w:pPr>
      <w:r>
        <w:t xml:space="preserve">Kujala, J., Sachs, S., Leinonen, H., Heikkinen, A. and Laude, D., 2022. Stakeholder engagement: Past, present, and future. </w:t>
      </w:r>
      <w:r>
        <w:rPr>
          <w:i/>
          <w:iCs/>
        </w:rPr>
        <w:t>Business &amp; Society</w:t>
      </w:r>
      <w:r>
        <w:t xml:space="preserve">, </w:t>
      </w:r>
      <w:r>
        <w:rPr>
          <w:i/>
          <w:iCs/>
        </w:rPr>
        <w:t>61</w:t>
      </w:r>
      <w:r>
        <w:t xml:space="preserve">(5), </w:t>
      </w:r>
      <w:proofErr w:type="spellStart"/>
      <w:r>
        <w:t>pp.1136</w:t>
      </w:r>
      <w:proofErr w:type="spellEnd"/>
      <w:r>
        <w:t>-1196.‌</w:t>
      </w:r>
    </w:p>
    <w:p w14:paraId="577C8B45" w14:textId="77777777" w:rsidR="00435A7C" w:rsidRDefault="00000000">
      <w:pPr>
        <w:spacing w:after="240"/>
      </w:pPr>
      <w:proofErr w:type="spellStart"/>
      <w:r>
        <w:t>Londonist</w:t>
      </w:r>
      <w:proofErr w:type="spellEnd"/>
      <w:r>
        <w:t xml:space="preserve">. (2023). </w:t>
      </w:r>
      <w:r>
        <w:rPr>
          <w:i/>
          <w:iCs/>
        </w:rPr>
        <w:t>A Brief History Of The Central Line</w:t>
      </w:r>
      <w:r>
        <w:t xml:space="preserve">. [online] Available at: </w:t>
      </w:r>
      <w:hyperlink r:id="rId17" w:tooltip="https://londonist.com/london/transport/a-brief-history-of-the-central-line" w:history="1">
        <w:r w:rsidR="00435A7C">
          <w:rPr>
            <w:color w:val="1155CC"/>
            <w:u w:val="single"/>
          </w:rPr>
          <w:t>https://londonist.com/london/transport/a-brief-history-of-the-central-line</w:t>
        </w:r>
      </w:hyperlink>
      <w:r>
        <w:t xml:space="preserve">  [Accessed 5 Dec. 2025].</w:t>
      </w:r>
    </w:p>
    <w:p w14:paraId="5FF7ADA8" w14:textId="77777777" w:rsidR="00435A7C" w:rsidRDefault="00000000">
      <w:pPr>
        <w:spacing w:before="240" w:after="240"/>
      </w:pPr>
      <w:r>
        <w:t xml:space="preserve">Manalastas, G., Noble, </w:t>
      </w:r>
      <w:proofErr w:type="spellStart"/>
      <w:r>
        <w:t>L.M</w:t>
      </w:r>
      <w:proofErr w:type="spellEnd"/>
      <w:r>
        <w:t xml:space="preserve">., Viney, R. and Griffin, A.E., 2021. What does the structure of a medical consultation look like? A new method for visualising doctor-patient communication. </w:t>
      </w:r>
      <w:r>
        <w:rPr>
          <w:i/>
          <w:iCs/>
        </w:rPr>
        <w:t xml:space="preserve">Patient education and </w:t>
      </w:r>
      <w:proofErr w:type="spellStart"/>
      <w:r>
        <w:rPr>
          <w:i/>
          <w:iCs/>
        </w:rPr>
        <w:t>counseling</w:t>
      </w:r>
      <w:proofErr w:type="spellEnd"/>
      <w:r>
        <w:t xml:space="preserve">, </w:t>
      </w:r>
      <w:r>
        <w:rPr>
          <w:i/>
          <w:iCs/>
        </w:rPr>
        <w:t>104</w:t>
      </w:r>
      <w:r>
        <w:t xml:space="preserve">(6), </w:t>
      </w:r>
      <w:proofErr w:type="spellStart"/>
      <w:r>
        <w:t>pp.1387</w:t>
      </w:r>
      <w:proofErr w:type="spellEnd"/>
      <w:r>
        <w:t>-1397.</w:t>
      </w:r>
    </w:p>
    <w:p w14:paraId="3BCDECD5" w14:textId="77777777" w:rsidR="00435A7C" w:rsidRDefault="00000000">
      <w:r>
        <w:t xml:space="preserve">Murphy, M., Scott, L.J., Salisbury, C., Turner, A., Scott, A., Denholm, R., Lewis, R., Iyer, G., Macleod, J. and Horwood, J., 2021. Implementation of remote consulting in UK primary care following the COVID-19 pandemic: a mixed-methods longitudinal study. </w:t>
      </w:r>
      <w:r>
        <w:rPr>
          <w:i/>
          <w:iCs/>
        </w:rPr>
        <w:t>British Journal of General Practice</w:t>
      </w:r>
      <w:r>
        <w:t>.</w:t>
      </w:r>
    </w:p>
    <w:p w14:paraId="6603894F" w14:textId="77777777" w:rsidR="00435A7C" w:rsidRDefault="00000000">
      <w:pPr>
        <w:spacing w:before="240" w:after="240"/>
      </w:pPr>
      <w:r>
        <w:t xml:space="preserve">Norton, P., 2021. Communications for planning: Effective communication through consultation. In </w:t>
      </w:r>
      <w:r>
        <w:rPr>
          <w:i/>
          <w:iCs/>
        </w:rPr>
        <w:t>Communicating Construction</w:t>
      </w:r>
      <w:r>
        <w:t xml:space="preserve"> (pp. 11-38). Routledge.</w:t>
      </w:r>
    </w:p>
    <w:p w14:paraId="30B7850D" w14:textId="77777777" w:rsidR="00435A7C" w:rsidRDefault="00000000">
      <w:pPr>
        <w:spacing w:after="240"/>
      </w:pPr>
      <w:r>
        <w:lastRenderedPageBreak/>
        <w:t xml:space="preserve">Purley, P. (2025). </w:t>
      </w:r>
      <w:r>
        <w:rPr>
          <w:i/>
          <w:iCs/>
        </w:rPr>
        <w:t>A 21st Century Underground Rolling Stock Update - London Reconnections</w:t>
      </w:r>
      <w:r>
        <w:t xml:space="preserve">. [online] London Reconnections. Available at: </w:t>
      </w:r>
      <w:hyperlink r:id="rId18" w:tooltip="https://www.londonreconnections.com/2025/a-21st-century-underground-rolling-stock-update/" w:history="1">
        <w:r w:rsidR="00435A7C">
          <w:rPr>
            <w:color w:val="1155CC"/>
            <w:u w:val="single"/>
          </w:rPr>
          <w:t>https://www.londonreconnections.com/2025/a-21st-century-underground-rolling-stock-update/</w:t>
        </w:r>
      </w:hyperlink>
      <w:r>
        <w:t xml:space="preserve">  [Accessed 5 Dec. 2025].</w:t>
      </w:r>
    </w:p>
    <w:p w14:paraId="0B78060A" w14:textId="77777777" w:rsidR="00435A7C" w:rsidRDefault="00000000">
      <w:r>
        <w:t xml:space="preserve">Radeck, L., 2025. </w:t>
      </w:r>
      <w:r>
        <w:rPr>
          <w:i/>
          <w:iCs/>
        </w:rPr>
        <w:t>Collecting feedback and deriving requirements</w:t>
      </w:r>
      <w:r>
        <w:t xml:space="preserve"> (Doctoral dissertation).</w:t>
      </w:r>
    </w:p>
    <w:p w14:paraId="168C5798" w14:textId="77777777" w:rsidR="00435A7C" w:rsidRDefault="00000000">
      <w:r>
        <w:t xml:space="preserve">Rhead, R.D., Chui, Z., </w:t>
      </w:r>
      <w:proofErr w:type="spellStart"/>
      <w:r>
        <w:t>Bakolis</w:t>
      </w:r>
      <w:proofErr w:type="spellEnd"/>
      <w:r>
        <w:t xml:space="preserve">, I., </w:t>
      </w:r>
      <w:proofErr w:type="spellStart"/>
      <w:r>
        <w:t>Gazard</w:t>
      </w:r>
      <w:proofErr w:type="spellEnd"/>
      <w:r>
        <w:t xml:space="preserve">, B., Harwood, H., MacCrimmon, S., Woodhead, C. and Hatch, S.L., 2021. Impact of workplace discrimination and harassment among National Health Service staff working in London trusts: results from the TIDES study. </w:t>
      </w:r>
      <w:proofErr w:type="spellStart"/>
      <w:r>
        <w:rPr>
          <w:i/>
          <w:iCs/>
        </w:rPr>
        <w:t>BJPsych</w:t>
      </w:r>
      <w:proofErr w:type="spellEnd"/>
      <w:r>
        <w:rPr>
          <w:i/>
          <w:iCs/>
        </w:rPr>
        <w:t xml:space="preserve"> open</w:t>
      </w:r>
      <w:r>
        <w:t xml:space="preserve">, </w:t>
      </w:r>
      <w:r>
        <w:rPr>
          <w:i/>
          <w:iCs/>
        </w:rPr>
        <w:t>7</w:t>
      </w:r>
      <w:r>
        <w:t xml:space="preserve">(1), </w:t>
      </w:r>
      <w:proofErr w:type="spellStart"/>
      <w:r>
        <w:t>p.e10</w:t>
      </w:r>
      <w:proofErr w:type="spellEnd"/>
      <w:r>
        <w:t>.</w:t>
      </w:r>
    </w:p>
    <w:p w14:paraId="21093145" w14:textId="77777777" w:rsidR="00435A7C" w:rsidRDefault="00000000">
      <w:r>
        <w:t xml:space="preserve">Ribeiro-Navarrete, S., Saura, J.R. and Palacios-Marqués, D., 2021. Towards a new era of mass data collection: Assessing pandemic surveillance technologies to preserve user privacy. </w:t>
      </w:r>
      <w:r>
        <w:rPr>
          <w:i/>
          <w:iCs/>
        </w:rPr>
        <w:t>Technological Forecasting and Social Change</w:t>
      </w:r>
      <w:r>
        <w:t xml:space="preserve">, </w:t>
      </w:r>
      <w:r>
        <w:rPr>
          <w:i/>
          <w:iCs/>
        </w:rPr>
        <w:t>167</w:t>
      </w:r>
      <w:r>
        <w:t xml:space="preserve">, </w:t>
      </w:r>
      <w:proofErr w:type="spellStart"/>
      <w:r>
        <w:t>p.120681</w:t>
      </w:r>
      <w:proofErr w:type="spellEnd"/>
      <w:r>
        <w:t>.</w:t>
      </w:r>
    </w:p>
    <w:p w14:paraId="78B3EFBE" w14:textId="77777777" w:rsidR="00435A7C" w:rsidRDefault="00000000">
      <w:pPr>
        <w:spacing w:before="240" w:after="240"/>
      </w:pPr>
      <w:r>
        <w:t xml:space="preserve">‌TFL (2018). </w:t>
      </w:r>
      <w:r>
        <w:rPr>
          <w:i/>
          <w:iCs/>
        </w:rPr>
        <w:t>The Mayor’s Transport Strategy</w:t>
      </w:r>
      <w:r>
        <w:t xml:space="preserve">. [online] Transport for London. Available at: </w:t>
      </w:r>
      <w:hyperlink r:id="rId19" w:tooltip="https://tfl.gov.uk/corporate/about-tfl/the-mayors-transport-strategy" w:history="1">
        <w:r w:rsidR="00435A7C">
          <w:rPr>
            <w:color w:val="1155CC"/>
            <w:u w:val="single"/>
          </w:rPr>
          <w:t>https://tfl.gov.uk/corporate/about-tfl/the-mayors-transport-strategy</w:t>
        </w:r>
      </w:hyperlink>
      <w:r>
        <w:t xml:space="preserve">  [Accessed 5 Dec. 2025].</w:t>
      </w:r>
    </w:p>
    <w:p w14:paraId="2A013766" w14:textId="77777777" w:rsidR="00435A7C" w:rsidRDefault="00000000">
      <w:pPr>
        <w:spacing w:after="240"/>
      </w:pPr>
      <w:r>
        <w:t xml:space="preserve">TFL (2021). </w:t>
      </w:r>
      <w:r>
        <w:rPr>
          <w:i/>
          <w:iCs/>
        </w:rPr>
        <w:t>Transport for London Investment Programme Report</w:t>
      </w:r>
      <w:r>
        <w:t xml:space="preserve">. [online] </w:t>
      </w:r>
      <w:proofErr w:type="spellStart"/>
      <w:r>
        <w:rPr>
          <w:i/>
          <w:iCs/>
        </w:rPr>
        <w:t>tfl.gov.uk</w:t>
      </w:r>
      <w:proofErr w:type="spellEnd"/>
      <w:r>
        <w:t xml:space="preserve">. Available at: </w:t>
      </w:r>
      <w:hyperlink r:id="rId20" w:tooltip="https://content.tfl.gov.uk/tfl-investment-programme-report-quarter-2-2021-22-acc.pdf" w:history="1">
        <w:r w:rsidR="00435A7C">
          <w:rPr>
            <w:color w:val="1155CC"/>
            <w:u w:val="single"/>
          </w:rPr>
          <w:t>https://content.tfl.gov.uk/tfl-investment-programme-report-quarter-2-2021-22-acc.pdf</w:t>
        </w:r>
      </w:hyperlink>
      <w:r>
        <w:t xml:space="preserve">  [Accessed 5 Dec. 2025].</w:t>
      </w:r>
    </w:p>
    <w:p w14:paraId="0BB702C6" w14:textId="77777777" w:rsidR="00435A7C" w:rsidRDefault="00000000">
      <w:pPr>
        <w:spacing w:before="240" w:after="240"/>
      </w:pPr>
      <w:r>
        <w:t xml:space="preserve">‌TFL (2023). </w:t>
      </w:r>
      <w:r>
        <w:rPr>
          <w:i/>
          <w:iCs/>
        </w:rPr>
        <w:t>Safer, more reliable and accessible Central line trains visited for first time by Mayor of London</w:t>
      </w:r>
      <w:r>
        <w:t xml:space="preserve">. [online] Transport for London. Available at: </w:t>
      </w:r>
      <w:hyperlink r:id="rId21" w:tooltip="https://tfl.gov.uk/info-for/media/press-releases/2023/december/safer-more-reliable-and-accessible-central-line-trains-visited-for-first-time-by-mayor-of-london" w:history="1">
        <w:r w:rsidR="00435A7C">
          <w:rPr>
            <w:color w:val="1155CC"/>
            <w:u w:val="single"/>
          </w:rPr>
          <w:t>https://tfl.gov.uk/info-for/media/press-releases/2023/december/safer-more-reliable-and-accessible-central-line-trains-visited-for-first-time-by-mayor-of-london</w:t>
        </w:r>
      </w:hyperlink>
      <w:r>
        <w:t xml:space="preserve">  [Accessed 5 Dec. 2025].</w:t>
      </w:r>
    </w:p>
    <w:p w14:paraId="06F21AAF" w14:textId="77777777" w:rsidR="00435A7C" w:rsidRDefault="00000000">
      <w:pPr>
        <w:spacing w:before="240" w:after="240"/>
      </w:pPr>
      <w:r>
        <w:t>‌TFL (</w:t>
      </w:r>
      <w:proofErr w:type="spellStart"/>
      <w:r>
        <w:t>2023a</w:t>
      </w:r>
      <w:proofErr w:type="spellEnd"/>
      <w:r>
        <w:t xml:space="preserve">). </w:t>
      </w:r>
      <w:r>
        <w:rPr>
          <w:i/>
          <w:iCs/>
        </w:rPr>
        <w:t>Transport for London quarterly performance report Contents</w:t>
      </w:r>
      <w:r>
        <w:t xml:space="preserve">. [online] </w:t>
      </w:r>
      <w:proofErr w:type="spellStart"/>
      <w:r>
        <w:rPr>
          <w:i/>
          <w:iCs/>
        </w:rPr>
        <w:t>tfl.gov.uk</w:t>
      </w:r>
      <w:proofErr w:type="spellEnd"/>
      <w:r>
        <w:t xml:space="preserve">. Available at: </w:t>
      </w:r>
      <w:hyperlink r:id="rId22" w:tooltip="https://content.tfl.gov.uk/qpr-q4-2023-24-acc.pdf" w:history="1">
        <w:r w:rsidR="00435A7C">
          <w:rPr>
            <w:color w:val="1155CC"/>
            <w:u w:val="single"/>
          </w:rPr>
          <w:t>https://</w:t>
        </w:r>
        <w:proofErr w:type="spellStart"/>
        <w:r w:rsidR="00435A7C">
          <w:rPr>
            <w:color w:val="1155CC"/>
            <w:u w:val="single"/>
          </w:rPr>
          <w:t>content.tfl.gov.uk</w:t>
        </w:r>
        <w:proofErr w:type="spellEnd"/>
        <w:r w:rsidR="00435A7C">
          <w:rPr>
            <w:color w:val="1155CC"/>
            <w:u w:val="single"/>
          </w:rPr>
          <w:t>/</w:t>
        </w:r>
        <w:proofErr w:type="spellStart"/>
        <w:r w:rsidR="00435A7C">
          <w:rPr>
            <w:color w:val="1155CC"/>
            <w:u w:val="single"/>
          </w:rPr>
          <w:t>qpr</w:t>
        </w:r>
        <w:proofErr w:type="spellEnd"/>
        <w:r w:rsidR="00435A7C">
          <w:rPr>
            <w:color w:val="1155CC"/>
            <w:u w:val="single"/>
          </w:rPr>
          <w:t>-</w:t>
        </w:r>
        <w:proofErr w:type="spellStart"/>
        <w:r w:rsidR="00435A7C">
          <w:rPr>
            <w:color w:val="1155CC"/>
            <w:u w:val="single"/>
          </w:rPr>
          <w:t>q4</w:t>
        </w:r>
        <w:proofErr w:type="spellEnd"/>
        <w:r w:rsidR="00435A7C">
          <w:rPr>
            <w:color w:val="1155CC"/>
            <w:u w:val="single"/>
          </w:rPr>
          <w:t>-2023-24-</w:t>
        </w:r>
        <w:proofErr w:type="spellStart"/>
        <w:r w:rsidR="00435A7C">
          <w:rPr>
            <w:color w:val="1155CC"/>
            <w:u w:val="single"/>
          </w:rPr>
          <w:t>acc.pdf</w:t>
        </w:r>
        <w:proofErr w:type="spellEnd"/>
      </w:hyperlink>
      <w:r>
        <w:t xml:space="preserve">  [Accessed 5 Dec. 2025].</w:t>
      </w:r>
    </w:p>
    <w:p w14:paraId="10F65A42" w14:textId="77777777" w:rsidR="00435A7C" w:rsidRDefault="00000000">
      <w:pPr>
        <w:spacing w:before="240" w:after="240"/>
      </w:pPr>
      <w:r>
        <w:t xml:space="preserve">Woodcock, J. and Johnson, M.R., 2021. Live streamers on Twitch. tv as social media influencers: Chances and challenges for strategic communication. In </w:t>
      </w:r>
      <w:r>
        <w:rPr>
          <w:i/>
          <w:iCs/>
        </w:rPr>
        <w:t>Social media influencers in strategic communication</w:t>
      </w:r>
      <w:r>
        <w:t xml:space="preserve"> (pp. 88-102). Routledge.‌</w:t>
      </w:r>
    </w:p>
    <w:p w14:paraId="55F14FAC" w14:textId="77777777" w:rsidR="00435A7C" w:rsidRDefault="00435A7C">
      <w:pPr>
        <w:spacing w:before="240" w:after="240"/>
      </w:pPr>
    </w:p>
    <w:p w14:paraId="258A4E15" w14:textId="77777777" w:rsidR="00435A7C" w:rsidRDefault="00435A7C">
      <w:pPr>
        <w:widowControl w:val="0"/>
        <w:pBdr>
          <w:top w:val="none" w:sz="0" w:space="0" w:color="000000"/>
          <w:left w:val="none" w:sz="0" w:space="0" w:color="000000"/>
          <w:bottom w:val="none" w:sz="0" w:space="0" w:color="000000"/>
          <w:right w:val="none" w:sz="0" w:space="0" w:color="000000"/>
          <w:between w:val="none" w:sz="0" w:space="0" w:color="000000"/>
        </w:pBdr>
        <w:spacing w:line="276" w:lineRule="auto"/>
        <w:jc w:val="left"/>
      </w:pPr>
    </w:p>
    <w:sectPr w:rsidR="00435A7C">
      <w:footerReference w:type="default" r:id="rId23"/>
      <w:footerReference w:type="first" r:id="rId24"/>
      <w:pgSz w:w="12240" w:h="15840"/>
      <w:pgMar w:top="1440" w:right="1440" w:bottom="1440" w:left="1440" w:header="720" w:footer="720" w:gutter="0"/>
      <w:pgNumType w:start="0"/>
      <w:cols w:space="1701"/>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4AA496" w14:textId="77777777" w:rsidR="002B65CE" w:rsidRDefault="002B65CE">
      <w:pPr>
        <w:spacing w:line="240" w:lineRule="auto"/>
      </w:pPr>
      <w:r>
        <w:separator/>
      </w:r>
    </w:p>
  </w:endnote>
  <w:endnote w:type="continuationSeparator" w:id="0">
    <w:p w14:paraId="4B7A9D89" w14:textId="77777777" w:rsidR="002B65CE" w:rsidRDefault="002B65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4AE065" w14:textId="77777777" w:rsidR="00435A7C" w:rsidRDefault="00000000">
    <w:pPr>
      <w:jc w:val="right"/>
    </w:pPr>
    <w:r>
      <w:fldChar w:fldCharType="begin"/>
    </w:r>
    <w:r>
      <w:instrText>PAGE</w:instrText>
    </w:r>
    <w:r>
      <w:fldChar w:fldCharType="separate"/>
    </w:r>
    <w:r w:rsidR="00A73C08">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CA0283" w14:textId="77777777" w:rsidR="00435A7C" w:rsidRDefault="00435A7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BE9CB8" w14:textId="77777777" w:rsidR="002B65CE" w:rsidRDefault="002B65CE">
      <w:pPr>
        <w:spacing w:line="240" w:lineRule="auto"/>
      </w:pPr>
      <w:r>
        <w:separator/>
      </w:r>
    </w:p>
  </w:footnote>
  <w:footnote w:type="continuationSeparator" w:id="0">
    <w:p w14:paraId="466FCCAC" w14:textId="77777777" w:rsidR="002B65CE" w:rsidRDefault="002B65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5A7C"/>
    <w:rsid w:val="001F77CA"/>
    <w:rsid w:val="002B65CE"/>
    <w:rsid w:val="003761C8"/>
    <w:rsid w:val="00433575"/>
    <w:rsid w:val="00435A7C"/>
    <w:rsid w:val="00511E91"/>
    <w:rsid w:val="00645612"/>
    <w:rsid w:val="00771881"/>
    <w:rsid w:val="00A73C08"/>
    <w:rsid w:val="00B82F94"/>
    <w:rsid w:val="00D22475"/>
    <w:rsid w:val="00E756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4E28D"/>
  <w15:docId w15:val="{414C9115-EA1D-446B-9DD1-0B2417BC9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outlineLvl w:val="0"/>
    </w:pPr>
    <w:rPr>
      <w:b/>
      <w:bCs/>
      <w:sz w:val="28"/>
      <w:szCs w:val="28"/>
    </w:rPr>
  </w:style>
  <w:style w:type="paragraph" w:styleId="Heading2">
    <w:name w:val="heading 2"/>
    <w:basedOn w:val="Normal"/>
    <w:next w:val="Normal"/>
    <w:link w:val="Heading2Char"/>
    <w:pPr>
      <w:keepNext/>
      <w:keepLines/>
      <w:outlineLvl w:val="1"/>
    </w:pPr>
    <w:rPr>
      <w:b/>
      <w:bCs/>
      <w:i/>
      <w:iCs/>
      <w:sz w:val="26"/>
      <w:szCs w:val="26"/>
    </w:rPr>
  </w:style>
  <w:style w:type="paragraph" w:styleId="Heading3">
    <w:name w:val="heading 3"/>
    <w:basedOn w:val="Normal"/>
    <w:next w:val="Normal"/>
    <w:link w:val="Heading3Char"/>
    <w:pPr>
      <w:keepNext/>
      <w:keepLines/>
      <w:spacing w:before="320" w:after="80"/>
      <w:outlineLvl w:val="2"/>
    </w:pPr>
    <w:rPr>
      <w:color w:val="434343"/>
      <w:sz w:val="28"/>
      <w:szCs w:val="28"/>
    </w:rPr>
  </w:style>
  <w:style w:type="paragraph" w:styleId="Heading4">
    <w:name w:val="heading 4"/>
    <w:basedOn w:val="Normal"/>
    <w:next w:val="Normal"/>
    <w:link w:val="Heading4Char"/>
    <w:pPr>
      <w:keepNext/>
      <w:keepLines/>
      <w:spacing w:before="280" w:after="80"/>
      <w:outlineLvl w:val="3"/>
    </w:pPr>
    <w:rPr>
      <w:color w:val="666666"/>
    </w:rPr>
  </w:style>
  <w:style w:type="paragraph" w:styleId="Heading5">
    <w:name w:val="heading 5"/>
    <w:basedOn w:val="Normal"/>
    <w:next w:val="Normal"/>
    <w:link w:val="Heading5Char"/>
    <w:pPr>
      <w:keepNext/>
      <w:keepLines/>
      <w:spacing w:before="240" w:after="80"/>
      <w:outlineLvl w:val="4"/>
    </w:pPr>
    <w:rPr>
      <w:color w:val="666666"/>
      <w:sz w:val="22"/>
      <w:szCs w:val="22"/>
    </w:rPr>
  </w:style>
  <w:style w:type="paragraph" w:styleId="Heading6">
    <w:name w:val="heading 6"/>
    <w:basedOn w:val="Normal"/>
    <w:next w:val="Normal"/>
    <w:link w:val="Heading6Char"/>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unhideWhenUsed/>
    <w:qFormat/>
    <w:pPr>
      <w:keepNext/>
      <w:keepLines/>
      <w:spacing w:before="40"/>
      <w:outlineLvl w:val="6"/>
    </w:pPr>
    <w:rPr>
      <w:rFonts w:ascii="Arial" w:eastAsia="Arial" w:hAnsi="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eastAsia="Arial" w:hAnsi="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eastAsia="Arial" w:hAnsi="Arial" w:cs="Arial"/>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pPr>
      <w:spacing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59"/>
    <w:pPr>
      <w:spacing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pPr>
      <w:spacing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pPr>
      <w:spacing w:line="240" w:lineRule="auto"/>
    </w:pPr>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pPr>
      <w:spacing w:line="240" w:lineRule="auto"/>
    </w:pPr>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pPr>
      <w:spacing w:line="240" w:lineRule="auto"/>
    </w:pPr>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pPr>
      <w:spacing w:line="240" w:lineRule="auto"/>
    </w:pPr>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pPr>
      <w:spacing w:line="240" w:lineRule="auto"/>
    </w:pPr>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pPr>
      <w:spacing w:line="240" w:lineRule="auto"/>
    </w:pPr>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styleId="GridTable1Light-Accent2">
    <w:name w:val="Grid Table 1 Light Accent 2"/>
    <w:basedOn w:val="TableNormal"/>
    <w:uiPriority w:val="99"/>
    <w:pPr>
      <w:spacing w:line="240" w:lineRule="auto"/>
    </w:pPr>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pPr>
      <w:spacing w:line="240" w:lineRule="auto"/>
    </w:pPr>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pPr>
      <w:spacing w:line="240" w:lineRule="auto"/>
    </w:pPr>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pPr>
      <w:spacing w:line="240" w:lineRule="auto"/>
    </w:pPr>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pPr>
      <w:spacing w:line="240" w:lineRule="auto"/>
    </w:pPr>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
    <w:name w:val="Grid Table 2"/>
    <w:basedOn w:val="TableNormal"/>
    <w:uiPriority w:val="99"/>
    <w:pPr>
      <w:spacing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pPr>
      <w:spacing w:line="240" w:lineRule="auto"/>
    </w:pPr>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pPr>
      <w:spacing w:line="240" w:lineRule="auto"/>
    </w:pPr>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pPr>
      <w:spacing w:line="240" w:lineRule="auto"/>
    </w:pPr>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pPr>
      <w:spacing w:line="240" w:lineRule="auto"/>
    </w:pPr>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pPr>
      <w:spacing w:line="240" w:lineRule="auto"/>
    </w:pPr>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pPr>
      <w:spacing w:line="240" w:lineRule="auto"/>
    </w:pPr>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pPr>
      <w:spacing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pPr>
      <w:spacing w:line="240" w:lineRule="auto"/>
    </w:pPr>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pPr>
      <w:spacing w:line="240" w:lineRule="auto"/>
    </w:pPr>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pPr>
      <w:spacing w:line="240" w:lineRule="auto"/>
    </w:pPr>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pPr>
      <w:spacing w:line="240" w:lineRule="auto"/>
    </w:pPr>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pPr>
      <w:spacing w:line="240" w:lineRule="auto"/>
    </w:pPr>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pPr>
      <w:spacing w:line="240" w:lineRule="auto"/>
    </w:pPr>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pPr>
      <w:spacing w:line="240" w:lineRule="auto"/>
    </w:pPr>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pPr>
      <w:spacing w:line="240" w:lineRule="auto"/>
    </w:pPr>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pPr>
      <w:spacing w:line="240" w:lineRule="auto"/>
    </w:pPr>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pPr>
      <w:spacing w:line="240" w:lineRule="auto"/>
    </w:pPr>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pPr>
      <w:spacing w:line="240" w:lineRule="auto"/>
    </w:pPr>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pPr>
      <w:spacing w:line="240" w:lineRule="auto"/>
    </w:pPr>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pPr>
      <w:spacing w:line="240" w:lineRule="auto"/>
    </w:pPr>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customStyle="1" w:styleId="GridTable5Dark-Accent4">
    <w:name w:val="Grid Table 5 Dark- Accent 4"/>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pPr>
      <w:spacing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pPr>
      <w:spacing w:line="240" w:lineRule="auto"/>
    </w:pPr>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pPr>
      <w:spacing w:line="240" w:lineRule="auto"/>
    </w:pPr>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pPr>
      <w:spacing w:line="240" w:lineRule="auto"/>
    </w:pPr>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pPr>
      <w:spacing w:line="240" w:lineRule="auto"/>
    </w:pPr>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pPr>
      <w:spacing w:line="240" w:lineRule="auto"/>
    </w:pPr>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pPr>
      <w:spacing w:line="240" w:lineRule="auto"/>
    </w:pPr>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pPr>
      <w:spacing w:line="240" w:lineRule="auto"/>
    </w:pPr>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pPr>
      <w:spacing w:line="240" w:lineRule="auto"/>
    </w:pPr>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pPr>
      <w:spacing w:line="240" w:lineRule="auto"/>
    </w:pPr>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0" w:space="0" w:color="auto"/>
          <w:left w:val="none" w:sz="0" w:space="0" w:color="auto"/>
          <w:bottom w:val="single" w:sz="4" w:space="0" w:color="A6BFDD" w:themeColor="accent1" w:themeTint="80"/>
          <w:right w:val="none" w:sz="0" w:space="0" w:color="auto"/>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0" w:space="0" w:color="auto"/>
          <w:left w:val="none" w:sz="0" w:space="0" w:color="auto"/>
          <w:bottom w:val="none" w:sz="0" w:space="0" w:color="auto"/>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0" w:space="0" w:color="auto"/>
          <w:left w:val="single" w:sz="4" w:space="0" w:color="A6BFDD" w:themeColor="accent1" w:themeTint="80"/>
          <w:bottom w:val="none" w:sz="0" w:space="0" w:color="auto"/>
          <w:right w:val="none" w:sz="0" w:space="0" w:color="auto"/>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pPr>
      <w:spacing w:line="240" w:lineRule="auto"/>
    </w:pPr>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pPr>
      <w:spacing w:line="240" w:lineRule="auto"/>
    </w:pPr>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0" w:space="0" w:color="auto"/>
          <w:left w:val="none" w:sz="0" w:space="0" w:color="auto"/>
          <w:bottom w:val="single" w:sz="4" w:space="0" w:color="9ABB59" w:themeColor="accent3" w:themeTint="FE"/>
          <w:right w:val="none" w:sz="0" w:space="0" w:color="auto"/>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0" w:space="0" w:color="auto"/>
          <w:left w:val="none" w:sz="0" w:space="0" w:color="auto"/>
          <w:bottom w:val="none" w:sz="0" w:space="0" w:color="auto"/>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0" w:space="0" w:color="auto"/>
          <w:left w:val="single" w:sz="4" w:space="0" w:color="9ABB59" w:themeColor="accent3" w:themeTint="FE"/>
          <w:bottom w:val="none" w:sz="0" w:space="0" w:color="auto"/>
          <w:right w:val="none" w:sz="0" w:space="0" w:color="auto"/>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pPr>
      <w:spacing w:line="240" w:lineRule="auto"/>
    </w:pPr>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pPr>
      <w:spacing w:line="240" w:lineRule="auto"/>
    </w:pPr>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0" w:space="0" w:color="auto"/>
          <w:left w:val="none" w:sz="0" w:space="0" w:color="auto"/>
          <w:bottom w:val="single" w:sz="4" w:space="0" w:color="99D0DE" w:themeColor="accent5" w:themeTint="90"/>
          <w:right w:val="none" w:sz="0" w:space="0" w:color="auto"/>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0" w:space="0" w:color="auto"/>
          <w:left w:val="none" w:sz="0" w:space="0" w:color="auto"/>
          <w:bottom w:val="none" w:sz="0" w:space="0" w:color="auto"/>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0" w:space="0" w:color="auto"/>
          <w:left w:val="single" w:sz="4" w:space="0" w:color="99D0DE" w:themeColor="accent5" w:themeTint="90"/>
          <w:bottom w:val="none" w:sz="0" w:space="0" w:color="auto"/>
          <w:right w:val="none" w:sz="0" w:space="0" w:color="auto"/>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pPr>
      <w:spacing w:line="240" w:lineRule="auto"/>
    </w:pPr>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0" w:space="0" w:color="auto"/>
          <w:left w:val="none" w:sz="0" w:space="0" w:color="auto"/>
          <w:bottom w:val="single" w:sz="4" w:space="0" w:color="FAC396" w:themeColor="accent6" w:themeTint="90"/>
          <w:right w:val="none" w:sz="0" w:space="0" w:color="auto"/>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0" w:space="0" w:color="auto"/>
          <w:left w:val="none" w:sz="0" w:space="0" w:color="auto"/>
          <w:bottom w:val="none" w:sz="0" w:space="0" w:color="auto"/>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0" w:space="0" w:color="auto"/>
          <w:left w:val="single" w:sz="4" w:space="0" w:color="FAC396" w:themeColor="accent6" w:themeTint="90"/>
          <w:bottom w:val="none" w:sz="0" w:space="0" w:color="auto"/>
          <w:right w:val="none" w:sz="0" w:space="0" w:color="auto"/>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pPr>
      <w:spacing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pPr>
      <w:spacing w:line="240" w:lineRule="auto"/>
    </w:pPr>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pPr>
      <w:spacing w:line="240" w:lineRule="auto"/>
    </w:pPr>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pPr>
      <w:spacing w:line="240" w:lineRule="auto"/>
    </w:pPr>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pPr>
      <w:spacing w:line="240" w:lineRule="auto"/>
    </w:pPr>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pPr>
      <w:spacing w:line="240" w:lineRule="auto"/>
    </w:pPr>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pPr>
      <w:spacing w:line="240" w:lineRule="auto"/>
    </w:pPr>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pPr>
      <w:spacing w:line="240" w:lineRule="auto"/>
    </w:pPr>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pPr>
      <w:spacing w:line="240" w:lineRule="auto"/>
    </w:pPr>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pPr>
      <w:spacing w:line="240" w:lineRule="auto"/>
    </w:pPr>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pPr>
      <w:spacing w:line="240" w:lineRule="auto"/>
    </w:pPr>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pPr>
      <w:spacing w:line="240" w:lineRule="auto"/>
    </w:pPr>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pPr>
      <w:spacing w:line="240" w:lineRule="auto"/>
    </w:pPr>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pPr>
      <w:spacing w:line="240" w:lineRule="auto"/>
    </w:pPr>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
    <w:name w:val="List Table 4"/>
    <w:basedOn w:val="TableNormal"/>
    <w:uiPriority w:val="99"/>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pPr>
      <w:spacing w:line="240" w:lineRule="auto"/>
    </w:pPr>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pPr>
      <w:spacing w:line="240" w:lineRule="auto"/>
    </w:pPr>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pPr>
      <w:spacing w:line="240" w:lineRule="auto"/>
    </w:pPr>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pPr>
      <w:spacing w:line="240" w:lineRule="auto"/>
    </w:pPr>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pPr>
      <w:spacing w:line="240" w:lineRule="auto"/>
    </w:pPr>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pPr>
      <w:spacing w:line="240" w:lineRule="auto"/>
    </w:pPr>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pPr>
      <w:spacing w:line="240" w:lineRule="auto"/>
    </w:pPr>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pPr>
      <w:spacing w:line="240" w:lineRule="auto"/>
    </w:pPr>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styleId="ListTable5Dark-Accent2">
    <w:name w:val="List Table 5 Dark Accent 2"/>
    <w:basedOn w:val="TableNormal"/>
    <w:uiPriority w:val="99"/>
    <w:pPr>
      <w:spacing w:line="240" w:lineRule="auto"/>
    </w:pPr>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styleId="ListTable5Dark-Accent3">
    <w:name w:val="List Table 5 Dark Accent 3"/>
    <w:basedOn w:val="TableNormal"/>
    <w:uiPriority w:val="99"/>
    <w:pPr>
      <w:spacing w:line="240" w:lineRule="auto"/>
    </w:pPr>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styleId="ListTable5Dark-Accent4">
    <w:name w:val="List Table 5 Dark Accent 4"/>
    <w:basedOn w:val="TableNormal"/>
    <w:uiPriority w:val="99"/>
    <w:pPr>
      <w:spacing w:line="240" w:lineRule="auto"/>
    </w:pPr>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styleId="ListTable5Dark-Accent5">
    <w:name w:val="List Table 5 Dark Accent 5"/>
    <w:basedOn w:val="TableNormal"/>
    <w:uiPriority w:val="99"/>
    <w:pPr>
      <w:spacing w:line="240" w:lineRule="auto"/>
    </w:pPr>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styleId="ListTable5Dark-Accent6">
    <w:name w:val="List Table 5 Dark Accent 6"/>
    <w:basedOn w:val="TableNormal"/>
    <w:uiPriority w:val="99"/>
    <w:pPr>
      <w:spacing w:line="240" w:lineRule="auto"/>
    </w:pPr>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styleId="ListTable6Colorful">
    <w:name w:val="List Table 6 Colorful"/>
    <w:basedOn w:val="TableNormal"/>
    <w:uiPriority w:val="99"/>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pPr>
      <w:spacing w:line="240" w:lineRule="auto"/>
    </w:pPr>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pPr>
      <w:spacing w:line="240" w:lineRule="auto"/>
    </w:pPr>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pPr>
      <w:spacing w:line="240" w:lineRule="auto"/>
    </w:pPr>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pPr>
      <w:spacing w:line="240" w:lineRule="auto"/>
    </w:pPr>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pPr>
      <w:spacing w:line="240" w:lineRule="auto"/>
    </w:pPr>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pPr>
      <w:spacing w:line="240" w:lineRule="auto"/>
    </w:pPr>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pPr>
      <w:spacing w:line="240" w:lineRule="auto"/>
    </w:pPr>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pPr>
      <w:spacing w:line="240" w:lineRule="auto"/>
    </w:pPr>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0" w:space="0" w:color="auto"/>
          <w:left w:val="none" w:sz="0" w:space="0" w:color="auto"/>
          <w:bottom w:val="single" w:sz="4" w:space="0" w:color="4F81BD" w:themeColor="accent1"/>
          <w:right w:val="none" w:sz="0" w:space="0" w:color="auto"/>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0" w:space="0" w:color="auto"/>
          <w:left w:val="none" w:sz="0" w:space="0" w:color="auto"/>
          <w:bottom w:val="none" w:sz="0" w:space="0" w:color="auto"/>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0" w:space="0" w:color="auto"/>
          <w:left w:val="single" w:sz="4" w:space="0" w:color="4F81BD" w:themeColor="accent1"/>
          <w:bottom w:val="none" w:sz="0" w:space="0" w:color="auto"/>
          <w:right w:val="none" w:sz="0" w:space="0" w:color="auto"/>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pPr>
      <w:spacing w:line="240" w:lineRule="auto"/>
    </w:pPr>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pPr>
      <w:spacing w:line="240" w:lineRule="auto"/>
    </w:pPr>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0" w:space="0" w:color="auto"/>
          <w:left w:val="none" w:sz="0" w:space="0" w:color="auto"/>
          <w:bottom w:val="single" w:sz="4" w:space="0" w:color="C3D69B" w:themeColor="accent3" w:themeTint="98"/>
          <w:right w:val="none" w:sz="0" w:space="0" w:color="auto"/>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0" w:space="0" w:color="auto"/>
          <w:left w:val="none" w:sz="0" w:space="0" w:color="auto"/>
          <w:bottom w:val="none" w:sz="0" w:space="0" w:color="auto"/>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0" w:space="0" w:color="auto"/>
          <w:left w:val="single" w:sz="4" w:space="0" w:color="C3D69B" w:themeColor="accent3" w:themeTint="98"/>
          <w:bottom w:val="none" w:sz="0" w:space="0" w:color="auto"/>
          <w:right w:val="none" w:sz="0" w:space="0" w:color="auto"/>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pPr>
      <w:spacing w:line="240" w:lineRule="auto"/>
    </w:pPr>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pPr>
      <w:spacing w:line="240" w:lineRule="auto"/>
    </w:pPr>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0" w:space="0" w:color="auto"/>
          <w:left w:val="none" w:sz="0" w:space="0" w:color="auto"/>
          <w:bottom w:val="single" w:sz="4" w:space="0" w:color="92CCDC" w:themeColor="accent5" w:themeTint="9A"/>
          <w:right w:val="none" w:sz="0" w:space="0" w:color="auto"/>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0" w:space="0" w:color="auto"/>
          <w:left w:val="none" w:sz="0" w:space="0" w:color="auto"/>
          <w:bottom w:val="none" w:sz="0" w:space="0" w:color="auto"/>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0" w:space="0" w:color="auto"/>
          <w:left w:val="single" w:sz="4" w:space="0" w:color="92CCDC" w:themeColor="accent5" w:themeTint="9A"/>
          <w:bottom w:val="none" w:sz="0" w:space="0" w:color="auto"/>
          <w:right w:val="none" w:sz="0" w:space="0" w:color="auto"/>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pPr>
      <w:spacing w:line="240" w:lineRule="auto"/>
    </w:pPr>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0" w:space="0" w:color="auto"/>
          <w:left w:val="none" w:sz="0" w:space="0" w:color="auto"/>
          <w:bottom w:val="single" w:sz="4" w:space="0" w:color="FAC090" w:themeColor="accent6" w:themeTint="98"/>
          <w:right w:val="none" w:sz="0" w:space="0" w:color="auto"/>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0" w:space="0" w:color="auto"/>
          <w:left w:val="none" w:sz="0" w:space="0" w:color="auto"/>
          <w:bottom w:val="none" w:sz="0" w:space="0" w:color="auto"/>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0" w:space="0" w:color="auto"/>
          <w:left w:val="single" w:sz="4" w:space="0" w:color="FAC090" w:themeColor="accent6" w:themeTint="98"/>
          <w:bottom w:val="none" w:sz="0" w:space="0" w:color="auto"/>
          <w:right w:val="none" w:sz="0" w:space="0" w:color="auto"/>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pPr>
      <w:spacing w:line="240" w:lineRule="auto"/>
    </w:pPr>
    <w:rPr>
      <w:color w:val="404040"/>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pPr>
      <w:spacing w:line="240" w:lineRule="auto"/>
    </w:pPr>
    <w:rPr>
      <w:color w:val="404040"/>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pPr>
      <w:spacing w:line="240" w:lineRule="auto"/>
    </w:pPr>
    <w:rPr>
      <w:color w:val="404040"/>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pPr>
      <w:spacing w:line="240" w:lineRule="auto"/>
    </w:pPr>
    <w:rPr>
      <w:color w:val="404040"/>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pPr>
      <w:spacing w:line="240" w:lineRule="auto"/>
    </w:pPr>
    <w:rPr>
      <w:color w:val="404040"/>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pPr>
      <w:spacing w:line="240" w:lineRule="auto"/>
    </w:pPr>
    <w:rPr>
      <w:color w:val="404040"/>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pPr>
      <w:spacing w:line="240" w:lineRule="auto"/>
    </w:pPr>
    <w:rPr>
      <w:color w:val="404040"/>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pPr>
      <w:spacing w:line="240" w:lineRule="auto"/>
    </w:pPr>
    <w:rPr>
      <w:color w:val="404040"/>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pPr>
      <w:spacing w:line="240" w:lineRule="auto"/>
    </w:pPr>
    <w:rPr>
      <w:color w:val="404040"/>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pPr>
      <w:spacing w:line="240" w:lineRule="auto"/>
    </w:pPr>
    <w:rPr>
      <w:color w:val="404040"/>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pPr>
      <w:spacing w:line="240" w:lineRule="auto"/>
    </w:pPr>
    <w:rPr>
      <w:color w:val="404040"/>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pPr>
      <w:spacing w:line="240" w:lineRule="auto"/>
    </w:pPr>
    <w:rPr>
      <w:color w:val="404040"/>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pPr>
      <w:spacing w:line="240" w:lineRule="auto"/>
    </w:pPr>
    <w:rPr>
      <w:color w:val="404040"/>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pPr>
      <w:spacing w:line="240" w:lineRule="auto"/>
    </w:pPr>
    <w:rPr>
      <w:color w:val="404040"/>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pPr>
      <w:spacing w:line="240" w:lineRule="auto"/>
    </w:pPr>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pPr>
      <w:spacing w:line="240" w:lineRule="auto"/>
    </w:pPr>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pPr>
      <w:spacing w:line="240" w:lineRule="auto"/>
    </w:pPr>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pPr>
      <w:spacing w:line="240" w:lineRule="auto"/>
    </w:pPr>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pPr>
      <w:spacing w:line="240" w:lineRule="auto"/>
    </w:pPr>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pPr>
      <w:spacing w:line="240" w:lineRule="auto"/>
    </w:pPr>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pPr>
      <w:spacing w:line="240" w:lineRule="auto"/>
    </w:pPr>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365F91"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365F91"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365F91"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365F91" w:themeColor="accent1" w:themeShade="BF"/>
    </w:rPr>
  </w:style>
  <w:style w:type="character" w:customStyle="1" w:styleId="Heading5Char">
    <w:name w:val="Heading 5 Char"/>
    <w:basedOn w:val="DefaultParagraphFont"/>
    <w:link w:val="Heading5"/>
    <w:uiPriority w:val="9"/>
    <w:rPr>
      <w:rFonts w:ascii="Arial" w:eastAsia="Arial" w:hAnsi="Arial" w:cs="Arial"/>
      <w:color w:val="365F91"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pPr>
      <w:spacing w:line="240" w:lineRule="auto"/>
    </w:p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center" w:pos="4844"/>
        <w:tab w:val="right" w:pos="9689"/>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844"/>
        <w:tab w:val="right" w:pos="9689"/>
      </w:tabs>
      <w:spacing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after="200" w:line="240" w:lineRule="auto"/>
    </w:pPr>
    <w:rPr>
      <w:i/>
      <w:iCs/>
      <w:color w:val="1F497D" w:themeColor="text2"/>
      <w:sz w:val="18"/>
      <w:szCs w:val="18"/>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themeColor="hyperlink"/>
      <w:u w:val="single"/>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character" w:styleId="PlaceholderText">
    <w:name w:val="Placeholder Text"/>
    <w:basedOn w:val="DefaultParagraphFont"/>
    <w:uiPriority w:val="99"/>
    <w:semiHidden/>
    <w:rPr>
      <w:color w:val="666666"/>
    </w:rPr>
  </w:style>
  <w:style w:type="paragraph" w:styleId="TOCHeading">
    <w:name w:val="TOC Heading"/>
    <w:uiPriority w:val="39"/>
    <w:unhideWhenUsed/>
  </w:style>
  <w:style w:type="paragraph" w:styleId="TableofFigures">
    <w:name w:val="table of figures"/>
    <w:basedOn w:val="Normal"/>
    <w:next w:val="Normal"/>
    <w:uiPriority w:val="99"/>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pPr>
      <w:keepNext/>
      <w:keepLines/>
      <w:spacing w:after="60"/>
    </w:pPr>
    <w:rPr>
      <w:sz w:val="52"/>
      <w:szCs w:val="52"/>
    </w:rPr>
  </w:style>
  <w:style w:type="paragraph" w:styleId="Subtitle">
    <w:name w:val="Subtitle"/>
    <w:basedOn w:val="Normal"/>
    <w:next w:val="Normal"/>
    <w:link w:val="SubtitleChar"/>
    <w:pPr>
      <w:keepNext/>
      <w:keepLines/>
      <w:spacing w:after="320"/>
    </w:pPr>
    <w:rPr>
      <w:rFonts w:ascii="Arial" w:eastAsia="Arial" w:hAnsi="Arial" w:cs="Arial"/>
      <w:color w:val="666666"/>
      <w:sz w:val="30"/>
      <w:szCs w:val="30"/>
    </w:rPr>
  </w:style>
  <w:style w:type="table" w:customStyle="1" w:styleId="StGen0">
    <w:name w:val="StGen0"/>
    <w:basedOn w:val="TableNormal0"/>
    <w:tblPr>
      <w:tblStyleRowBandSize w:val="1"/>
      <w:tblStyleColBandSize w:val="1"/>
    </w:tblPr>
  </w:style>
  <w:style w:type="table" w:customStyle="1" w:styleId="StGen1">
    <w:name w:val="StGen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londonreconnections.com/2025/a-21st-century-underground-rolling-stock-update/" TargetMode="External"/><Relationship Id="rId26" Type="http://schemas.openxmlformats.org/officeDocument/2006/relationships/glossaryDocument" Target="glossary/document.xml"/><Relationship Id="rId3" Type="http://schemas.openxmlformats.org/officeDocument/2006/relationships/webSettings" Target="webSettings.xml"/><Relationship Id="rId21" Type="http://schemas.openxmlformats.org/officeDocument/2006/relationships/hyperlink" Target="https://tfl.gov.uk/info-for/media/press-releases/2023/december/safer-more-reliable-and-accessible-central-line-trains-visited-for-first-time-by-mayor-of-london" TargetMode="External"/><Relationship Id="rId12" Type="http://schemas.openxmlformats.org/officeDocument/2006/relationships/image" Target="media/image2.png"/><Relationship Id="rId17" Type="http://schemas.openxmlformats.org/officeDocument/2006/relationships/hyperlink" Target="https://londonist.com/london/transport/a-brief-history-of-the-central-line"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40.png"/><Relationship Id="rId20" Type="http://schemas.openxmlformats.org/officeDocument/2006/relationships/hyperlink" Target="https://content.tfl.gov.uk/tfl-investment-programme-report-quarter-2-2021-22-acc.pdf" TargetMode="External"/><Relationship Id="rId1" Type="http://schemas.openxmlformats.org/officeDocument/2006/relationships/styles" Target="styles.xml"/><Relationship Id="rId6"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image" Target="media/image4.png"/><Relationship Id="rId23" Type="http://schemas.openxmlformats.org/officeDocument/2006/relationships/footer" Target="footer1.xml"/><Relationship Id="rId19" Type="http://schemas.openxmlformats.org/officeDocument/2006/relationships/hyperlink" Target="https://tfl.gov.uk/corporate/about-tfl/the-mayors-transport-strategy" TargetMode="External"/><Relationship Id="rId4" Type="http://schemas.openxmlformats.org/officeDocument/2006/relationships/footnotes" Target="footnotes.xml"/><Relationship Id="rId14" Type="http://schemas.openxmlformats.org/officeDocument/2006/relationships/image" Target="media/image30.png"/><Relationship Id="rId22" Type="http://schemas.openxmlformats.org/officeDocument/2006/relationships/hyperlink" Target="https://content.tfl.gov.uk/qpr-q4-2023-24-acc.pdf"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TEXT"/>
        <w:category>
          <w:name w:val="Common"/>
          <w:gallery w:val="placeholder"/>
        </w:category>
        <w:types>
          <w:type w:val="bbPlcHdr"/>
        </w:types>
        <w:behaviors>
          <w:behavior w:val="content"/>
        </w:behaviors>
        <w:guid w:val="{00B5687F-890B-48C4-A96B-C7B18251EE6B}"/>
      </w:docPartPr>
      <w:docPartBody>
        <w:p w:rsidR="00AB1F09" w:rsidRDefault="00000000">
          <w:r>
            <w:t>Your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B1F09"/>
    <w:rsid w:val="00734E65"/>
    <w:rsid w:val="00AB1F09"/>
    <w:rsid w:val="00B82F94"/>
    <w:rsid w:val="00BC2C4E"/>
    <w:rsid w:val="00D224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Arial" w:eastAsia="Arial" w:hAnsi="Arial" w:cs="Arial"/>
      <w:color w:val="2F5496"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Arial" w:eastAsia="Arial" w:hAnsi="Arial" w:cs="Arial"/>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ascii="Arial" w:eastAsia="Arial" w:hAnsi="Arial" w:cs="Arial"/>
      <w:color w:val="2F5496"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ascii="Arial" w:eastAsia="Arial" w:hAnsi="Arial" w:cs="Arial"/>
      <w:i/>
      <w:iCs/>
      <w:color w:val="2F5496"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ascii="Arial" w:eastAsia="Arial" w:hAnsi="Arial" w:cs="Arial"/>
      <w:color w:val="2F5496"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ascii="Arial" w:eastAsia="Arial" w:hAnsi="Arial" w:cs="Arial"/>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ascii="Arial" w:eastAsia="Arial" w:hAnsi="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eastAsia="Arial" w:hAnsi="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eastAsia="Arial" w:hAnsi="Arial" w:cs="Arial"/>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tblPr>
      <w:tblStyleRowBandSize w:val="1"/>
      <w:tblStyleColBandSize w:val="1"/>
      <w:tbl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insideH w:val="single" w:sz="4" w:space="0" w:color="B3C5E7" w:themeColor="accent1" w:themeTint="67"/>
        <w:insideV w:val="single" w:sz="4" w:space="0" w:color="B3C5E7" w:themeColor="accent1" w:themeTint="67"/>
      </w:tblBorders>
    </w:tblPr>
    <w:tblStylePr w:type="firstRow">
      <w:rPr>
        <w:b/>
        <w:color w:val="404040"/>
      </w:rPr>
      <w:tblPr/>
      <w:tcPr>
        <w:tcBorders>
          <w:bottom w:val="single" w:sz="12" w:space="0" w:color="91ACDC"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tcBorders>
      </w:tcPr>
    </w:tblStylePr>
  </w:style>
  <w:style w:type="table" w:styleId="GridTable1Light-Accent2">
    <w:name w:val="Grid Table 1 Light Accent 2"/>
    <w:basedOn w:val="TableNormal"/>
    <w:uiPriority w:val="99"/>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b/>
        <w:color w:val="404040"/>
      </w:rPr>
      <w:tblPr/>
      <w:tcPr>
        <w:tcBorders>
          <w:bottom w:val="single" w:sz="12" w:space="0" w:color="F4B28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styleId="GridTable1Light-Accent3">
    <w:name w:val="Grid Table 1 Light Accent 3"/>
    <w:basedOn w:val="TableNormal"/>
    <w:uiPriority w:val="99"/>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b/>
        <w:color w:val="404040"/>
      </w:rPr>
      <w:tblPr/>
      <w:tcPr>
        <w:tcBorders>
          <w:bottom w:val="single" w:sz="12" w:space="0" w:color="CACACA"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styleId="GridTable1Light-Accent4">
    <w:name w:val="Grid Table 1 Light Accent 4"/>
    <w:basedOn w:val="TableNormal"/>
    <w:uiPriority w:val="99"/>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b/>
        <w:color w:val="404040"/>
      </w:rPr>
      <w:tblPr/>
      <w:tcPr>
        <w:tcBorders>
          <w:bottom w:val="single" w:sz="12" w:space="0" w:color="FFDA6A"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styleId="GridTable1Light-Accent5">
    <w:name w:val="Grid Table 1 Light Accent 5"/>
    <w:basedOn w:val="TableNormal"/>
    <w:uiPriority w:val="99"/>
    <w:tblPr>
      <w:tblStyleRowBandSize w:val="1"/>
      <w:tblStyleColBandSize w:val="1"/>
      <w:tbl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insideH w:val="single" w:sz="4" w:space="0" w:color="BCD6EE" w:themeColor="accent5" w:themeTint="67"/>
        <w:insideV w:val="single" w:sz="4" w:space="0" w:color="BCD6EE" w:themeColor="accent5" w:themeTint="67"/>
      </w:tblBorders>
    </w:tblPr>
    <w:tblStylePr w:type="firstRow">
      <w:rPr>
        <w:b/>
        <w:color w:val="404040"/>
      </w:rPr>
      <w:tblPr/>
      <w:tcPr>
        <w:tcBorders>
          <w:bottom w:val="single" w:sz="12" w:space="0" w:color="9EC4E6"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tcBorders>
      </w:tcPr>
    </w:tblStylePr>
  </w:style>
  <w:style w:type="table" w:styleId="GridTable1Light-Accent6">
    <w:name w:val="Grid Table 1 Light Accent 6"/>
    <w:basedOn w:val="TableNormal"/>
    <w:uiPriority w:val="99"/>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b/>
        <w:color w:val="404040"/>
      </w:rPr>
      <w:tblPr/>
      <w:tcPr>
        <w:tcBorders>
          <w:bottom w:val="single" w:sz="12" w:space="0" w:color="AAD190"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table" w:styleId="GridTable2">
    <w:name w:val="Grid Table 2"/>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sz="4" w:space="0" w:color="537DC8" w:themeColor="accent1" w:themeTint="EA"/>
        <w:insideH w:val="single" w:sz="4" w:space="0" w:color="537DC8" w:themeColor="accent1" w:themeTint="EA"/>
        <w:insideV w:val="single" w:sz="4" w:space="0" w:color="537DC8" w:themeColor="accent1" w:themeTint="EA"/>
      </w:tblBorders>
    </w:tblPr>
    <w:tblStylePr w:type="firstRow">
      <w:rPr>
        <w:b/>
        <w:color w:val="404040"/>
      </w:rPr>
      <w:tblPr/>
      <w:tcPr>
        <w:tcBorders>
          <w:top w:val="none" w:sz="4" w:space="0" w:color="000000"/>
          <w:left w:val="none" w:sz="4" w:space="0" w:color="000000"/>
          <w:bottom w:val="single" w:sz="12" w:space="0" w:color="537DC8" w:themeColor="accent1" w:themeTint="EA"/>
          <w:right w:val="none" w:sz="4" w:space="0" w:color="000000"/>
        </w:tcBorders>
        <w:shd w:val="clear" w:color="FFFFFF" w:fill="auto"/>
      </w:tcPr>
    </w:tblStylePr>
    <w:tblStylePr w:type="lastRow">
      <w:rPr>
        <w:b/>
        <w:color w:val="404040"/>
      </w:rPr>
      <w:tblPr/>
      <w:tcPr>
        <w:tcBorders>
          <w:top w:val="single" w:sz="4" w:space="0" w:color="537DC8"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1" w:themeTint="34" w:fill="D8E2F3" w:themeFill="accent1" w:themeFillTint="34"/>
      </w:tcPr>
    </w:tblStylePr>
    <w:tblStylePr w:type="band1Horz">
      <w:rPr>
        <w:rFonts w:ascii="Arial" w:hAnsi="Arial"/>
        <w:color w:val="404040"/>
        <w:sz w:val="22"/>
      </w:rPr>
      <w:tblPr/>
      <w:tcPr>
        <w:shd w:val="clear" w:color="D8E2F3" w:themeColor="accent1" w:themeTint="34" w:fill="D8E2F3" w:themeFill="accent1" w:themeFillTint="34"/>
      </w:tcPr>
    </w:tblStylePr>
  </w:style>
  <w:style w:type="table" w:styleId="GridTable2-Accent2">
    <w:name w:val="Grid Table 2 Accent 2"/>
    <w:basedOn w:val="TableNormal"/>
    <w:uiPriority w:val="99"/>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one" w:sz="4" w:space="0" w:color="000000"/>
          <w:left w:val="none" w:sz="4" w:space="0" w:color="000000"/>
          <w:bottom w:val="single" w:sz="12" w:space="0" w:color="F4B184" w:themeColor="accent2" w:themeTint="97"/>
          <w:right w:val="none" w:sz="4" w:space="0" w:color="000000"/>
        </w:tcBorders>
        <w:shd w:val="clear" w:color="FFFFFF" w:fill="auto"/>
      </w:tcPr>
    </w:tblStylePr>
    <w:tblStylePr w:type="lastRow">
      <w:rPr>
        <w:b/>
        <w:color w:val="404040"/>
      </w:rPr>
      <w:tblPr/>
      <w:tcPr>
        <w:tcBorders>
          <w:top w:val="single" w:sz="4" w:space="0" w:color="F4B184"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2-Accent3">
    <w:name w:val="Grid Table 2 Accent 3"/>
    <w:basedOn w:val="TableNormal"/>
    <w:uiPriority w:val="99"/>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one" w:sz="4" w:space="0" w:color="000000"/>
          <w:left w:val="none" w:sz="4" w:space="0" w:color="000000"/>
          <w:bottom w:val="single" w:sz="12" w:space="0" w:color="A5A5A5" w:themeColor="accent3" w:themeTint="FE"/>
          <w:right w:val="none" w:sz="4" w:space="0" w:color="000000"/>
        </w:tcBorders>
        <w:shd w:val="clear" w:color="FFFFFF" w:fill="auto"/>
      </w:tcPr>
    </w:tblStylePr>
    <w:tblStylePr w:type="lastRow">
      <w:rPr>
        <w:b/>
        <w:color w:val="404040"/>
      </w:rPr>
      <w:tblPr/>
      <w:tcPr>
        <w:tcBorders>
          <w:top w:val="single" w:sz="4" w:space="0" w:color="A5A5A5"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2-Accent4">
    <w:name w:val="Grid Table 2 Accent 4"/>
    <w:basedOn w:val="TableNormal"/>
    <w:uiPriority w:val="99"/>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one" w:sz="4" w:space="0" w:color="000000"/>
          <w:left w:val="none" w:sz="4" w:space="0" w:color="000000"/>
          <w:bottom w:val="single" w:sz="12" w:space="0" w:color="FFD865" w:themeColor="accent4" w:themeTint="9A"/>
          <w:right w:val="none" w:sz="4" w:space="0" w:color="000000"/>
        </w:tcBorders>
        <w:shd w:val="clear" w:color="FFFFFF" w:fill="auto"/>
      </w:tcPr>
    </w:tblStylePr>
    <w:tblStylePr w:type="lastRow">
      <w:rPr>
        <w:b/>
        <w:color w:val="404040"/>
      </w:rPr>
      <w:tblPr/>
      <w:tcPr>
        <w:tcBorders>
          <w:top w:val="single" w:sz="4" w:space="0" w:color="FFD865"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2-Accent5">
    <w:name w:val="Grid Table 2 Accent 5"/>
    <w:basedOn w:val="TableNormal"/>
    <w:uiPriority w:val="99"/>
    <w:tblPr>
      <w:tblStyleRowBandSize w:val="1"/>
      <w:tblStyleColBandSize w:val="1"/>
      <w:tblBorders>
        <w:bottom w:val="single" w:sz="4" w:space="0" w:color="5B9BD5" w:themeColor="accent5"/>
        <w:insideH w:val="single" w:sz="4" w:space="0" w:color="5B9BD5" w:themeColor="accent5"/>
        <w:insideV w:val="single" w:sz="4" w:space="0" w:color="5B9BD5" w:themeColor="accent5"/>
      </w:tblBorders>
    </w:tblPr>
    <w:tblStylePr w:type="firstRow">
      <w:rPr>
        <w:b/>
        <w:color w:val="404040"/>
      </w:rPr>
      <w:tblPr/>
      <w:tcPr>
        <w:tcBorders>
          <w:top w:val="none" w:sz="4" w:space="0" w:color="000000"/>
          <w:left w:val="none" w:sz="4" w:space="0" w:color="000000"/>
          <w:bottom w:val="single" w:sz="12" w:space="0" w:color="5B9BD5" w:themeColor="accent5"/>
          <w:right w:val="none" w:sz="4" w:space="0" w:color="000000"/>
        </w:tcBorders>
        <w:shd w:val="clear" w:color="FFFFFF" w:fill="auto"/>
      </w:tcPr>
    </w:tblStylePr>
    <w:tblStylePr w:type="lastRow">
      <w:rPr>
        <w:b/>
        <w:color w:val="404040"/>
      </w:rPr>
      <w:tblPr/>
      <w:tcPr>
        <w:tcBorders>
          <w:top w:val="single" w:sz="4" w:space="0" w:color="5B9BD5"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Pr/>
      <w:tcPr>
        <w:shd w:val="clear" w:color="DDEAF6" w:themeColor="accent5" w:themeTint="34" w:fill="DDEAF6" w:themeFill="accent5" w:themeFillTint="34"/>
      </w:tcPr>
    </w:tblStylePr>
  </w:style>
  <w:style w:type="table" w:styleId="GridTable2-Accent6">
    <w:name w:val="Grid Table 2 Accent 6"/>
    <w:basedOn w:val="TableNormal"/>
    <w:uiPriority w:val="99"/>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one" w:sz="4" w:space="0" w:color="000000"/>
          <w:left w:val="none" w:sz="4" w:space="0" w:color="000000"/>
          <w:bottom w:val="single" w:sz="12" w:space="0" w:color="70AD47" w:themeColor="accent6"/>
          <w:right w:val="none" w:sz="4" w:space="0" w:color="000000"/>
        </w:tcBorders>
        <w:shd w:val="clear" w:color="FFFFFF" w:fill="auto"/>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3">
    <w:name w:val="Grid Table 3"/>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sz="4" w:space="0" w:color="537DC8" w:themeColor="accent1" w:themeTint="EA"/>
        <w:insideH w:val="single" w:sz="4" w:space="0" w:color="537DC8" w:themeColor="accent1" w:themeTint="EA"/>
        <w:insideV w:val="single" w:sz="4" w:space="0" w:color="537DC8"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8E2F3" w:themeColor="accent1" w:themeTint="34" w:fill="D8E2F3" w:themeFill="accent1" w:themeFillTint="34"/>
      </w:tcPr>
    </w:tblStylePr>
    <w:tblStylePr w:type="band1Horz">
      <w:rPr>
        <w:rFonts w:ascii="Arial" w:hAnsi="Arial"/>
        <w:color w:val="404040"/>
        <w:sz w:val="22"/>
      </w:rPr>
      <w:tblPr/>
      <w:tcPr>
        <w:shd w:val="clear" w:color="D8E2F3" w:themeColor="accent1" w:themeTint="34" w:fill="D8E2F3" w:themeFill="accent1" w:themeFillTint="34"/>
      </w:tcPr>
    </w:tblStylePr>
  </w:style>
  <w:style w:type="table" w:styleId="GridTable3-Accent2">
    <w:name w:val="Grid Table 3 Accent 2"/>
    <w:basedOn w:val="TableNormal"/>
    <w:uiPriority w:val="99"/>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3-Accent3">
    <w:name w:val="Grid Table 3 Accent 3"/>
    <w:basedOn w:val="TableNormal"/>
    <w:uiPriority w:val="99"/>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3-Accent4">
    <w:name w:val="Grid Table 3 Accent 4"/>
    <w:basedOn w:val="TableNormal"/>
    <w:uiPriority w:val="99"/>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3-Accent5">
    <w:name w:val="Grid Table 3 Accent 5"/>
    <w:basedOn w:val="TableNormal"/>
    <w:uiPriority w:val="99"/>
    <w:tblPr>
      <w:tblStyleRowBandSize w:val="1"/>
      <w:tblStyleColBandSize w:val="1"/>
      <w:tblBorders>
        <w:bottom w:val="single" w:sz="4" w:space="0" w:color="5B9BD5" w:themeColor="accent5"/>
        <w:insideH w:val="single" w:sz="4" w:space="0" w:color="5B9BD5" w:themeColor="accent5"/>
        <w:insideV w:val="single" w:sz="4" w:space="0" w:color="5B9BD5"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Pr/>
      <w:tcPr>
        <w:shd w:val="clear" w:color="DDEAF6" w:themeColor="accent5" w:themeTint="34" w:fill="DDEAF6" w:themeFill="accent5" w:themeFillTint="34"/>
      </w:tcPr>
    </w:tblStylePr>
  </w:style>
  <w:style w:type="table" w:styleId="GridTable3-Accent6">
    <w:name w:val="Grid Table 3 Accent 6"/>
    <w:basedOn w:val="TableNormal"/>
    <w:uiPriority w:val="99"/>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4">
    <w:name w:val="Grid Table 4"/>
    <w:basedOn w:val="TableNormal"/>
    <w:uiPriority w:val="59"/>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sz="4" w:space="0" w:color="95AFDD" w:themeColor="accent1" w:themeTint="90"/>
        <w:left w:val="single" w:sz="4" w:space="0" w:color="95AFDD" w:themeColor="accent1" w:themeTint="90"/>
        <w:bottom w:val="single" w:sz="4" w:space="0" w:color="95AFDD" w:themeColor="accent1" w:themeTint="90"/>
        <w:right w:val="single" w:sz="4" w:space="0" w:color="95AFDD" w:themeColor="accent1" w:themeTint="90"/>
        <w:insideH w:val="single" w:sz="4" w:space="0" w:color="95AFDD" w:themeColor="accent1" w:themeTint="90"/>
        <w:insideV w:val="single" w:sz="4" w:space="0" w:color="95AFDD" w:themeColor="accent1" w:themeTint="90"/>
      </w:tblBorders>
    </w:tblPr>
    <w:tblStylePr w:type="firstRow">
      <w:rPr>
        <w:rFonts w:ascii="Arial" w:hAnsi="Arial"/>
        <w:b/>
        <w:color w:val="FFFFFF"/>
        <w:sz w:val="22"/>
      </w:rPr>
      <w:tblPr/>
      <w:tcPr>
        <w:tcBorders>
          <w:top w:val="single" w:sz="4" w:space="0" w:color="537DC8" w:themeColor="accent1" w:themeTint="EA"/>
          <w:left w:val="single" w:sz="4" w:space="0" w:color="537DC8" w:themeColor="accent1" w:themeTint="EA"/>
          <w:bottom w:val="single" w:sz="4" w:space="0" w:color="537DC8" w:themeColor="accent1" w:themeTint="EA"/>
          <w:right w:val="single" w:sz="4" w:space="0" w:color="537DC8" w:themeColor="accent1" w:themeTint="EA"/>
        </w:tcBorders>
        <w:shd w:val="clear" w:color="537DC8" w:themeColor="accent1" w:themeTint="EA" w:fill="537DC8" w:themeFill="accent1" w:themeFillTint="EA"/>
      </w:tcPr>
    </w:tblStylePr>
    <w:tblStylePr w:type="lastRow">
      <w:rPr>
        <w:b/>
        <w:color w:val="404040"/>
      </w:rPr>
      <w:tblPr/>
      <w:tcPr>
        <w:tcBorders>
          <w:top w:val="single" w:sz="4" w:space="0" w:color="537DC8"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3F3" w:themeColor="accent1" w:themeTint="32" w:fill="DAE3F3" w:themeFill="accent1" w:themeFillTint="32"/>
      </w:tcPr>
    </w:tblStylePr>
    <w:tblStylePr w:type="band1Horz">
      <w:rPr>
        <w:rFonts w:ascii="Arial" w:hAnsi="Arial"/>
        <w:color w:val="404040"/>
        <w:sz w:val="22"/>
      </w:rPr>
      <w:tblPr/>
      <w:tcPr>
        <w:shd w:val="clear" w:color="DAE3F3" w:themeColor="accent1" w:themeTint="32" w:fill="DAE3F3" w:themeFill="accent1" w:themeFillTint="32"/>
      </w:tcPr>
    </w:tblStylePr>
  </w:style>
  <w:style w:type="table" w:styleId="GridTable4-Accent2">
    <w:name w:val="Grid Table 4 Accent 2"/>
    <w:basedOn w:val="TableNormal"/>
    <w:uiPriority w:val="59"/>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insideV w:val="single" w:sz="4" w:space="0" w:color="F4B58A" w:themeColor="accent2" w:themeTint="90"/>
      </w:tblBorders>
    </w:tblPr>
    <w:tblStylePr w:type="firstRow">
      <w:rPr>
        <w:rFonts w:ascii="Arial" w:hAnsi="Arial"/>
        <w:b/>
        <w:color w:val="FFFFFF"/>
        <w:sz w:val="22"/>
      </w:rPr>
      <w:tblPr/>
      <w:tcPr>
        <w:tc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cBorders>
        <w:shd w:val="clear" w:color="F4B184" w:themeColor="accent2" w:themeTint="97" w:fill="F4B184" w:themeFill="accent2" w:themeFillTint="97"/>
      </w:tcPr>
    </w:tblStylePr>
    <w:tblStylePr w:type="lastRow">
      <w:rPr>
        <w:b/>
        <w:color w:val="404040"/>
      </w:rPr>
      <w:tblPr/>
      <w:tcPr>
        <w:tcBorders>
          <w:top w:val="single" w:sz="4" w:space="0" w:color="F4B184"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4-Accent3">
    <w:name w:val="Grid Table 4 Accent 3"/>
    <w:basedOn w:val="TableNormal"/>
    <w:uiPriority w:val="59"/>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insideV w:val="single" w:sz="4" w:space="0" w:color="CCCCCC" w:themeColor="accent3" w:themeTint="90"/>
      </w:tblBorders>
    </w:tblPr>
    <w:tblStylePr w:type="firstRow">
      <w:rPr>
        <w:rFonts w:ascii="Arial" w:hAnsi="Arial"/>
        <w:b/>
        <w:color w:val="FFFFFF"/>
        <w:sz w:val="22"/>
      </w:rPr>
      <w:tblPr/>
      <w:tcPr>
        <w:tc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tcBorders>
        <w:shd w:val="clear" w:color="A5A5A5" w:themeColor="accent3" w:themeTint="FE" w:fill="A5A5A5" w:themeFill="accent3" w:themeFillTint="FE"/>
      </w:tcPr>
    </w:tblStylePr>
    <w:tblStylePr w:type="lastRow">
      <w:rPr>
        <w:b/>
        <w:color w:val="404040"/>
      </w:rPr>
      <w:tblPr/>
      <w:tcPr>
        <w:tcBorders>
          <w:top w:val="single" w:sz="4" w:space="0" w:color="A5A5A5"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4-Accent4">
    <w:name w:val="Grid Table 4 Accent 4"/>
    <w:basedOn w:val="TableNormal"/>
    <w:uiPriority w:val="59"/>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insideV w:val="single" w:sz="4" w:space="0" w:color="FFDB6F" w:themeColor="accent4" w:themeTint="90"/>
      </w:tblBorders>
    </w:tblPr>
    <w:tblStylePr w:type="firstRow">
      <w:rPr>
        <w:rFonts w:ascii="Arial" w:hAnsi="Arial"/>
        <w:b/>
        <w:color w:val="FFFFFF"/>
        <w:sz w:val="22"/>
      </w:rPr>
      <w:tblPr/>
      <w:tcPr>
        <w:tc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cBorders>
        <w:shd w:val="clear" w:color="FFD865" w:themeColor="accent4" w:themeTint="9A" w:fill="FFD865" w:themeFill="accent4" w:themeFillTint="9A"/>
      </w:tcPr>
    </w:tblStylePr>
    <w:tblStylePr w:type="lastRow">
      <w:rPr>
        <w:b/>
        <w:color w:val="404040"/>
      </w:rPr>
      <w:tblPr/>
      <w:tcPr>
        <w:tcBorders>
          <w:top w:val="single" w:sz="4" w:space="0" w:color="FFD865"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4-Accent5">
    <w:name w:val="Grid Table 4 Accent 5"/>
    <w:basedOn w:val="TableNormal"/>
    <w:uiPriority w:val="59"/>
    <w:tblPr>
      <w:tblStyleRowBandSize w:val="1"/>
      <w:tblStyleColBandSize w:val="1"/>
      <w:tblBorders>
        <w:top w:val="single" w:sz="4" w:space="0" w:color="A2C6E7" w:themeColor="accent5" w:themeTint="90"/>
        <w:left w:val="single" w:sz="4" w:space="0" w:color="A2C6E7" w:themeColor="accent5" w:themeTint="90"/>
        <w:bottom w:val="single" w:sz="4" w:space="0" w:color="A2C6E7" w:themeColor="accent5" w:themeTint="90"/>
        <w:right w:val="single" w:sz="4" w:space="0" w:color="A2C6E7" w:themeColor="accent5" w:themeTint="90"/>
        <w:insideH w:val="single" w:sz="4" w:space="0" w:color="A2C6E7" w:themeColor="accent5" w:themeTint="90"/>
        <w:insideV w:val="single" w:sz="4" w:space="0" w:color="A2C6E7" w:themeColor="accent5" w:themeTint="90"/>
      </w:tblBorders>
    </w:tblPr>
    <w:tblStylePr w:type="firstRow">
      <w:rPr>
        <w:rFonts w:ascii="Arial" w:hAnsi="Arial"/>
        <w:b/>
        <w:color w:val="FFFFFF"/>
        <w:sz w:val="22"/>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5B9BD5" w:themeColor="accent5" w:fill="5B9BD5" w:themeFill="accent5"/>
      </w:tcPr>
    </w:tblStylePr>
    <w:tblStylePr w:type="lastRow">
      <w:rPr>
        <w:b/>
        <w:color w:val="404040"/>
      </w:rPr>
      <w:tblPr/>
      <w:tcPr>
        <w:tcBorders>
          <w:top w:val="single" w:sz="4" w:space="0" w:color="5B9BD5"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Pr/>
      <w:tcPr>
        <w:shd w:val="clear" w:color="DDEAF6" w:themeColor="accent5" w:themeTint="34" w:fill="DDEAF6" w:themeFill="accent5" w:themeFillTint="34"/>
      </w:tcPr>
    </w:tblStylePr>
  </w:style>
  <w:style w:type="table" w:styleId="GridTable4-Accent6">
    <w:name w:val="Grid Table 4 Accent 6"/>
    <w:basedOn w:val="TableNormal"/>
    <w:uiPriority w:val="59"/>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FFFFFF"/>
        <w:sz w:val="22"/>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70AD47" w:themeColor="accent6" w:fill="70AD47" w:themeFill="accent6"/>
      </w:tcPr>
    </w:tblStylePr>
    <w:tblStylePr w:type="lastRow">
      <w:rPr>
        <w:b/>
        <w:color w:val="404040"/>
      </w:rPr>
      <w:tblPr/>
      <w:tcPr>
        <w:tcBorders>
          <w:top w:val="single" w:sz="4" w:space="0" w:color="70AD47"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5Dark">
    <w:name w:val="Grid Table 5 Dark"/>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8E2F3" w:themeColor="accent1" w:themeTint="34" w:fill="D8E2F3" w:themeFill="accent1" w:themeFillTint="34"/>
    </w:tblPr>
    <w:tblStylePr w:type="firstRow">
      <w:rPr>
        <w:rFonts w:ascii="Arial" w:hAnsi="Arial"/>
        <w:b/>
        <w:color w:val="FFFFFF"/>
        <w:sz w:val="22"/>
      </w:rPr>
      <w:tblPr/>
      <w:tcPr>
        <w:shd w:val="clear" w:color="4472C4" w:themeColor="accent1" w:fill="4472C4" w:themeFill="accent1"/>
      </w:tcPr>
    </w:tblStylePr>
    <w:tblStylePr w:type="lastRow">
      <w:rPr>
        <w:rFonts w:ascii="Arial" w:hAnsi="Arial"/>
        <w:b/>
        <w:color w:val="FFFFFF"/>
        <w:sz w:val="22"/>
      </w:rPr>
      <w:tblPr/>
      <w:tcPr>
        <w:tcBorders>
          <w:top w:val="single" w:sz="4" w:space="0" w:color="FFFFFF" w:themeColor="light1"/>
        </w:tcBorders>
        <w:shd w:val="clear" w:color="4472C4" w:themeColor="accent1" w:fill="4472C4" w:themeFill="accent1"/>
      </w:tcPr>
    </w:tblStylePr>
    <w:tblStylePr w:type="firstCol">
      <w:rPr>
        <w:rFonts w:ascii="Arial" w:hAnsi="Arial"/>
        <w:b/>
        <w:color w:val="FFFFFF"/>
        <w:sz w:val="22"/>
      </w:rPr>
      <w:tblPr/>
      <w:tcPr>
        <w:shd w:val="clear" w:color="4472C4" w:themeColor="accent1" w:fill="4472C4" w:themeFill="accent1"/>
      </w:tcPr>
    </w:tblStylePr>
    <w:tblStylePr w:type="lastCol">
      <w:rPr>
        <w:rFonts w:ascii="Arial" w:hAnsi="Arial"/>
        <w:b/>
        <w:color w:val="FFFFFF"/>
        <w:sz w:val="22"/>
      </w:rPr>
      <w:tblPr/>
      <w:tcPr>
        <w:shd w:val="clear" w:color="4472C4" w:themeColor="accent1" w:fill="4472C4" w:themeFill="accent1"/>
      </w:tcPr>
    </w:tblStylePr>
    <w:tblStylePr w:type="band1Vert">
      <w:tblPr/>
      <w:tcPr>
        <w:shd w:val="clear" w:color="A9BEE4" w:themeColor="accent1" w:themeTint="75" w:fill="A9BEE4" w:themeFill="accent1" w:themeFillTint="75"/>
      </w:tcPr>
    </w:tblStylePr>
    <w:tblStylePr w:type="band1Horz">
      <w:tblPr/>
      <w:tcPr>
        <w:shd w:val="clear" w:color="A9BEE4" w:themeColor="accent1" w:themeTint="75" w:fill="A9BEE4"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BE5D6" w:themeColor="accent2" w:themeTint="32" w:fill="FBE5D6" w:themeFill="accent2" w:themeFillTint="32"/>
    </w:tblPr>
    <w:tblStylePr w:type="firstRow">
      <w:rPr>
        <w:rFonts w:ascii="Arial" w:hAnsi="Arial"/>
        <w:b/>
        <w:color w:val="FFFFFF"/>
        <w:sz w:val="22"/>
      </w:rPr>
      <w:tblPr/>
      <w:tcPr>
        <w:shd w:val="clear" w:color="ED7D31" w:themeColor="accent2" w:fill="ED7D31" w:themeFill="accent2"/>
      </w:tcPr>
    </w:tblStylePr>
    <w:tblStylePr w:type="lastRow">
      <w:rPr>
        <w:rFonts w:ascii="Arial" w:hAnsi="Arial"/>
        <w:b/>
        <w:color w:val="FFFFFF"/>
        <w:sz w:val="22"/>
      </w:rPr>
      <w:tblPr/>
      <w:tcPr>
        <w:tcBorders>
          <w:top w:val="single" w:sz="4" w:space="0" w:color="FFFFFF" w:themeColor="light1"/>
        </w:tcBorders>
        <w:shd w:val="clear" w:color="ED7D31" w:themeColor="accent2" w:fill="ED7D31" w:themeFill="accent2"/>
      </w:tcPr>
    </w:tblStylePr>
    <w:tblStylePr w:type="firstCol">
      <w:rPr>
        <w:rFonts w:ascii="Arial" w:hAnsi="Arial"/>
        <w:b/>
        <w:color w:val="FFFFFF"/>
        <w:sz w:val="22"/>
      </w:rPr>
      <w:tblPr/>
      <w:tcPr>
        <w:shd w:val="clear" w:color="ED7D31" w:themeColor="accent2" w:fill="ED7D31" w:themeFill="accent2"/>
      </w:tcPr>
    </w:tblStylePr>
    <w:tblStylePr w:type="lastCol">
      <w:rPr>
        <w:rFonts w:ascii="Arial" w:hAnsi="Arial"/>
        <w:b/>
        <w:color w:val="FFFFFF"/>
        <w:sz w:val="22"/>
      </w:rPr>
      <w:tblPr/>
      <w:tcPr>
        <w:shd w:val="clear" w:color="ED7D31" w:themeColor="accent2" w:fill="ED7D31" w:themeFill="accent2"/>
      </w:tcPr>
    </w:tblStylePr>
    <w:tblStylePr w:type="band1Vert">
      <w:tblPr/>
      <w:tcPr>
        <w:shd w:val="clear" w:color="F6C3A0" w:themeColor="accent2" w:themeTint="75" w:fill="F6C3A0" w:themeFill="accent2" w:themeFillTint="75"/>
      </w:tcPr>
    </w:tblStylePr>
    <w:tblStylePr w:type="band1Horz">
      <w:tblPr/>
      <w:tcPr>
        <w:shd w:val="clear" w:color="F6C3A0" w:themeColor="accent2" w:themeTint="75" w:fill="F6C3A0"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CECEC" w:themeColor="accent3" w:themeTint="34" w:fill="ECECEC" w:themeFill="accent3" w:themeFillTint="34"/>
    </w:tblPr>
    <w:tblStylePr w:type="firstRow">
      <w:rPr>
        <w:rFonts w:ascii="Arial" w:hAnsi="Arial"/>
        <w:b/>
        <w:color w:val="FFFFFF"/>
        <w:sz w:val="22"/>
      </w:rPr>
      <w:tblPr/>
      <w:tcPr>
        <w:shd w:val="clear" w:color="A5A5A5" w:themeColor="accent3" w:fill="A5A5A5" w:themeFill="accent3"/>
      </w:tcPr>
    </w:tblStylePr>
    <w:tblStylePr w:type="lastRow">
      <w:rPr>
        <w:rFonts w:ascii="Arial" w:hAnsi="Arial"/>
        <w:b/>
        <w:color w:val="FFFFFF"/>
        <w:sz w:val="22"/>
      </w:rPr>
      <w:tblPr/>
      <w:tcPr>
        <w:tcBorders>
          <w:top w:val="single" w:sz="4" w:space="0" w:color="FFFFFF" w:themeColor="light1"/>
        </w:tcBorders>
        <w:shd w:val="clear" w:color="A5A5A5" w:themeColor="accent3" w:fill="A5A5A5" w:themeFill="accent3"/>
      </w:tcPr>
    </w:tblStylePr>
    <w:tblStylePr w:type="firstCol">
      <w:rPr>
        <w:rFonts w:ascii="Arial" w:hAnsi="Arial"/>
        <w:b/>
        <w:color w:val="FFFFFF"/>
        <w:sz w:val="22"/>
      </w:rPr>
      <w:tblPr/>
      <w:tcPr>
        <w:shd w:val="clear" w:color="A5A5A5" w:themeColor="accent3" w:fill="A5A5A5" w:themeFill="accent3"/>
      </w:tcPr>
    </w:tblStylePr>
    <w:tblStylePr w:type="lastCol">
      <w:rPr>
        <w:rFonts w:ascii="Arial" w:hAnsi="Arial"/>
        <w:b/>
        <w:color w:val="FFFFFF"/>
        <w:sz w:val="22"/>
      </w:rPr>
      <w:tblPr/>
      <w:tcPr>
        <w:shd w:val="clear" w:color="A5A5A5" w:themeColor="accent3" w:fill="A5A5A5" w:themeFill="accent3"/>
      </w:tcPr>
    </w:tblStylePr>
    <w:tblStylePr w:type="band1Vert">
      <w:tblPr/>
      <w:tcPr>
        <w:shd w:val="clear" w:color="D5D5D5" w:themeColor="accent3" w:themeTint="75" w:fill="D5D5D5" w:themeFill="accent3" w:themeFillTint="75"/>
      </w:tcPr>
    </w:tblStylePr>
    <w:tblStylePr w:type="band1Horz">
      <w:tblPr/>
      <w:tcPr>
        <w:shd w:val="clear" w:color="D5D5D5" w:themeColor="accent3" w:themeTint="75" w:fill="D5D5D5" w:themeFill="accent3" w:themeFillTint="75"/>
      </w:tcPr>
    </w:tblStylePr>
  </w:style>
  <w:style w:type="table" w:customStyle="1" w:styleId="GridTable5Dark-Accent4">
    <w:name w:val="Grid Table 5 Dark- Accent 4"/>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2CB" w:themeColor="accent4" w:themeTint="34" w:fill="FFF2CB" w:themeFill="accent4" w:themeFillTint="34"/>
    </w:tblPr>
    <w:tblStylePr w:type="firstRow">
      <w:rPr>
        <w:rFonts w:ascii="Arial" w:hAnsi="Arial"/>
        <w:b/>
        <w:color w:val="FFFFFF"/>
        <w:sz w:val="22"/>
      </w:rPr>
      <w:tblPr/>
      <w:tcPr>
        <w:shd w:val="clear" w:color="FFC000" w:themeColor="accent4" w:fill="FFC000" w:themeFill="accent4"/>
      </w:tcPr>
    </w:tblStylePr>
    <w:tblStylePr w:type="lastRow">
      <w:rPr>
        <w:rFonts w:ascii="Arial" w:hAnsi="Arial"/>
        <w:b/>
        <w:color w:val="FFFFFF"/>
        <w:sz w:val="22"/>
      </w:rPr>
      <w:tblPr/>
      <w:tcPr>
        <w:tcBorders>
          <w:top w:val="single" w:sz="4" w:space="0" w:color="FFFFFF" w:themeColor="light1"/>
        </w:tcBorders>
        <w:shd w:val="clear" w:color="FFC000" w:themeColor="accent4" w:fill="FFC000" w:themeFill="accent4"/>
      </w:tcPr>
    </w:tblStylePr>
    <w:tblStylePr w:type="firstCol">
      <w:rPr>
        <w:rFonts w:ascii="Arial" w:hAnsi="Arial"/>
        <w:b/>
        <w:color w:val="FFFFFF"/>
        <w:sz w:val="22"/>
      </w:rPr>
      <w:tblPr/>
      <w:tcPr>
        <w:shd w:val="clear" w:color="FFC000" w:themeColor="accent4" w:fill="FFC000" w:themeFill="accent4"/>
      </w:tcPr>
    </w:tblStylePr>
    <w:tblStylePr w:type="lastCol">
      <w:rPr>
        <w:rFonts w:ascii="Arial" w:hAnsi="Arial"/>
        <w:b/>
        <w:color w:val="FFFFFF"/>
        <w:sz w:val="22"/>
      </w:rPr>
      <w:tblPr/>
      <w:tcPr>
        <w:shd w:val="clear" w:color="FFC000" w:themeColor="accent4" w:fill="FFC000" w:themeFill="accent4"/>
      </w:tcPr>
    </w:tblStylePr>
    <w:tblStylePr w:type="band1Vert">
      <w:tblPr/>
      <w:tcPr>
        <w:shd w:val="clear" w:color="FFE28A" w:themeColor="accent4" w:themeTint="75" w:fill="FFE28A" w:themeFill="accent4" w:themeFillTint="75"/>
      </w:tcPr>
    </w:tblStylePr>
    <w:tblStylePr w:type="band1Horz">
      <w:tblPr/>
      <w:tcPr>
        <w:shd w:val="clear" w:color="FFE28A" w:themeColor="accent4" w:themeTint="75" w:fill="FFE28A"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DEAF6" w:themeColor="accent5" w:themeTint="34" w:fill="DDEAF6" w:themeFill="accent5" w:themeFillTint="34"/>
    </w:tblPr>
    <w:tblStylePr w:type="firstRow">
      <w:rPr>
        <w:rFonts w:ascii="Arial" w:hAnsi="Arial"/>
        <w:b/>
        <w:color w:val="FFFFFF"/>
        <w:sz w:val="22"/>
      </w:rPr>
      <w:tblPr/>
      <w:tcPr>
        <w:shd w:val="clear" w:color="5B9BD5" w:themeColor="accent5" w:fill="5B9BD5" w:themeFill="accent5"/>
      </w:tcPr>
    </w:tblStylePr>
    <w:tblStylePr w:type="lastRow">
      <w:rPr>
        <w:rFonts w:ascii="Arial" w:hAnsi="Arial"/>
        <w:b/>
        <w:color w:val="FFFFFF"/>
        <w:sz w:val="22"/>
      </w:rPr>
      <w:tblPr/>
      <w:tcPr>
        <w:tcBorders>
          <w:top w:val="single" w:sz="4" w:space="0" w:color="FFFFFF" w:themeColor="light1"/>
        </w:tcBorders>
        <w:shd w:val="clear" w:color="5B9BD5" w:themeColor="accent5" w:fill="5B9BD5" w:themeFill="accent5"/>
      </w:tcPr>
    </w:tblStylePr>
    <w:tblStylePr w:type="firstCol">
      <w:rPr>
        <w:rFonts w:ascii="Arial" w:hAnsi="Arial"/>
        <w:b/>
        <w:color w:val="FFFFFF"/>
        <w:sz w:val="22"/>
      </w:rPr>
      <w:tblPr/>
      <w:tcPr>
        <w:shd w:val="clear" w:color="5B9BD5" w:themeColor="accent5" w:fill="5B9BD5" w:themeFill="accent5"/>
      </w:tcPr>
    </w:tblStylePr>
    <w:tblStylePr w:type="lastCol">
      <w:rPr>
        <w:rFonts w:ascii="Arial" w:hAnsi="Arial"/>
        <w:b/>
        <w:color w:val="FFFFFF"/>
        <w:sz w:val="22"/>
      </w:rPr>
      <w:tblPr/>
      <w:tcPr>
        <w:shd w:val="clear" w:color="5B9BD5" w:themeColor="accent5" w:fill="5B9BD5" w:themeFill="accent5"/>
      </w:tcPr>
    </w:tblStylePr>
    <w:tblStylePr w:type="band1Vert">
      <w:tblPr/>
      <w:tcPr>
        <w:shd w:val="clear" w:color="B3D0EB" w:themeColor="accent5" w:themeTint="75" w:fill="B3D0EB" w:themeFill="accent5" w:themeFillTint="75"/>
      </w:tcPr>
    </w:tblStylePr>
    <w:tblStylePr w:type="band1Horz">
      <w:tblPr/>
      <w:tcPr>
        <w:shd w:val="clear" w:color="B3D0EB" w:themeColor="accent5" w:themeTint="75" w:fill="B3D0EB"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1EFD8" w:themeColor="accent6" w:themeTint="34" w:fill="E1EFD8" w:themeFill="accent6" w:themeFillTint="34"/>
    </w:tblPr>
    <w:tblStylePr w:type="firstRow">
      <w:rPr>
        <w:rFonts w:ascii="Arial" w:hAnsi="Arial"/>
        <w:b/>
        <w:color w:val="FFFFFF"/>
        <w:sz w:val="22"/>
      </w:rPr>
      <w:tblPr/>
      <w:tcPr>
        <w:shd w:val="clear" w:color="70AD47" w:themeColor="accent6" w:fill="70AD47" w:themeFill="accent6"/>
      </w:tcPr>
    </w:tblStylePr>
    <w:tblStylePr w:type="lastRow">
      <w:rPr>
        <w:rFonts w:ascii="Arial" w:hAnsi="Arial"/>
        <w:b/>
        <w:color w:val="FFFFFF"/>
        <w:sz w:val="22"/>
      </w:rPr>
      <w:tblPr/>
      <w:tcPr>
        <w:tcBorders>
          <w:top w:val="single" w:sz="4" w:space="0" w:color="FFFFFF" w:themeColor="light1"/>
        </w:tcBorders>
        <w:shd w:val="clear" w:color="70AD47" w:themeColor="accent6" w:fill="70AD47" w:themeFill="accent6"/>
      </w:tcPr>
    </w:tblStylePr>
    <w:tblStylePr w:type="firstCol">
      <w:rPr>
        <w:rFonts w:ascii="Arial" w:hAnsi="Arial"/>
        <w:b/>
        <w:color w:val="FFFFFF"/>
        <w:sz w:val="22"/>
      </w:rPr>
      <w:tblPr/>
      <w:tcPr>
        <w:shd w:val="clear" w:color="70AD47" w:themeColor="accent6" w:fill="70AD47" w:themeFill="accent6"/>
      </w:tcPr>
    </w:tblStylePr>
    <w:tblStylePr w:type="lastCol">
      <w:rPr>
        <w:rFonts w:ascii="Arial" w:hAnsi="Arial"/>
        <w:b/>
        <w:color w:val="FFFFFF"/>
        <w:sz w:val="22"/>
      </w:rPr>
      <w:tblPr/>
      <w:tcPr>
        <w:shd w:val="clear" w:color="70AD47" w:themeColor="accent6" w:fill="70AD47" w:themeFill="accent6"/>
      </w:tcPr>
    </w:tblStylePr>
    <w:tblStylePr w:type="band1Vert">
      <w:tblPr/>
      <w:tcPr>
        <w:shd w:val="clear" w:color="BCDBA8" w:themeColor="accent6" w:themeTint="75" w:fill="BCDBA8" w:themeFill="accent6" w:themeFillTint="75"/>
      </w:tcPr>
    </w:tblStylePr>
    <w:tblStylePr w:type="band1Horz">
      <w:tblPr/>
      <w:tcPr>
        <w:shd w:val="clear" w:color="BCDBA8" w:themeColor="accent6" w:themeTint="75" w:fill="BCDBA8" w:themeFill="accent6" w:themeFillTint="75"/>
      </w:tcPr>
    </w:tblStylePr>
  </w:style>
  <w:style w:type="table" w:styleId="GridTable6Colorful">
    <w:name w:val="Grid Table 6 Colorful"/>
    <w:basedOn w:val="TableNormal"/>
    <w:uiPriority w:val="99"/>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sz="4" w:space="0" w:color="A0B7E1" w:themeColor="accent1" w:themeTint="80"/>
        <w:left w:val="single" w:sz="4" w:space="0" w:color="A0B7E1" w:themeColor="accent1" w:themeTint="80"/>
        <w:bottom w:val="single" w:sz="4" w:space="0" w:color="A0B7E1" w:themeColor="accent1" w:themeTint="80"/>
        <w:right w:val="single" w:sz="4" w:space="0" w:color="A0B7E1" w:themeColor="accent1" w:themeTint="80"/>
        <w:insideH w:val="single" w:sz="4" w:space="0" w:color="A0B7E1" w:themeColor="accent1" w:themeTint="80"/>
        <w:insideV w:val="single" w:sz="4" w:space="0" w:color="A0B7E1" w:themeColor="accent1" w:themeTint="80"/>
      </w:tblBorders>
    </w:tblPr>
    <w:tblStylePr w:type="firstRow">
      <w:rPr>
        <w:b/>
        <w:color w:val="A0B7E1" w:themeColor="accent1" w:themeTint="80" w:themeShade="95"/>
      </w:rPr>
      <w:tblPr/>
      <w:tcPr>
        <w:tcBorders>
          <w:bottom w:val="single" w:sz="12" w:space="0" w:color="A0B7E1" w:themeColor="accent1" w:themeTint="80"/>
        </w:tcBorders>
      </w:tcPr>
    </w:tblStylePr>
    <w:tblStylePr w:type="lastRow">
      <w:rPr>
        <w:b/>
        <w:color w:val="A0B7E1" w:themeColor="accent1" w:themeTint="80" w:themeShade="95"/>
      </w:rPr>
    </w:tblStylePr>
    <w:tblStylePr w:type="firstCol">
      <w:rPr>
        <w:b/>
        <w:color w:val="A0B7E1" w:themeColor="accent1" w:themeTint="80" w:themeShade="95"/>
      </w:rPr>
    </w:tblStylePr>
    <w:tblStylePr w:type="lastCol">
      <w:rPr>
        <w:b/>
        <w:color w:val="A0B7E1" w:themeColor="accent1" w:themeTint="80" w:themeShade="95"/>
      </w:rPr>
    </w:tblStylePr>
    <w:tblStylePr w:type="band1Vert">
      <w:tblPr/>
      <w:tcPr>
        <w:shd w:val="clear" w:color="D8E2F3" w:themeColor="accent1" w:themeTint="34" w:fill="D8E2F3" w:themeFill="accent1" w:themeFillTint="34"/>
      </w:tcPr>
    </w:tblStylePr>
    <w:tblStylePr w:type="band1Horz">
      <w:rPr>
        <w:rFonts w:ascii="Arial" w:hAnsi="Arial"/>
        <w:color w:val="A0B7E1" w:themeColor="accent1" w:themeTint="80" w:themeShade="95"/>
        <w:sz w:val="22"/>
      </w:rPr>
      <w:tblPr/>
      <w:tcPr>
        <w:shd w:val="clear" w:color="D8E2F3" w:themeColor="accent1" w:themeTint="34" w:fill="D8E2F3" w:themeFill="accent1" w:themeFillTint="34"/>
      </w:tcPr>
    </w:tblStylePr>
    <w:tblStylePr w:type="band2Horz">
      <w:rPr>
        <w:rFonts w:ascii="Arial" w:hAnsi="Arial"/>
        <w:color w:val="A0B7E1"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F4B184" w:themeColor="accent2" w:themeTint="97" w:themeShade="95"/>
      </w:rPr>
      <w:tblPr/>
      <w:tcPr>
        <w:tcBorders>
          <w:bottom w:val="single" w:sz="12" w:space="0" w:color="F4B184" w:themeColor="accent2" w:themeTint="97"/>
        </w:tcBorders>
      </w:tcPr>
    </w:tblStylePr>
    <w:tblStylePr w:type="lastRow">
      <w:rPr>
        <w:b/>
        <w:color w:val="F4B184" w:themeColor="accent2" w:themeTint="97" w:themeShade="95"/>
      </w:r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A5A5A5" w:themeColor="accent3" w:themeTint="FE" w:themeShade="95"/>
      </w:rPr>
      <w:tblPr/>
      <w:tcPr>
        <w:tcBorders>
          <w:bottom w:val="single" w:sz="12" w:space="0" w:color="A5A5A5" w:themeColor="accent3" w:themeTint="FE"/>
        </w:tcBorders>
      </w:tcPr>
    </w:tblStylePr>
    <w:tblStylePr w:type="lastRow">
      <w:rPr>
        <w:b/>
        <w:color w:val="A5A5A5" w:themeColor="accent3" w:themeTint="FE" w:themeShade="95"/>
      </w:rPr>
    </w:tblStylePr>
    <w:tblStylePr w:type="firstCol">
      <w:rPr>
        <w:b/>
        <w:color w:val="A5A5A5" w:themeColor="accent3" w:themeTint="FE" w:themeShade="95"/>
      </w:rPr>
    </w:tblStylePr>
    <w:tblStylePr w:type="lastCol">
      <w:rPr>
        <w:b/>
        <w:color w:val="A5A5A5" w:themeColor="accent3" w:themeTint="FE" w:themeShade="95"/>
      </w:r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FFD865" w:themeColor="accent4" w:themeTint="9A" w:themeShade="95"/>
      </w:rPr>
      <w:tblPr/>
      <w:tcPr>
        <w:tcBorders>
          <w:bottom w:val="single" w:sz="12" w:space="0" w:color="FFD865" w:themeColor="accent4" w:themeTint="9A"/>
        </w:tcBorders>
      </w:tcPr>
    </w:tblStylePr>
    <w:tblStylePr w:type="lastRow">
      <w:rPr>
        <w:b/>
        <w:color w:val="FFD865" w:themeColor="accent4" w:themeTint="9A" w:themeShade="95"/>
      </w:r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insideH w:val="single" w:sz="4" w:space="0" w:color="5B9BD5" w:themeColor="accent5"/>
        <w:insideV w:val="single" w:sz="4" w:space="0" w:color="5B9BD5" w:themeColor="accent5"/>
      </w:tblBorders>
    </w:tblPr>
    <w:tblStylePr w:type="firstRow">
      <w:rPr>
        <w:b/>
        <w:color w:val="245A8D" w:themeColor="accent5" w:themeShade="95"/>
      </w:rPr>
      <w:tblPr/>
      <w:tcPr>
        <w:tcBorders>
          <w:bottom w:val="single" w:sz="12" w:space="0" w:color="5B9BD5" w:themeColor="accent5"/>
        </w:tcBorders>
      </w:tcPr>
    </w:tblStylePr>
    <w:tblStylePr w:type="lastRow">
      <w:rPr>
        <w:b/>
        <w:color w:val="245A8D" w:themeColor="accent5" w:themeShade="95"/>
      </w:rPr>
    </w:tblStylePr>
    <w:tblStylePr w:type="firstCol">
      <w:rPr>
        <w:b/>
        <w:color w:val="245A8D" w:themeColor="accent5" w:themeShade="95"/>
      </w:rPr>
    </w:tblStylePr>
    <w:tblStylePr w:type="lastCol">
      <w:rPr>
        <w:b/>
        <w:color w:val="245A8D" w:themeColor="accent5" w:themeShade="95"/>
      </w:rPr>
    </w:tblStylePr>
    <w:tblStylePr w:type="band1Vert">
      <w:tblPr/>
      <w:tcPr>
        <w:shd w:val="clear" w:color="DDEAF6" w:themeColor="accent5" w:themeTint="34" w:fill="DDEAF6" w:themeFill="accent5" w:themeFillTint="34"/>
      </w:tcPr>
    </w:tblStylePr>
    <w:tblStylePr w:type="band1Horz">
      <w:rPr>
        <w:rFonts w:ascii="Arial" w:hAnsi="Arial"/>
        <w:color w:val="245A8D" w:themeColor="accent5" w:themeShade="95"/>
        <w:sz w:val="22"/>
      </w:rPr>
      <w:tblPr/>
      <w:tcPr>
        <w:shd w:val="clear" w:color="DDEAF6" w:themeColor="accent5" w:themeTint="34" w:fill="DDEAF6" w:themeFill="accent5" w:themeFillTint="34"/>
      </w:tcPr>
    </w:tblStylePr>
    <w:tblStylePr w:type="band2Horz">
      <w:rPr>
        <w:rFonts w:ascii="Arial" w:hAnsi="Arial"/>
        <w:color w:val="245A8D"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insideH w:val="single" w:sz="4" w:space="0" w:color="70AD47" w:themeColor="accent6"/>
        <w:insideV w:val="single" w:sz="4" w:space="0" w:color="70AD47" w:themeColor="accent6"/>
      </w:tblBorders>
    </w:tblPr>
    <w:tblStylePr w:type="firstRow">
      <w:rPr>
        <w:b/>
        <w:color w:val="245A8D" w:themeColor="accent5" w:themeShade="95"/>
      </w:rPr>
      <w:tblPr/>
      <w:tcPr>
        <w:tcBorders>
          <w:bottom w:val="single" w:sz="12" w:space="0" w:color="70AD47" w:themeColor="accent6"/>
        </w:tcBorders>
      </w:tcPr>
    </w:tblStylePr>
    <w:tblStylePr w:type="lastRow">
      <w:rPr>
        <w:b/>
        <w:color w:val="245A8D" w:themeColor="accent5" w:themeShade="95"/>
      </w:rPr>
    </w:tblStylePr>
    <w:tblStylePr w:type="firstCol">
      <w:rPr>
        <w:b/>
        <w:color w:val="245A8D" w:themeColor="accent5" w:themeShade="95"/>
      </w:rPr>
    </w:tblStylePr>
    <w:tblStylePr w:type="lastCol">
      <w:rPr>
        <w:b/>
        <w:color w:val="245A8D" w:themeColor="accent5" w:themeShade="95"/>
      </w:rPr>
    </w:tblStylePr>
    <w:tblStylePr w:type="band1Vert">
      <w:tblPr/>
      <w:tcPr>
        <w:shd w:val="clear" w:color="E1EFD8" w:themeColor="accent6" w:themeTint="34" w:fill="E1EFD8" w:themeFill="accent6" w:themeFillTint="34"/>
      </w:tcPr>
    </w:tblStylePr>
    <w:tblStylePr w:type="band1Horz">
      <w:rPr>
        <w:rFonts w:ascii="Arial" w:hAnsi="Arial"/>
        <w:color w:val="245A8D" w:themeColor="accent5" w:themeShade="95"/>
        <w:sz w:val="22"/>
      </w:rPr>
      <w:tblPr/>
      <w:tcPr>
        <w:shd w:val="clear" w:color="E1EFD8" w:themeColor="accent6" w:themeTint="34" w:fill="E1EFD8" w:themeFill="accent6" w:themeFillTint="34"/>
      </w:tcPr>
    </w:tblStylePr>
    <w:tblStylePr w:type="band2Horz">
      <w:rPr>
        <w:rFonts w:ascii="Arial" w:hAnsi="Arial"/>
        <w:color w:val="245A8D"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sz="4" w:space="0" w:color="A0B7E1" w:themeColor="accent1" w:themeTint="80"/>
        <w:right w:val="single" w:sz="4" w:space="0" w:color="A0B7E1" w:themeColor="accent1" w:themeTint="80"/>
        <w:insideH w:val="single" w:sz="4" w:space="0" w:color="A0B7E1" w:themeColor="accent1" w:themeTint="80"/>
        <w:insideV w:val="single" w:sz="4" w:space="0" w:color="A0B7E1" w:themeColor="accent1" w:themeTint="80"/>
      </w:tblBorders>
    </w:tblPr>
    <w:tblStylePr w:type="firstRow">
      <w:rPr>
        <w:rFonts w:ascii="Arial" w:hAnsi="Arial"/>
        <w:b/>
        <w:color w:val="A0B7E1" w:themeColor="accent1" w:themeTint="80" w:themeShade="95"/>
        <w:sz w:val="22"/>
      </w:rPr>
      <w:tblPr/>
      <w:tcPr>
        <w:tcBorders>
          <w:top w:val="none" w:sz="0" w:space="0" w:color="auto"/>
          <w:left w:val="none" w:sz="0" w:space="0" w:color="auto"/>
          <w:bottom w:val="single" w:sz="4" w:space="0" w:color="A0B7E1" w:themeColor="accent1" w:themeTint="80"/>
          <w:right w:val="none" w:sz="0" w:space="0" w:color="auto"/>
        </w:tcBorders>
        <w:shd w:val="clear" w:color="FFFFFF" w:themeColor="light1" w:fill="FFFFFF" w:themeFill="light1"/>
      </w:tcPr>
    </w:tblStylePr>
    <w:tblStylePr w:type="lastRow">
      <w:rPr>
        <w:rFonts w:ascii="Arial" w:hAnsi="Arial"/>
        <w:b/>
        <w:color w:val="A0B7E1" w:themeColor="accent1" w:themeTint="80" w:themeShade="95"/>
        <w:sz w:val="22"/>
      </w:rPr>
      <w:tblPr/>
      <w:tcPr>
        <w:tcBorders>
          <w:top w:val="single" w:sz="4" w:space="0" w:color="A0B7E1" w:themeColor="accen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0B7E1" w:themeColor="accent1" w:themeTint="80" w:themeShade="95"/>
        <w:sz w:val="22"/>
      </w:rPr>
      <w:tblPr/>
      <w:tcPr>
        <w:tcBorders>
          <w:top w:val="none" w:sz="0" w:space="0" w:color="auto"/>
          <w:left w:val="none" w:sz="0" w:space="0" w:color="auto"/>
          <w:bottom w:val="none" w:sz="0" w:space="0" w:color="auto"/>
          <w:right w:val="single" w:sz="4" w:space="0" w:color="A0B7E1" w:themeColor="accent1" w:themeTint="80"/>
        </w:tcBorders>
        <w:shd w:val="clear" w:color="FFFFFF" w:fill="auto"/>
      </w:tcPr>
    </w:tblStylePr>
    <w:tblStylePr w:type="lastCol">
      <w:rPr>
        <w:rFonts w:ascii="Arial" w:hAnsi="Arial"/>
        <w:i/>
        <w:color w:val="A0B7E1" w:themeColor="accent1" w:themeTint="80" w:themeShade="95"/>
        <w:sz w:val="22"/>
      </w:rPr>
      <w:tblPr/>
      <w:tcPr>
        <w:tcBorders>
          <w:top w:val="none" w:sz="0" w:space="0" w:color="auto"/>
          <w:left w:val="single" w:sz="4" w:space="0" w:color="A0B7E1" w:themeColor="accent1" w:themeTint="80"/>
          <w:bottom w:val="none" w:sz="0" w:space="0" w:color="auto"/>
          <w:right w:val="none" w:sz="0" w:space="0" w:color="auto"/>
        </w:tcBorders>
        <w:shd w:val="clear" w:color="FFFFFF" w:fill="auto"/>
      </w:tcPr>
    </w:tblStylePr>
    <w:tblStylePr w:type="band1Vert">
      <w:tblPr/>
      <w:tcPr>
        <w:shd w:val="clear" w:color="D8E2F3" w:themeColor="accent1" w:themeTint="34" w:fill="D8E2F3" w:themeFill="accent1" w:themeFillTint="34"/>
      </w:tcPr>
    </w:tblStylePr>
    <w:tblStylePr w:type="band1Horz">
      <w:rPr>
        <w:rFonts w:ascii="Arial" w:hAnsi="Arial"/>
        <w:color w:val="A0B7E1" w:themeColor="accent1" w:themeTint="80" w:themeShade="95"/>
        <w:sz w:val="22"/>
      </w:rPr>
      <w:tblPr/>
      <w:tcPr>
        <w:shd w:val="clear" w:color="D8E2F3" w:themeColor="accent1" w:themeTint="34" w:fill="D8E2F3" w:themeFill="accent1" w:themeFillTint="34"/>
      </w:tcPr>
    </w:tblStylePr>
    <w:tblStylePr w:type="band2Horz">
      <w:rPr>
        <w:rFonts w:ascii="Arial" w:hAnsi="Arial"/>
        <w:color w:val="A0B7E1"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rFonts w:ascii="Arial" w:hAnsi="Arial"/>
        <w:b/>
        <w:color w:val="F4B184" w:themeColor="accent2" w:themeTint="97" w:themeShade="95"/>
        <w:sz w:val="22"/>
      </w:rPr>
      <w:tblPr/>
      <w:tcPr>
        <w:tcBorders>
          <w:top w:val="none" w:sz="0" w:space="0" w:color="auto"/>
          <w:left w:val="none" w:sz="0" w:space="0" w:color="auto"/>
          <w:bottom w:val="single" w:sz="4" w:space="0" w:color="F4B184" w:themeColor="accent2" w:themeTint="97"/>
          <w:right w:val="none" w:sz="0" w:space="0" w:color="auto"/>
        </w:tcBorders>
        <w:shd w:val="clear" w:color="FFFFFF" w:themeColor="light1" w:fill="FFFFFF" w:themeFill="light1"/>
      </w:tcPr>
    </w:tblStylePr>
    <w:tblStylePr w:type="lastRow">
      <w:rPr>
        <w:rFonts w:ascii="Arial" w:hAnsi="Arial"/>
        <w:b/>
        <w:color w:val="F4B184" w:themeColor="accent2" w:themeTint="97" w:themeShade="95"/>
        <w:sz w:val="22"/>
      </w:rPr>
      <w:tblPr/>
      <w:tcPr>
        <w:tcBorders>
          <w:top w:val="single" w:sz="4" w:space="0" w:color="F4B184"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sz="0" w:space="0" w:color="auto"/>
          <w:left w:val="none" w:sz="0" w:space="0" w:color="auto"/>
          <w:bottom w:val="none" w:sz="0" w:space="0" w:color="auto"/>
          <w:right w:val="single" w:sz="4" w:space="0" w:color="F4B184" w:themeColor="accent2" w:themeTint="97"/>
        </w:tcBorders>
        <w:shd w:val="clear" w:color="FFFFFF" w:fill="auto"/>
      </w:tcPr>
    </w:tblStylePr>
    <w:tblStylePr w:type="lastCol">
      <w:rPr>
        <w:rFonts w:ascii="Arial" w:hAnsi="Arial"/>
        <w:i/>
        <w:color w:val="F4B184" w:themeColor="accent2" w:themeTint="97" w:themeShade="95"/>
        <w:sz w:val="22"/>
      </w:rPr>
      <w:tblPr/>
      <w:tcPr>
        <w:tcBorders>
          <w:top w:val="none" w:sz="0" w:space="0" w:color="auto"/>
          <w:left w:val="single" w:sz="4" w:space="0" w:color="F4B184" w:themeColor="accent2" w:themeTint="97"/>
          <w:bottom w:val="none" w:sz="0" w:space="0" w:color="auto"/>
          <w:right w:val="none" w:sz="0" w:space="0" w:color="auto"/>
        </w:tcBorders>
        <w:shd w:val="clear" w:color="FFFFFF" w:fill="auto"/>
      </w:tc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rFonts w:ascii="Arial" w:hAnsi="Arial"/>
        <w:b/>
        <w:color w:val="A5A5A5" w:themeColor="accent3" w:themeTint="FE" w:themeShade="95"/>
        <w:sz w:val="22"/>
      </w:rPr>
      <w:tblPr/>
      <w:tcPr>
        <w:tcBorders>
          <w:top w:val="none" w:sz="0" w:space="0" w:color="auto"/>
          <w:left w:val="none" w:sz="0" w:space="0" w:color="auto"/>
          <w:bottom w:val="single" w:sz="4" w:space="0" w:color="A5A5A5" w:themeColor="accent3" w:themeTint="FE"/>
          <w:right w:val="none" w:sz="0" w:space="0" w:color="auto"/>
        </w:tcBorders>
        <w:shd w:val="clear" w:color="FFFFFF" w:themeColor="light1" w:fill="FFFFFF" w:themeFill="light1"/>
      </w:tcPr>
    </w:tblStylePr>
    <w:tblStylePr w:type="lastRow">
      <w:rPr>
        <w:rFonts w:ascii="Arial" w:hAnsi="Arial"/>
        <w:b/>
        <w:color w:val="A5A5A5" w:themeColor="accent3" w:themeTint="FE" w:themeShade="95"/>
        <w:sz w:val="22"/>
      </w:rPr>
      <w:tblPr/>
      <w:tcPr>
        <w:tcBorders>
          <w:top w:val="single" w:sz="4" w:space="0" w:color="A5A5A5" w:themeColor="accent3" w:themeTint="FE"/>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5A5A5" w:themeColor="accent3" w:themeTint="FE" w:themeShade="95"/>
        <w:sz w:val="22"/>
      </w:rPr>
      <w:tblPr/>
      <w:tcPr>
        <w:tcBorders>
          <w:top w:val="none" w:sz="0" w:space="0" w:color="auto"/>
          <w:left w:val="none" w:sz="0" w:space="0" w:color="auto"/>
          <w:bottom w:val="none" w:sz="0" w:space="0" w:color="auto"/>
          <w:right w:val="single" w:sz="4" w:space="0" w:color="A5A5A5" w:themeColor="accent3" w:themeTint="FE"/>
        </w:tcBorders>
        <w:shd w:val="clear" w:color="FFFFFF" w:fill="auto"/>
      </w:tcPr>
    </w:tblStylePr>
    <w:tblStylePr w:type="lastCol">
      <w:rPr>
        <w:rFonts w:ascii="Arial" w:hAnsi="Arial"/>
        <w:i/>
        <w:color w:val="A5A5A5" w:themeColor="accent3" w:themeTint="FE" w:themeShade="95"/>
        <w:sz w:val="22"/>
      </w:rPr>
      <w:tblPr/>
      <w:tcPr>
        <w:tcBorders>
          <w:top w:val="none" w:sz="0" w:space="0" w:color="auto"/>
          <w:left w:val="single" w:sz="4" w:space="0" w:color="A5A5A5" w:themeColor="accent3" w:themeTint="FE"/>
          <w:bottom w:val="none" w:sz="0" w:space="0" w:color="auto"/>
          <w:right w:val="none" w:sz="0" w:space="0" w:color="auto"/>
        </w:tcBorders>
        <w:shd w:val="clear" w:color="FFFFFF" w:fill="auto"/>
      </w:tc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rFonts w:ascii="Arial" w:hAnsi="Arial"/>
        <w:b/>
        <w:color w:val="FFD865" w:themeColor="accent4" w:themeTint="9A" w:themeShade="95"/>
        <w:sz w:val="22"/>
      </w:rPr>
      <w:tblPr/>
      <w:tcPr>
        <w:tcBorders>
          <w:top w:val="none" w:sz="0" w:space="0" w:color="auto"/>
          <w:left w:val="none" w:sz="0" w:space="0" w:color="auto"/>
          <w:bottom w:val="single" w:sz="4" w:space="0" w:color="FFD865" w:themeColor="accent4" w:themeTint="9A"/>
          <w:right w:val="none" w:sz="0" w:space="0" w:color="auto"/>
        </w:tcBorders>
        <w:shd w:val="clear" w:color="FFFFFF" w:themeColor="light1" w:fill="FFFFFF" w:themeFill="light1"/>
      </w:tcPr>
    </w:tblStylePr>
    <w:tblStylePr w:type="lastRow">
      <w:rPr>
        <w:rFonts w:ascii="Arial" w:hAnsi="Arial"/>
        <w:b/>
        <w:color w:val="FFD865" w:themeColor="accent4" w:themeTint="9A" w:themeShade="95"/>
        <w:sz w:val="22"/>
      </w:rPr>
      <w:tblPr/>
      <w:tcPr>
        <w:tcBorders>
          <w:top w:val="single" w:sz="4" w:space="0" w:color="FFD865"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sz="0" w:space="0" w:color="auto"/>
          <w:left w:val="none" w:sz="0" w:space="0" w:color="auto"/>
          <w:bottom w:val="none" w:sz="0" w:space="0" w:color="auto"/>
          <w:right w:val="single" w:sz="4" w:space="0" w:color="FFD865" w:themeColor="accent4" w:themeTint="9A"/>
        </w:tcBorders>
        <w:shd w:val="clear" w:color="FFFFFF" w:fill="auto"/>
      </w:tcPr>
    </w:tblStylePr>
    <w:tblStylePr w:type="lastCol">
      <w:rPr>
        <w:rFonts w:ascii="Arial" w:hAnsi="Arial"/>
        <w:i/>
        <w:color w:val="FFD865" w:themeColor="accent4" w:themeTint="9A" w:themeShade="95"/>
        <w:sz w:val="22"/>
      </w:rPr>
      <w:tblPr/>
      <w:tcPr>
        <w:tcBorders>
          <w:top w:val="none" w:sz="0" w:space="0" w:color="auto"/>
          <w:left w:val="single" w:sz="4" w:space="0" w:color="FFD865" w:themeColor="accent4" w:themeTint="9A"/>
          <w:bottom w:val="none" w:sz="0" w:space="0" w:color="auto"/>
          <w:right w:val="none" w:sz="0" w:space="0" w:color="auto"/>
        </w:tcBorders>
        <w:shd w:val="clear" w:color="FFFFFF" w:fill="auto"/>
      </w:tc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sz="4" w:space="0" w:color="A2C6E7" w:themeColor="accent5" w:themeTint="90"/>
        <w:right w:val="single" w:sz="4" w:space="0" w:color="A2C6E7" w:themeColor="accent5" w:themeTint="90"/>
        <w:insideH w:val="single" w:sz="4" w:space="0" w:color="A2C6E7" w:themeColor="accent5" w:themeTint="90"/>
        <w:insideV w:val="single" w:sz="4" w:space="0" w:color="A2C6E7" w:themeColor="accent5" w:themeTint="90"/>
      </w:tblBorders>
    </w:tblPr>
    <w:tblStylePr w:type="firstRow">
      <w:rPr>
        <w:rFonts w:ascii="Arial" w:hAnsi="Arial"/>
        <w:b/>
        <w:color w:val="245A8D" w:themeColor="accent5" w:themeShade="95"/>
        <w:sz w:val="22"/>
      </w:rPr>
      <w:tblPr/>
      <w:tcPr>
        <w:tcBorders>
          <w:top w:val="none" w:sz="0" w:space="0" w:color="auto"/>
          <w:left w:val="none" w:sz="0" w:space="0" w:color="auto"/>
          <w:bottom w:val="single" w:sz="4" w:space="0" w:color="A2C6E7" w:themeColor="accent5" w:themeTint="90"/>
          <w:right w:val="none" w:sz="0" w:space="0" w:color="auto"/>
        </w:tcBorders>
        <w:shd w:val="clear" w:color="FFFFFF" w:themeColor="light1" w:fill="FFFFFF" w:themeFill="light1"/>
      </w:tcPr>
    </w:tblStylePr>
    <w:tblStylePr w:type="lastRow">
      <w:rPr>
        <w:rFonts w:ascii="Arial" w:hAnsi="Arial"/>
        <w:b/>
        <w:color w:val="245A8D" w:themeColor="accent5" w:themeShade="95"/>
        <w:sz w:val="22"/>
      </w:rPr>
      <w:tblPr/>
      <w:tcPr>
        <w:tcBorders>
          <w:top w:val="single" w:sz="4" w:space="0" w:color="A2C6E7" w:themeColor="accent5"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45A8D" w:themeColor="accent5" w:themeShade="95"/>
        <w:sz w:val="22"/>
      </w:rPr>
      <w:tblPr/>
      <w:tcPr>
        <w:tcBorders>
          <w:top w:val="none" w:sz="0" w:space="0" w:color="auto"/>
          <w:left w:val="none" w:sz="0" w:space="0" w:color="auto"/>
          <w:bottom w:val="none" w:sz="0" w:space="0" w:color="auto"/>
          <w:right w:val="single" w:sz="4" w:space="0" w:color="A2C6E7" w:themeColor="accent5" w:themeTint="90"/>
        </w:tcBorders>
        <w:shd w:val="clear" w:color="FFFFFF" w:fill="auto"/>
      </w:tcPr>
    </w:tblStylePr>
    <w:tblStylePr w:type="lastCol">
      <w:rPr>
        <w:rFonts w:ascii="Arial" w:hAnsi="Arial"/>
        <w:i/>
        <w:color w:val="245A8D" w:themeColor="accent5" w:themeShade="95"/>
        <w:sz w:val="22"/>
      </w:rPr>
      <w:tblPr/>
      <w:tcPr>
        <w:tcBorders>
          <w:top w:val="none" w:sz="0" w:space="0" w:color="auto"/>
          <w:left w:val="single" w:sz="4" w:space="0" w:color="A2C6E7" w:themeColor="accent5" w:themeTint="90"/>
          <w:bottom w:val="none" w:sz="0" w:space="0" w:color="auto"/>
          <w:right w:val="none" w:sz="0" w:space="0" w:color="auto"/>
        </w:tcBorders>
        <w:shd w:val="clear" w:color="FFFFFF" w:fill="auto"/>
      </w:tcPr>
    </w:tblStylePr>
    <w:tblStylePr w:type="band1Vert">
      <w:tblPr/>
      <w:tcPr>
        <w:shd w:val="clear" w:color="DDEAF6" w:themeColor="accent5" w:themeTint="34" w:fill="DDEAF6" w:themeFill="accent5" w:themeFillTint="34"/>
      </w:tcPr>
    </w:tblStylePr>
    <w:tblStylePr w:type="band1Horz">
      <w:rPr>
        <w:rFonts w:ascii="Arial" w:hAnsi="Arial"/>
        <w:color w:val="245A8D" w:themeColor="accent5" w:themeShade="95"/>
        <w:sz w:val="22"/>
      </w:rPr>
      <w:tblPr/>
      <w:tcPr>
        <w:shd w:val="clear" w:color="DDEAF6" w:themeColor="accent5" w:themeTint="34" w:fill="DDEAF6" w:themeFill="accent5" w:themeFillTint="34"/>
      </w:tcPr>
    </w:tblStylePr>
    <w:tblStylePr w:type="band2Horz">
      <w:rPr>
        <w:rFonts w:ascii="Arial" w:hAnsi="Arial"/>
        <w:color w:val="245A8D"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416429" w:themeColor="accent6" w:themeShade="95"/>
        <w:sz w:val="22"/>
      </w:rPr>
      <w:tblPr/>
      <w:tcPr>
        <w:tcBorders>
          <w:top w:val="none" w:sz="0" w:space="0" w:color="auto"/>
          <w:left w:val="none" w:sz="0" w:space="0" w:color="auto"/>
          <w:bottom w:val="single" w:sz="4" w:space="0" w:color="ADD394" w:themeColor="accent6" w:themeTint="90"/>
          <w:right w:val="none" w:sz="0" w:space="0" w:color="auto"/>
        </w:tcBorders>
        <w:shd w:val="clear" w:color="FFFFFF" w:themeColor="light1" w:fill="FFFFFF" w:themeFill="light1"/>
      </w:tcPr>
    </w:tblStylePr>
    <w:tblStylePr w:type="lastRow">
      <w:rPr>
        <w:rFonts w:ascii="Arial" w:hAnsi="Arial"/>
        <w:b/>
        <w:color w:val="416429" w:themeColor="accent6" w:themeShade="95"/>
        <w:sz w:val="22"/>
      </w:rPr>
      <w:tblPr/>
      <w:tcPr>
        <w:tcBorders>
          <w:top w:val="single" w:sz="4" w:space="0" w:color="ADD394" w:themeColor="accent6"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416429" w:themeColor="accent6" w:themeShade="95"/>
        <w:sz w:val="22"/>
      </w:rPr>
      <w:tblPr/>
      <w:tcPr>
        <w:tcBorders>
          <w:top w:val="none" w:sz="0" w:space="0" w:color="auto"/>
          <w:left w:val="none" w:sz="0" w:space="0" w:color="auto"/>
          <w:bottom w:val="none" w:sz="0" w:space="0" w:color="auto"/>
          <w:right w:val="single" w:sz="4" w:space="0" w:color="ADD394" w:themeColor="accent6" w:themeTint="90"/>
        </w:tcBorders>
        <w:shd w:val="clear" w:color="FFFFFF" w:fill="auto"/>
      </w:tcPr>
    </w:tblStylePr>
    <w:tblStylePr w:type="lastCol">
      <w:rPr>
        <w:rFonts w:ascii="Arial" w:hAnsi="Arial"/>
        <w:i/>
        <w:color w:val="416429" w:themeColor="accent6" w:themeShade="95"/>
        <w:sz w:val="22"/>
      </w:rPr>
      <w:tblPr/>
      <w:tcPr>
        <w:tcBorders>
          <w:top w:val="none" w:sz="0" w:space="0" w:color="auto"/>
          <w:left w:val="single" w:sz="4" w:space="0" w:color="ADD394" w:themeColor="accent6" w:themeTint="90"/>
          <w:bottom w:val="none" w:sz="0" w:space="0" w:color="auto"/>
          <w:right w:val="none" w:sz="0" w:space="0" w:color="auto"/>
        </w:tcBorders>
        <w:shd w:val="clear" w:color="FFFFFF" w:fill="auto"/>
      </w:tcPr>
    </w:tblStylePr>
    <w:tblStylePr w:type="band1Vert">
      <w:tblPr/>
      <w:tcPr>
        <w:shd w:val="clear" w:color="E1EFD8" w:themeColor="accent6" w:themeTint="34" w:fill="E1EFD8" w:themeFill="accent6" w:themeFillTint="34"/>
      </w:tcPr>
    </w:tblStylePr>
    <w:tblStylePr w:type="band1Horz">
      <w:rPr>
        <w:rFonts w:ascii="Arial" w:hAnsi="Arial"/>
        <w:color w:val="416429" w:themeColor="accent6" w:themeShade="95"/>
        <w:sz w:val="22"/>
      </w:rPr>
      <w:tblPr/>
      <w:tcPr>
        <w:shd w:val="clear" w:color="E1EFD8" w:themeColor="accent6" w:themeTint="34" w:fill="E1EFD8" w:themeFill="accent6" w:themeFillTint="34"/>
      </w:tcPr>
    </w:tblStylePr>
    <w:tblStylePr w:type="band2Horz">
      <w:rPr>
        <w:rFonts w:ascii="Arial" w:hAnsi="Arial"/>
        <w:color w:val="416429"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472C4" w:themeColor="accent1"/>
          <w:right w:val="none" w:sz="4" w:space="0" w:color="000000"/>
        </w:tcBorders>
      </w:tcPr>
    </w:tblStylePr>
    <w:tblStylePr w:type="lastRow">
      <w:rPr>
        <w:b/>
        <w:color w:val="404040"/>
      </w:rPr>
      <w:tblPr/>
      <w:tcPr>
        <w:tcBorders>
          <w:top w:val="single" w:sz="4" w:space="0" w:color="4472C4"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CFDBF0" w:themeColor="accent1" w:themeTint="40" w:fill="CFDBF0" w:themeFill="accent1" w:themeFillTint="40"/>
      </w:tcPr>
    </w:tblStylePr>
    <w:tblStylePr w:type="band1Horz">
      <w:tblPr/>
      <w:tcPr>
        <w:shd w:val="clear" w:color="CFDBF0" w:themeColor="accent1" w:themeTint="40" w:fill="CFDBF0"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ED7D31" w:themeColor="accent2"/>
          <w:right w:val="none" w:sz="4" w:space="0" w:color="000000"/>
        </w:tcBorders>
      </w:tcPr>
    </w:tblStylePr>
    <w:tblStylePr w:type="lastRow">
      <w:rPr>
        <w:b/>
        <w:color w:val="404040"/>
      </w:rPr>
      <w:tblPr/>
      <w:tcPr>
        <w:tcBorders>
          <w:top w:val="single" w:sz="4" w:space="0" w:color="ED7D31"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ADECB" w:themeColor="accent2" w:themeTint="40" w:fill="FADECB" w:themeFill="accent2" w:themeFillTint="40"/>
      </w:tcPr>
    </w:tblStylePr>
    <w:tblStylePr w:type="band1Horz">
      <w:tblPr/>
      <w:tcPr>
        <w:shd w:val="clear" w:color="FADECB" w:themeColor="accent2" w:themeTint="40" w:fill="FADECB"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A5A5A5" w:themeColor="accent3"/>
          <w:right w:val="none" w:sz="4" w:space="0" w:color="000000"/>
        </w:tcBorders>
      </w:tcPr>
    </w:tblStylePr>
    <w:tblStylePr w:type="lastRow">
      <w:rPr>
        <w:b/>
        <w:color w:val="404040"/>
      </w:rPr>
      <w:tblPr/>
      <w:tcPr>
        <w:tcBorders>
          <w:top w:val="single" w:sz="4" w:space="0" w:color="A5A5A5"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8E8E8" w:themeColor="accent3" w:themeTint="40" w:fill="E8E8E8" w:themeFill="accent3" w:themeFillTint="40"/>
      </w:tcPr>
    </w:tblStylePr>
    <w:tblStylePr w:type="band1Horz">
      <w:tblPr/>
      <w:tcPr>
        <w:shd w:val="clear" w:color="E8E8E8" w:themeColor="accent3" w:themeTint="40" w:fill="E8E8E8"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FFC000" w:themeColor="accent4"/>
          <w:right w:val="none" w:sz="4" w:space="0" w:color="000000"/>
        </w:tcBorders>
      </w:tcPr>
    </w:tblStylePr>
    <w:tblStylePr w:type="lastRow">
      <w:rPr>
        <w:b/>
        <w:color w:val="404040"/>
      </w:rPr>
      <w:tblPr/>
      <w:tcPr>
        <w:tcBorders>
          <w:top w:val="single" w:sz="4" w:space="0" w:color="FFC000"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EFBF" w:themeColor="accent4" w:themeTint="40" w:fill="FFEFBF" w:themeFill="accent4" w:themeFillTint="40"/>
      </w:tcPr>
    </w:tblStylePr>
    <w:tblStylePr w:type="band1Horz">
      <w:tblPr/>
      <w:tcPr>
        <w:shd w:val="clear" w:color="FFEFBF" w:themeColor="accent4" w:themeTint="40" w:fill="FFEFBF"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5B9BD5" w:themeColor="accent5"/>
          <w:right w:val="none" w:sz="4" w:space="0" w:color="000000"/>
        </w:tcBorders>
      </w:tcPr>
    </w:tblStylePr>
    <w:tblStylePr w:type="lastRow">
      <w:rPr>
        <w:b/>
        <w:color w:val="404040"/>
      </w:rPr>
      <w:tblPr/>
      <w:tcPr>
        <w:tcBorders>
          <w:top w:val="single" w:sz="4" w:space="0" w:color="5B9BD5"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5E5F4" w:themeColor="accent5" w:themeTint="40" w:fill="D5E5F4" w:themeFill="accent5" w:themeFillTint="40"/>
      </w:tcPr>
    </w:tblStylePr>
    <w:tblStylePr w:type="band1Horz">
      <w:tblPr/>
      <w:tcPr>
        <w:shd w:val="clear" w:color="D5E5F4" w:themeColor="accent5" w:themeTint="40" w:fill="D5E5F4"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70AD47" w:themeColor="accent6"/>
          <w:right w:val="none" w:sz="4" w:space="0" w:color="000000"/>
        </w:tcBorders>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AEBCF" w:themeColor="accent6" w:themeTint="40" w:fill="DAEBCF" w:themeFill="accent6" w:themeFillTint="40"/>
      </w:tcPr>
    </w:tblStylePr>
    <w:tblStylePr w:type="band1Horz">
      <w:tblPr/>
      <w:tcPr>
        <w:shd w:val="clear" w:color="DAEBCF" w:themeColor="accent6" w:themeTint="40" w:fill="DAEBCF" w:themeFill="accent6" w:themeFillTint="40"/>
      </w:tcPr>
    </w:tblStylePr>
  </w:style>
  <w:style w:type="table" w:styleId="ListTable2">
    <w:name w:val="List Table 2"/>
    <w:basedOn w:val="TableNormal"/>
    <w:uiPriority w:val="99"/>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sz="4" w:space="0" w:color="95AFDD" w:themeColor="accent1" w:themeTint="90"/>
        <w:bottom w:val="single" w:sz="4" w:space="0" w:color="95AFDD" w:themeColor="accent1" w:themeTint="90"/>
        <w:insideH w:val="single" w:sz="4" w:space="0" w:color="95AFDD" w:themeColor="accent1" w:themeTint="90"/>
      </w:tblBorders>
    </w:tblPr>
    <w:tblStylePr w:type="firstRow">
      <w:rPr>
        <w:rFonts w:ascii="Arial" w:hAnsi="Arial"/>
        <w:b/>
        <w:color w:val="404040"/>
        <w:sz w:val="22"/>
      </w:rPr>
      <w:tblPr/>
      <w:tcPr>
        <w:tcBorders>
          <w:top w:val="single" w:sz="4" w:space="0" w:color="95AFDD" w:themeColor="accent1" w:themeTint="90"/>
          <w:left w:val="none" w:sz="4" w:space="0" w:color="000000"/>
          <w:bottom w:val="single" w:sz="4" w:space="0" w:color="95AFDD" w:themeColor="accent1" w:themeTint="90"/>
          <w:right w:val="none" w:sz="4" w:space="0" w:color="000000"/>
        </w:tcBorders>
      </w:tcPr>
    </w:tblStylePr>
    <w:tblStylePr w:type="lastRow">
      <w:rPr>
        <w:rFonts w:ascii="Arial" w:hAnsi="Arial"/>
        <w:b/>
        <w:color w:val="404040"/>
        <w:sz w:val="22"/>
      </w:rPr>
      <w:tblPr/>
      <w:tcPr>
        <w:tcBorders>
          <w:top w:val="single" w:sz="4" w:space="0" w:color="95AFDD" w:themeColor="accent1" w:themeTint="90"/>
          <w:left w:val="none" w:sz="4" w:space="0" w:color="000000"/>
          <w:bottom w:val="single" w:sz="4" w:space="0" w:color="95AFDD"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CFDBF0" w:themeColor="accent1" w:themeTint="40" w:fill="CFDBF0" w:themeFill="accent1" w:themeFillTint="40"/>
      </w:tcPr>
    </w:tblStylePr>
    <w:tblStylePr w:type="band1Horz">
      <w:rPr>
        <w:rFonts w:ascii="Arial" w:hAnsi="Arial"/>
        <w:color w:val="404040"/>
        <w:sz w:val="22"/>
      </w:rPr>
      <w:tblPr/>
      <w:tcPr>
        <w:shd w:val="clear" w:color="CFDBF0" w:themeColor="accent1" w:themeTint="40" w:fill="CFDBF0" w:themeFill="accent1" w:themeFillTint="40"/>
      </w:tcPr>
    </w:tblStylePr>
  </w:style>
  <w:style w:type="table" w:styleId="ListTable2-Accent2">
    <w:name w:val="List Table 2 Accent 2"/>
    <w:basedOn w:val="TableNormal"/>
    <w:uiPriority w:val="99"/>
    <w:tblPr>
      <w:tblStyleRowBandSize w:val="1"/>
      <w:tblStyleColBandSize w:val="1"/>
      <w:tblBorders>
        <w:top w:val="single" w:sz="4" w:space="0" w:color="F4B58A" w:themeColor="accent2" w:themeTint="90"/>
        <w:bottom w:val="single" w:sz="4" w:space="0" w:color="F4B58A" w:themeColor="accent2" w:themeTint="90"/>
        <w:insideH w:val="single" w:sz="4" w:space="0" w:color="F4B58A" w:themeColor="accent2" w:themeTint="90"/>
      </w:tblBorders>
    </w:tblPr>
    <w:tblStylePr w:type="fir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la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2-Accent3">
    <w:name w:val="List Table 2 Accent 3"/>
    <w:basedOn w:val="TableNormal"/>
    <w:uiPriority w:val="99"/>
    <w:tblPr>
      <w:tblStyleRowBandSize w:val="1"/>
      <w:tblStyleColBandSize w:val="1"/>
      <w:tblBorders>
        <w:top w:val="single" w:sz="4" w:space="0" w:color="CCCCCC" w:themeColor="accent3" w:themeTint="90"/>
        <w:bottom w:val="single" w:sz="4" w:space="0" w:color="CCCCCC" w:themeColor="accent3" w:themeTint="90"/>
        <w:insideH w:val="single" w:sz="4" w:space="0" w:color="CCCCCC" w:themeColor="accent3" w:themeTint="90"/>
      </w:tblBorders>
    </w:tblPr>
    <w:tblStylePr w:type="fir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la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2-Accent4">
    <w:name w:val="List Table 2 Accent 4"/>
    <w:basedOn w:val="TableNormal"/>
    <w:uiPriority w:val="99"/>
    <w:tblPr>
      <w:tblStyleRowBandSize w:val="1"/>
      <w:tblStyleColBandSize w:val="1"/>
      <w:tblBorders>
        <w:top w:val="single" w:sz="4" w:space="0" w:color="FFDB6F" w:themeColor="accent4" w:themeTint="90"/>
        <w:bottom w:val="single" w:sz="4" w:space="0" w:color="FFDB6F" w:themeColor="accent4" w:themeTint="90"/>
        <w:insideH w:val="single" w:sz="4" w:space="0" w:color="FFDB6F" w:themeColor="accent4" w:themeTint="90"/>
      </w:tblBorders>
    </w:tblPr>
    <w:tblStylePr w:type="fir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la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2-Accent5">
    <w:name w:val="List Table 2 Accent 5"/>
    <w:basedOn w:val="TableNormal"/>
    <w:uiPriority w:val="99"/>
    <w:tblPr>
      <w:tblStyleRowBandSize w:val="1"/>
      <w:tblStyleColBandSize w:val="1"/>
      <w:tblBorders>
        <w:top w:val="single" w:sz="4" w:space="0" w:color="A2C6E7" w:themeColor="accent5" w:themeTint="90"/>
        <w:bottom w:val="single" w:sz="4" w:space="0" w:color="A2C6E7" w:themeColor="accent5" w:themeTint="90"/>
        <w:insideH w:val="single" w:sz="4" w:space="0" w:color="A2C6E7" w:themeColor="accent5" w:themeTint="90"/>
      </w:tblBorders>
    </w:tblPr>
    <w:tblStylePr w:type="firstRow">
      <w:rPr>
        <w:rFonts w:ascii="Arial" w:hAnsi="Arial"/>
        <w:b/>
        <w:color w:val="404040"/>
        <w:sz w:val="22"/>
      </w:rPr>
      <w:tblPr/>
      <w:tcPr>
        <w:tcBorders>
          <w:top w:val="single" w:sz="4" w:space="0" w:color="A2C6E7" w:themeColor="accent5" w:themeTint="90"/>
          <w:left w:val="none" w:sz="4" w:space="0" w:color="000000"/>
          <w:bottom w:val="single" w:sz="4" w:space="0" w:color="A2C6E7" w:themeColor="accent5" w:themeTint="90"/>
          <w:right w:val="none" w:sz="4" w:space="0" w:color="000000"/>
        </w:tcBorders>
      </w:tcPr>
    </w:tblStylePr>
    <w:tblStylePr w:type="lastRow">
      <w:rPr>
        <w:rFonts w:ascii="Arial" w:hAnsi="Arial"/>
        <w:b/>
        <w:color w:val="404040"/>
        <w:sz w:val="22"/>
      </w:rPr>
      <w:tblPr/>
      <w:tcPr>
        <w:tcBorders>
          <w:top w:val="single" w:sz="4" w:space="0" w:color="A2C6E7" w:themeColor="accent5" w:themeTint="90"/>
          <w:left w:val="none" w:sz="4" w:space="0" w:color="000000"/>
          <w:bottom w:val="single" w:sz="4" w:space="0" w:color="A2C6E7"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5E5F4" w:themeColor="accent5" w:themeTint="40" w:fill="D5E5F4" w:themeFill="accent5" w:themeFillTint="40"/>
      </w:tcPr>
    </w:tblStylePr>
    <w:tblStylePr w:type="band1Horz">
      <w:rPr>
        <w:rFonts w:ascii="Arial" w:hAnsi="Arial"/>
        <w:color w:val="404040"/>
        <w:sz w:val="22"/>
      </w:rPr>
      <w:tblPr/>
      <w:tcPr>
        <w:shd w:val="clear" w:color="D5E5F4" w:themeColor="accent5" w:themeTint="40" w:fill="D5E5F4" w:themeFill="accent5" w:themeFillTint="40"/>
      </w:tcPr>
    </w:tblStylePr>
  </w:style>
  <w:style w:type="table" w:styleId="ListTable2-Accent6">
    <w:name w:val="List Table 2 Accent 6"/>
    <w:basedOn w:val="TableNormal"/>
    <w:uiPriority w:val="99"/>
    <w:tblPr>
      <w:tblStyleRowBandSize w:val="1"/>
      <w:tblStyleColBandSize w:val="1"/>
      <w:tblBorders>
        <w:top w:val="single" w:sz="4" w:space="0" w:color="ADD394" w:themeColor="accent6" w:themeTint="90"/>
        <w:bottom w:val="single" w:sz="4" w:space="0" w:color="ADD394" w:themeColor="accent6" w:themeTint="90"/>
        <w:insideH w:val="single" w:sz="4" w:space="0" w:color="ADD394" w:themeColor="accent6" w:themeTint="90"/>
      </w:tblBorders>
    </w:tblPr>
    <w:tblStylePr w:type="fir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la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3">
    <w:name w:val="List Table 3"/>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rFonts w:ascii="Arial" w:hAnsi="Arial"/>
        <w:b/>
        <w:color w:val="FFFFFF"/>
        <w:sz w:val="22"/>
      </w:rPr>
      <w:tblPr/>
      <w:tcPr>
        <w:shd w:val="clear" w:color="4472C4" w:themeColor="accent1" w:fill="4472C4"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472C4" w:themeColor="accent1"/>
          <w:right w:val="single" w:sz="4" w:space="0" w:color="4472C4" w:themeColor="accent1"/>
        </w:tcBorders>
      </w:tcPr>
    </w:tblStylePr>
    <w:tblStylePr w:type="band1Horz">
      <w:rPr>
        <w:rFonts w:ascii="Arial" w:hAnsi="Arial"/>
        <w:color w:val="404040"/>
        <w:sz w:val="22"/>
      </w:rPr>
      <w:tblPr/>
      <w:tcPr>
        <w:tcBorders>
          <w:top w:val="single" w:sz="4" w:space="0" w:color="4472C4" w:themeColor="accent1"/>
          <w:bottom w:val="single" w:sz="4" w:space="0" w:color="4472C4" w:themeColor="accent1"/>
        </w:tcBorders>
      </w:tcPr>
    </w:tblStylePr>
  </w:style>
  <w:style w:type="table" w:styleId="ListTable3-Accent2">
    <w:name w:val="List Table 3 Accent 2"/>
    <w:basedOn w:val="TableNormal"/>
    <w:uiPriority w:val="99"/>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blBorders>
    </w:tblPr>
    <w:tblStylePr w:type="firstRow">
      <w:rPr>
        <w:rFonts w:ascii="Arial" w:hAnsi="Arial"/>
        <w:b/>
        <w:color w:val="FFFFFF"/>
        <w:sz w:val="22"/>
      </w:rPr>
      <w:tblPr/>
      <w:tcPr>
        <w:shd w:val="clear" w:color="F4B184" w:themeColor="accent2" w:themeTint="97" w:fill="F4B184"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4B184" w:themeColor="accent2" w:themeTint="97"/>
          <w:right w:val="single" w:sz="4" w:space="0" w:color="F4B184" w:themeColor="accent2" w:themeTint="97"/>
        </w:tcBorders>
      </w:tcPr>
    </w:tblStylePr>
    <w:tblStylePr w:type="band1Horz">
      <w:rPr>
        <w:rFonts w:ascii="Arial" w:hAnsi="Arial"/>
        <w:color w:val="404040"/>
        <w:sz w:val="22"/>
      </w:rPr>
      <w:tblPr/>
      <w:tcPr>
        <w:tcBorders>
          <w:top w:val="single" w:sz="4" w:space="0" w:color="F4B184" w:themeColor="accent2" w:themeTint="97"/>
          <w:bottom w:val="single" w:sz="4" w:space="0" w:color="F4B184" w:themeColor="accent2" w:themeTint="97"/>
        </w:tcBorders>
      </w:tcPr>
    </w:tblStylePr>
  </w:style>
  <w:style w:type="table" w:styleId="ListTable3-Accent3">
    <w:name w:val="List Table 3 Accent 3"/>
    <w:basedOn w:val="TableNormal"/>
    <w:uiPriority w:val="99"/>
    <w:tblPr>
      <w:tblStyleRowBandSize w:val="1"/>
      <w:tblStyleColBandSize w:val="1"/>
      <w:tblBorders>
        <w:top w:val="single" w:sz="4" w:space="0" w:color="C9C9C9" w:themeColor="accent3" w:themeTint="98"/>
        <w:left w:val="single" w:sz="4" w:space="0" w:color="C9C9C9" w:themeColor="accent3" w:themeTint="98"/>
        <w:bottom w:val="single" w:sz="4" w:space="0" w:color="C9C9C9" w:themeColor="accent3" w:themeTint="98"/>
        <w:right w:val="single" w:sz="4" w:space="0" w:color="C9C9C9" w:themeColor="accent3" w:themeTint="98"/>
      </w:tblBorders>
    </w:tblPr>
    <w:tblStylePr w:type="firstRow">
      <w:rPr>
        <w:rFonts w:ascii="Arial" w:hAnsi="Arial"/>
        <w:b/>
        <w:color w:val="FFFFFF"/>
        <w:sz w:val="22"/>
      </w:rPr>
      <w:tblPr/>
      <w:tcPr>
        <w:shd w:val="clear" w:color="C9C9C9" w:themeColor="accent3" w:themeTint="98" w:fill="C9C9C9"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9C9C9" w:themeColor="accent3" w:themeTint="98"/>
          <w:right w:val="single" w:sz="4" w:space="0" w:color="C9C9C9" w:themeColor="accent3" w:themeTint="98"/>
        </w:tcBorders>
      </w:tcPr>
    </w:tblStylePr>
    <w:tblStylePr w:type="band1Horz">
      <w:rPr>
        <w:rFonts w:ascii="Arial" w:hAnsi="Arial"/>
        <w:color w:val="404040"/>
        <w:sz w:val="22"/>
      </w:rPr>
      <w:tblPr/>
      <w:tcPr>
        <w:tcBorders>
          <w:top w:val="single" w:sz="4" w:space="0" w:color="C9C9C9" w:themeColor="accent3" w:themeTint="98"/>
          <w:bottom w:val="single" w:sz="4" w:space="0" w:color="C9C9C9" w:themeColor="accent3" w:themeTint="98"/>
        </w:tcBorders>
      </w:tcPr>
    </w:tblStylePr>
  </w:style>
  <w:style w:type="table" w:styleId="ListTable3-Accent4">
    <w:name w:val="List Table 3 Accent 4"/>
    <w:basedOn w:val="TableNormal"/>
    <w:uiPriority w:val="99"/>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blBorders>
    </w:tblPr>
    <w:tblStylePr w:type="firstRow">
      <w:rPr>
        <w:rFonts w:ascii="Arial" w:hAnsi="Arial"/>
        <w:b/>
        <w:color w:val="FFFFFF"/>
        <w:sz w:val="22"/>
      </w:rPr>
      <w:tblPr/>
      <w:tcPr>
        <w:shd w:val="clear" w:color="FFD865" w:themeColor="accent4" w:themeTint="9A" w:fill="FFD865"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FD865" w:themeColor="accent4" w:themeTint="9A"/>
          <w:right w:val="single" w:sz="4" w:space="0" w:color="FFD865" w:themeColor="accent4" w:themeTint="9A"/>
        </w:tcBorders>
      </w:tcPr>
    </w:tblStylePr>
    <w:tblStylePr w:type="band1Horz">
      <w:rPr>
        <w:rFonts w:ascii="Arial" w:hAnsi="Arial"/>
        <w:color w:val="404040"/>
        <w:sz w:val="22"/>
      </w:rPr>
      <w:tblPr/>
      <w:tcPr>
        <w:tcBorders>
          <w:top w:val="single" w:sz="4" w:space="0" w:color="FFD865" w:themeColor="accent4" w:themeTint="9A"/>
          <w:bottom w:val="single" w:sz="4" w:space="0" w:color="FFD865" w:themeColor="accent4" w:themeTint="9A"/>
        </w:tcBorders>
      </w:tcPr>
    </w:tblStylePr>
  </w:style>
  <w:style w:type="table" w:styleId="ListTable3-Accent5">
    <w:name w:val="List Table 3 Accent 5"/>
    <w:basedOn w:val="TableNormal"/>
    <w:uiPriority w:val="99"/>
    <w:tblPr>
      <w:tblStyleRowBandSize w:val="1"/>
      <w:tblStyleColBandSize w:val="1"/>
      <w:tblBorders>
        <w:top w:val="single" w:sz="4" w:space="0" w:color="9BC2E5" w:themeColor="accent5" w:themeTint="9A"/>
        <w:left w:val="single" w:sz="4" w:space="0" w:color="9BC2E5" w:themeColor="accent5" w:themeTint="9A"/>
        <w:bottom w:val="single" w:sz="4" w:space="0" w:color="9BC2E5" w:themeColor="accent5" w:themeTint="9A"/>
        <w:right w:val="single" w:sz="4" w:space="0" w:color="9BC2E5" w:themeColor="accent5" w:themeTint="9A"/>
      </w:tblBorders>
    </w:tblPr>
    <w:tblStylePr w:type="firstRow">
      <w:rPr>
        <w:rFonts w:ascii="Arial" w:hAnsi="Arial"/>
        <w:b/>
        <w:color w:val="FFFFFF"/>
        <w:sz w:val="22"/>
      </w:rPr>
      <w:tblPr/>
      <w:tcPr>
        <w:shd w:val="clear" w:color="9BC2E5" w:themeColor="accent5" w:themeTint="9A" w:fill="9BC2E5"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BC2E5" w:themeColor="accent5" w:themeTint="9A"/>
          <w:right w:val="single" w:sz="4" w:space="0" w:color="9BC2E5" w:themeColor="accent5" w:themeTint="9A"/>
        </w:tcBorders>
      </w:tcPr>
    </w:tblStylePr>
    <w:tblStylePr w:type="band1Horz">
      <w:rPr>
        <w:rFonts w:ascii="Arial" w:hAnsi="Arial"/>
        <w:color w:val="404040"/>
        <w:sz w:val="22"/>
      </w:rPr>
      <w:tblPr/>
      <w:tcPr>
        <w:tcBorders>
          <w:top w:val="single" w:sz="4" w:space="0" w:color="9BC2E5" w:themeColor="accent5" w:themeTint="9A"/>
          <w:bottom w:val="single" w:sz="4" w:space="0" w:color="9BC2E5" w:themeColor="accent5" w:themeTint="9A"/>
        </w:tcBorders>
      </w:tcPr>
    </w:tblStylePr>
  </w:style>
  <w:style w:type="table" w:styleId="ListTable3-Accent6">
    <w:name w:val="List Table 3 Accent 6"/>
    <w:basedOn w:val="TableNormal"/>
    <w:uiPriority w:val="99"/>
    <w:tblPr>
      <w:tblStyleRowBandSize w:val="1"/>
      <w:tblStyleColBandSize w:val="1"/>
      <w:tblBorders>
        <w:top w:val="single" w:sz="4" w:space="0" w:color="A9D08E" w:themeColor="accent6" w:themeTint="98"/>
        <w:left w:val="single" w:sz="4" w:space="0" w:color="A9D08E" w:themeColor="accent6" w:themeTint="98"/>
        <w:bottom w:val="single" w:sz="4" w:space="0" w:color="A9D08E" w:themeColor="accent6" w:themeTint="98"/>
        <w:right w:val="single" w:sz="4" w:space="0" w:color="A9D08E" w:themeColor="accent6" w:themeTint="98"/>
      </w:tblBorders>
    </w:tblPr>
    <w:tblStylePr w:type="firstRow">
      <w:rPr>
        <w:rFonts w:ascii="Arial" w:hAnsi="Arial"/>
        <w:b/>
        <w:color w:val="FFFFFF"/>
        <w:sz w:val="22"/>
      </w:rPr>
      <w:tblPr/>
      <w:tcPr>
        <w:shd w:val="clear" w:color="A9D08E" w:themeColor="accent6" w:themeTint="98" w:fill="A9D08E"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A9D08E" w:themeColor="accent6" w:themeTint="98"/>
          <w:right w:val="single" w:sz="4" w:space="0" w:color="A9D08E" w:themeColor="accent6" w:themeTint="98"/>
        </w:tcBorders>
      </w:tcPr>
    </w:tblStylePr>
    <w:tblStylePr w:type="band1Horz">
      <w:rPr>
        <w:rFonts w:ascii="Arial" w:hAnsi="Arial"/>
        <w:color w:val="404040"/>
        <w:sz w:val="22"/>
      </w:rPr>
      <w:tblPr/>
      <w:tcPr>
        <w:tcBorders>
          <w:top w:val="single" w:sz="4" w:space="0" w:color="A9D08E" w:themeColor="accent6" w:themeTint="98"/>
          <w:bottom w:val="single" w:sz="4" w:space="0" w:color="A9D08E" w:themeColor="accent6" w:themeTint="98"/>
        </w:tcBorders>
      </w:tcPr>
    </w:tblStylePr>
  </w:style>
  <w:style w:type="table" w:styleId="ListTable4">
    <w:name w:val="List Table 4"/>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sz="4" w:space="0" w:color="95AFDD" w:themeColor="accent1" w:themeTint="90"/>
        <w:left w:val="single" w:sz="4" w:space="0" w:color="95AFDD" w:themeColor="accent1" w:themeTint="90"/>
        <w:bottom w:val="single" w:sz="4" w:space="0" w:color="95AFDD" w:themeColor="accent1" w:themeTint="90"/>
        <w:right w:val="single" w:sz="4" w:space="0" w:color="95AFDD" w:themeColor="accent1" w:themeTint="90"/>
        <w:insideH w:val="single" w:sz="4" w:space="0" w:color="95AFDD" w:themeColor="accent1" w:themeTint="90"/>
      </w:tblBorders>
    </w:tblPr>
    <w:tblStylePr w:type="firstRow">
      <w:rPr>
        <w:rFonts w:ascii="Arial" w:hAnsi="Arial"/>
        <w:b/>
        <w:color w:val="FFFFFF"/>
        <w:sz w:val="22"/>
      </w:rPr>
      <w:tblPr/>
      <w:tcPr>
        <w:shd w:val="clear" w:color="4472C4" w:themeColor="accent1" w:fill="4472C4"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FDBF0" w:themeColor="accent1" w:themeTint="40" w:fill="CFDBF0" w:themeFill="accent1" w:themeFillTint="40"/>
      </w:tcPr>
    </w:tblStylePr>
    <w:tblStylePr w:type="band1Horz">
      <w:rPr>
        <w:rFonts w:ascii="Arial" w:hAnsi="Arial"/>
        <w:color w:val="404040"/>
        <w:sz w:val="22"/>
      </w:rPr>
      <w:tblPr/>
      <w:tcPr>
        <w:shd w:val="clear" w:color="CFDBF0" w:themeColor="accent1" w:themeTint="40" w:fill="CFDBF0" w:themeFill="accent1" w:themeFillTint="40"/>
      </w:tcPr>
    </w:tblStylePr>
  </w:style>
  <w:style w:type="table" w:styleId="ListTable4-Accent2">
    <w:name w:val="List Table 4 Accent 2"/>
    <w:basedOn w:val="TableNormal"/>
    <w:uiPriority w:val="99"/>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tblBorders>
    </w:tblPr>
    <w:tblStylePr w:type="firstRow">
      <w:rPr>
        <w:rFonts w:ascii="Arial" w:hAnsi="Arial"/>
        <w:b/>
        <w:color w:val="FFFFFF"/>
        <w:sz w:val="22"/>
      </w:rPr>
      <w:tblPr/>
      <w:tcPr>
        <w:shd w:val="clear" w:color="ED7D31" w:themeColor="accent2" w:fill="ED7D31"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4-Accent3">
    <w:name w:val="List Table 4 Accent 3"/>
    <w:basedOn w:val="TableNormal"/>
    <w:uiPriority w:val="99"/>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tblBorders>
    </w:tblPr>
    <w:tblStylePr w:type="firstRow">
      <w:rPr>
        <w:rFonts w:ascii="Arial" w:hAnsi="Arial"/>
        <w:b/>
        <w:color w:val="FFFFFF"/>
        <w:sz w:val="22"/>
      </w:rPr>
      <w:tblPr/>
      <w:tcPr>
        <w:shd w:val="clear" w:color="A5A5A5" w:themeColor="accent3" w:fill="A5A5A5"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4-Accent4">
    <w:name w:val="List Table 4 Accent 4"/>
    <w:basedOn w:val="TableNormal"/>
    <w:uiPriority w:val="99"/>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tblBorders>
    </w:tblPr>
    <w:tblStylePr w:type="firstRow">
      <w:rPr>
        <w:rFonts w:ascii="Arial" w:hAnsi="Arial"/>
        <w:b/>
        <w:color w:val="FFFFFF"/>
        <w:sz w:val="22"/>
      </w:rPr>
      <w:tblPr/>
      <w:tcPr>
        <w:shd w:val="clear" w:color="FFC000" w:themeColor="accent4" w:fill="FFC000"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4-Accent5">
    <w:name w:val="List Table 4 Accent 5"/>
    <w:basedOn w:val="TableNormal"/>
    <w:uiPriority w:val="99"/>
    <w:tblPr>
      <w:tblStyleRowBandSize w:val="1"/>
      <w:tblStyleColBandSize w:val="1"/>
      <w:tblBorders>
        <w:top w:val="single" w:sz="4" w:space="0" w:color="A2C6E7" w:themeColor="accent5" w:themeTint="90"/>
        <w:left w:val="single" w:sz="4" w:space="0" w:color="A2C6E7" w:themeColor="accent5" w:themeTint="90"/>
        <w:bottom w:val="single" w:sz="4" w:space="0" w:color="A2C6E7" w:themeColor="accent5" w:themeTint="90"/>
        <w:right w:val="single" w:sz="4" w:space="0" w:color="A2C6E7" w:themeColor="accent5" w:themeTint="90"/>
        <w:insideH w:val="single" w:sz="4" w:space="0" w:color="A2C6E7" w:themeColor="accent5" w:themeTint="90"/>
      </w:tblBorders>
    </w:tblPr>
    <w:tblStylePr w:type="firstRow">
      <w:rPr>
        <w:rFonts w:ascii="Arial" w:hAnsi="Arial"/>
        <w:b/>
        <w:color w:val="FFFFFF"/>
        <w:sz w:val="22"/>
      </w:rPr>
      <w:tblPr/>
      <w:tcPr>
        <w:shd w:val="clear" w:color="5B9BD5" w:themeColor="accent5" w:fill="5B9BD5"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5E5F4" w:themeColor="accent5" w:themeTint="40" w:fill="D5E5F4" w:themeFill="accent5" w:themeFillTint="40"/>
      </w:tcPr>
    </w:tblStylePr>
    <w:tblStylePr w:type="band1Horz">
      <w:rPr>
        <w:rFonts w:ascii="Arial" w:hAnsi="Arial"/>
        <w:color w:val="404040"/>
        <w:sz w:val="22"/>
      </w:rPr>
      <w:tblPr/>
      <w:tcPr>
        <w:shd w:val="clear" w:color="D5E5F4" w:themeColor="accent5" w:themeTint="40" w:fill="D5E5F4" w:themeFill="accent5" w:themeFillTint="40"/>
      </w:tcPr>
    </w:tblStylePr>
  </w:style>
  <w:style w:type="table" w:styleId="ListTable4-Accent6">
    <w:name w:val="List Table 4 Accent 6"/>
    <w:basedOn w:val="TableNormal"/>
    <w:uiPriority w:val="99"/>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tblBorders>
    </w:tblPr>
    <w:tblStylePr w:type="firstRow">
      <w:rPr>
        <w:rFonts w:ascii="Arial" w:hAnsi="Arial"/>
        <w:b/>
        <w:color w:val="FFFFFF"/>
        <w:sz w:val="22"/>
      </w:rPr>
      <w:tblPr/>
      <w:tcPr>
        <w:shd w:val="clear" w:color="70AD47" w:themeColor="accent6" w:fill="70AD47"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5Dark">
    <w:name w:val="List Table 5 Dark"/>
    <w:basedOn w:val="TableNormal"/>
    <w:uiPriority w:val="99"/>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sz="32" w:space="0" w:color="4472C4" w:themeColor="accent1"/>
        <w:left w:val="single" w:sz="32" w:space="0" w:color="4472C4" w:themeColor="accent1"/>
        <w:bottom w:val="single" w:sz="32" w:space="0" w:color="4472C4" w:themeColor="accent1"/>
        <w:right w:val="single" w:sz="32" w:space="0" w:color="4472C4" w:themeColor="accent1"/>
      </w:tblBorders>
      <w:shd w:val="clear" w:color="4472C4" w:themeColor="accent1" w:fill="4472C4" w:themeFill="accent1"/>
    </w:tblPr>
    <w:tblStylePr w:type="firstRow">
      <w:rPr>
        <w:rFonts w:ascii="Arial" w:hAnsi="Arial"/>
        <w:b/>
        <w:color w:val="FFFFFF" w:themeColor="light1"/>
        <w:sz w:val="22"/>
      </w:rPr>
      <w:tblPr/>
      <w:tcPr>
        <w:tcBorders>
          <w:top w:val="single" w:sz="32" w:space="0" w:color="4472C4" w:themeColor="accent1"/>
          <w:bottom w:val="single" w:sz="12" w:space="0" w:color="FFFFFF" w:themeColor="light1"/>
        </w:tcBorders>
        <w:shd w:val="clear" w:color="4472C4" w:themeColor="accent1" w:fill="4472C4"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472C4" w:themeColor="accent1"/>
          <w:right w:val="single" w:sz="4" w:space="0" w:color="FFFFFF" w:themeColor="light1"/>
        </w:tcBorders>
      </w:tcPr>
    </w:tblStylePr>
    <w:tblStylePr w:type="lastCol">
      <w:tblPr/>
      <w:tcPr>
        <w:tcBorders>
          <w:left w:val="single" w:sz="4" w:space="0" w:color="FFFFFF" w:themeColor="light1"/>
          <w:right w:val="single" w:sz="32" w:space="0" w:color="4472C4" w:themeColor="accent1"/>
        </w:tcBorders>
      </w:tcPr>
    </w:tblStylePr>
    <w:tblStylePr w:type="band1Vert">
      <w:tblPr/>
      <w:tcPr>
        <w:tcBorders>
          <w:left w:val="single" w:sz="4" w:space="0" w:color="FFFFFF" w:themeColor="light1"/>
          <w:right w:val="single" w:sz="4" w:space="0" w:color="FFFFFF" w:themeColor="light1"/>
        </w:tcBorders>
        <w:shd w:val="clear" w:color="4472C4" w:themeColor="accent1" w:fill="4472C4"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472C4" w:themeColor="accent1" w:fill="4472C4" w:themeFill="accent1"/>
      </w:tcPr>
    </w:tblStylePr>
    <w:tblStylePr w:type="band2Horz">
      <w:tblPr/>
      <w:tcPr>
        <w:tcBorders>
          <w:top w:val="single" w:sz="4" w:space="0" w:color="FFFFFF" w:themeColor="light1"/>
          <w:bottom w:val="single" w:sz="4" w:space="0" w:color="FFFFFF" w:themeColor="light1"/>
        </w:tcBorders>
        <w:shd w:val="clear" w:color="4472C4" w:themeColor="accent1" w:fill="4472C4" w:themeFill="accent1"/>
      </w:tcPr>
    </w:tblStylePr>
  </w:style>
  <w:style w:type="table" w:styleId="ListTable5Dark-Accent2">
    <w:name w:val="List Table 5 Dark Accent 2"/>
    <w:basedOn w:val="TableNormal"/>
    <w:uiPriority w:val="99"/>
    <w:tblPr>
      <w:tblStyleRowBandSize w:val="1"/>
      <w:tblStyleColBandSize w:val="1"/>
      <w:tblBorders>
        <w:top w:val="single" w:sz="32" w:space="0" w:color="F4B184" w:themeColor="accent2" w:themeTint="97"/>
        <w:left w:val="single" w:sz="32" w:space="0" w:color="F4B184" w:themeColor="accent2" w:themeTint="97"/>
        <w:bottom w:val="single" w:sz="32" w:space="0" w:color="F4B184" w:themeColor="accent2" w:themeTint="97"/>
        <w:right w:val="single" w:sz="32" w:space="0" w:color="F4B184" w:themeColor="accent2" w:themeTint="97"/>
      </w:tblBorders>
      <w:shd w:val="clear" w:color="F4B184" w:themeColor="accent2" w:themeTint="97" w:fill="F4B184" w:themeFill="accent2" w:themeFillTint="97"/>
    </w:tblPr>
    <w:tblStylePr w:type="firstRow">
      <w:rPr>
        <w:rFonts w:ascii="Arial" w:hAnsi="Arial"/>
        <w:b/>
        <w:color w:val="FFFFFF" w:themeColor="light1"/>
        <w:sz w:val="22"/>
      </w:rPr>
      <w:tblPr/>
      <w:tcPr>
        <w:tcBorders>
          <w:top w:val="single" w:sz="32" w:space="0" w:color="F4B184" w:themeColor="accent2" w:themeTint="97"/>
          <w:bottom w:val="single" w:sz="12" w:space="0" w:color="FFFFFF" w:themeColor="light1"/>
        </w:tcBorders>
        <w:shd w:val="clear" w:color="F4B184" w:themeColor="accent2" w:themeTint="97" w:fill="F4B184"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4B184" w:themeColor="accent2" w:themeTint="97"/>
          <w:right w:val="single" w:sz="4" w:space="0" w:color="FFFFFF" w:themeColor="light1"/>
        </w:tcBorders>
      </w:tcPr>
    </w:tblStylePr>
    <w:tblStylePr w:type="lastCol">
      <w:tblPr/>
      <w:tcPr>
        <w:tcBorders>
          <w:left w:val="single" w:sz="4" w:space="0" w:color="FFFFFF" w:themeColor="light1"/>
          <w:right w:val="single" w:sz="32" w:space="0" w:color="F4B184" w:themeColor="accent2" w:themeTint="97"/>
        </w:tcBorders>
      </w:tcPr>
    </w:tblStylePr>
    <w:tblStylePr w:type="band1Vert">
      <w:tblPr/>
      <w:tcPr>
        <w:tcBorders>
          <w:left w:val="single" w:sz="4" w:space="0" w:color="FFFFFF" w:themeColor="light1"/>
          <w:right w:val="single" w:sz="4" w:space="0" w:color="FFFFFF" w:themeColor="light1"/>
        </w:tcBorders>
        <w:shd w:val="clear" w:color="F4B184" w:themeColor="accent2" w:themeTint="97" w:fill="F4B184"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tblStylePr w:type="band2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sz="32" w:space="0" w:color="C9C9C9" w:themeColor="accent3" w:themeTint="98"/>
        <w:left w:val="single" w:sz="32" w:space="0" w:color="C9C9C9" w:themeColor="accent3" w:themeTint="98"/>
        <w:bottom w:val="single" w:sz="32" w:space="0" w:color="C9C9C9" w:themeColor="accent3" w:themeTint="98"/>
        <w:right w:val="single" w:sz="32" w:space="0" w:color="C9C9C9" w:themeColor="accent3" w:themeTint="98"/>
      </w:tblBorders>
      <w:shd w:val="clear" w:color="C9C9C9" w:themeColor="accent3" w:themeTint="98" w:fill="C9C9C9" w:themeFill="accent3" w:themeFillTint="98"/>
    </w:tblPr>
    <w:tblStylePr w:type="firstRow">
      <w:rPr>
        <w:rFonts w:ascii="Arial" w:hAnsi="Arial"/>
        <w:b/>
        <w:color w:val="FFFFFF" w:themeColor="light1"/>
        <w:sz w:val="22"/>
      </w:rPr>
      <w:tblPr/>
      <w:tcPr>
        <w:tcBorders>
          <w:top w:val="single" w:sz="32" w:space="0" w:color="C9C9C9" w:themeColor="accent3" w:themeTint="98"/>
          <w:bottom w:val="single" w:sz="12" w:space="0" w:color="FFFFFF" w:themeColor="light1"/>
        </w:tcBorders>
        <w:shd w:val="clear" w:color="C9C9C9" w:themeColor="accent3" w:themeTint="98" w:fill="C9C9C9"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9C9C9" w:themeColor="accent3" w:themeTint="98"/>
          <w:right w:val="single" w:sz="4" w:space="0" w:color="FFFFFF" w:themeColor="light1"/>
        </w:tcBorders>
      </w:tcPr>
    </w:tblStylePr>
    <w:tblStylePr w:type="lastCol">
      <w:tblPr/>
      <w:tcPr>
        <w:tcBorders>
          <w:left w:val="single" w:sz="4" w:space="0" w:color="FFFFFF" w:themeColor="light1"/>
          <w:right w:val="single" w:sz="32" w:space="0" w:color="C9C9C9" w:themeColor="accent3" w:themeTint="98"/>
        </w:tcBorders>
      </w:tcPr>
    </w:tblStylePr>
    <w:tblStylePr w:type="band1Vert">
      <w:tblPr/>
      <w:tcPr>
        <w:tcBorders>
          <w:left w:val="single" w:sz="4" w:space="0" w:color="FFFFFF" w:themeColor="light1"/>
          <w:right w:val="single" w:sz="4" w:space="0" w:color="FFFFFF" w:themeColor="light1"/>
        </w:tcBorders>
        <w:shd w:val="clear" w:color="C9C9C9" w:themeColor="accent3" w:themeTint="98" w:fill="C9C9C9"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tblStylePr w:type="band2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sz="32" w:space="0" w:color="FFD865" w:themeColor="accent4" w:themeTint="9A"/>
        <w:left w:val="single" w:sz="32" w:space="0" w:color="FFD865" w:themeColor="accent4" w:themeTint="9A"/>
        <w:bottom w:val="single" w:sz="32" w:space="0" w:color="FFD865" w:themeColor="accent4" w:themeTint="9A"/>
        <w:right w:val="single" w:sz="32" w:space="0" w:color="FFD865" w:themeColor="accent4" w:themeTint="9A"/>
      </w:tblBorders>
      <w:shd w:val="clear" w:color="FFD865" w:themeColor="accent4" w:themeTint="9A" w:fill="FFD865" w:themeFill="accent4" w:themeFillTint="9A"/>
    </w:tblPr>
    <w:tblStylePr w:type="firstRow">
      <w:rPr>
        <w:rFonts w:ascii="Arial" w:hAnsi="Arial"/>
        <w:b/>
        <w:color w:val="FFFFFF" w:themeColor="light1"/>
        <w:sz w:val="22"/>
      </w:rPr>
      <w:tblPr/>
      <w:tcPr>
        <w:tcBorders>
          <w:top w:val="single" w:sz="32" w:space="0" w:color="FFD865" w:themeColor="accent4" w:themeTint="9A"/>
          <w:bottom w:val="single" w:sz="12" w:space="0" w:color="FFFFFF" w:themeColor="light1"/>
        </w:tcBorders>
        <w:shd w:val="clear" w:color="FFD865" w:themeColor="accent4" w:themeTint="9A" w:fill="FFD865"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FD865" w:themeColor="accent4" w:themeTint="9A"/>
          <w:right w:val="single" w:sz="4" w:space="0" w:color="FFFFFF" w:themeColor="light1"/>
        </w:tcBorders>
      </w:tcPr>
    </w:tblStylePr>
    <w:tblStylePr w:type="lastCol">
      <w:tblPr/>
      <w:tcPr>
        <w:tcBorders>
          <w:left w:val="single" w:sz="4" w:space="0" w:color="FFFFFF" w:themeColor="light1"/>
          <w:right w:val="single" w:sz="32" w:space="0" w:color="FFD865" w:themeColor="accent4" w:themeTint="9A"/>
        </w:tcBorders>
      </w:tcPr>
    </w:tblStylePr>
    <w:tblStylePr w:type="band1Vert">
      <w:tblPr/>
      <w:tcPr>
        <w:tcBorders>
          <w:left w:val="single" w:sz="4" w:space="0" w:color="FFFFFF" w:themeColor="light1"/>
          <w:right w:val="single" w:sz="4" w:space="0" w:color="FFFFFF" w:themeColor="light1"/>
        </w:tcBorders>
        <w:shd w:val="clear" w:color="FFD865" w:themeColor="accent4" w:themeTint="9A" w:fill="FFD865"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tblStylePr w:type="band2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sz="32" w:space="0" w:color="9BC2E5" w:themeColor="accent5" w:themeTint="9A"/>
        <w:left w:val="single" w:sz="32" w:space="0" w:color="9BC2E5" w:themeColor="accent5" w:themeTint="9A"/>
        <w:bottom w:val="single" w:sz="32" w:space="0" w:color="9BC2E5" w:themeColor="accent5" w:themeTint="9A"/>
        <w:right w:val="single" w:sz="32" w:space="0" w:color="9BC2E5" w:themeColor="accent5" w:themeTint="9A"/>
      </w:tblBorders>
      <w:shd w:val="clear" w:color="9BC2E5" w:themeColor="accent5" w:themeTint="9A" w:fill="9BC2E5" w:themeFill="accent5" w:themeFillTint="9A"/>
    </w:tblPr>
    <w:tblStylePr w:type="firstRow">
      <w:rPr>
        <w:rFonts w:ascii="Arial" w:hAnsi="Arial"/>
        <w:b/>
        <w:color w:val="FFFFFF" w:themeColor="light1"/>
        <w:sz w:val="22"/>
      </w:rPr>
      <w:tblPr/>
      <w:tcPr>
        <w:tcBorders>
          <w:top w:val="single" w:sz="32" w:space="0" w:color="9BC2E5" w:themeColor="accent5" w:themeTint="9A"/>
          <w:bottom w:val="single" w:sz="12" w:space="0" w:color="FFFFFF" w:themeColor="light1"/>
        </w:tcBorders>
        <w:shd w:val="clear" w:color="9BC2E5" w:themeColor="accent5" w:themeTint="9A" w:fill="9BC2E5"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BC2E5" w:themeColor="accent5" w:themeTint="9A"/>
          <w:right w:val="single" w:sz="4" w:space="0" w:color="FFFFFF" w:themeColor="light1"/>
        </w:tcBorders>
      </w:tcPr>
    </w:tblStylePr>
    <w:tblStylePr w:type="lastCol">
      <w:tblPr/>
      <w:tcPr>
        <w:tcBorders>
          <w:left w:val="single" w:sz="4" w:space="0" w:color="FFFFFF" w:themeColor="light1"/>
          <w:right w:val="single" w:sz="32" w:space="0" w:color="9BC2E5" w:themeColor="accent5" w:themeTint="9A"/>
        </w:tcBorders>
      </w:tcPr>
    </w:tblStylePr>
    <w:tblStylePr w:type="band1Vert">
      <w:tblPr/>
      <w:tcPr>
        <w:tcBorders>
          <w:left w:val="single" w:sz="4" w:space="0" w:color="FFFFFF" w:themeColor="light1"/>
          <w:right w:val="single" w:sz="4" w:space="0" w:color="FFFFFF" w:themeColor="light1"/>
        </w:tcBorders>
        <w:shd w:val="clear" w:color="9BC2E5" w:themeColor="accent5" w:themeTint="9A" w:fill="9BC2E5"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BC2E5" w:themeColor="accent5" w:themeTint="9A" w:fill="9BC2E5" w:themeFill="accent5" w:themeFillTint="9A"/>
      </w:tcPr>
    </w:tblStylePr>
    <w:tblStylePr w:type="band2Horz">
      <w:tblPr/>
      <w:tcPr>
        <w:tcBorders>
          <w:top w:val="single" w:sz="4" w:space="0" w:color="FFFFFF" w:themeColor="light1"/>
          <w:bottom w:val="single" w:sz="4" w:space="0" w:color="FFFFFF" w:themeColor="light1"/>
        </w:tcBorders>
        <w:shd w:val="clear" w:color="9BC2E5" w:themeColor="accent5" w:themeTint="9A" w:fill="9BC2E5"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sz="32" w:space="0" w:color="A9D08E" w:themeColor="accent6" w:themeTint="98"/>
        <w:left w:val="single" w:sz="32" w:space="0" w:color="A9D08E" w:themeColor="accent6" w:themeTint="98"/>
        <w:bottom w:val="single" w:sz="32" w:space="0" w:color="A9D08E" w:themeColor="accent6" w:themeTint="98"/>
        <w:right w:val="single" w:sz="32" w:space="0" w:color="A9D08E" w:themeColor="accent6" w:themeTint="98"/>
      </w:tblBorders>
      <w:shd w:val="clear" w:color="A9D08E" w:themeColor="accent6" w:themeTint="98" w:fill="A9D08E" w:themeFill="accent6" w:themeFillTint="98"/>
    </w:tblPr>
    <w:tblStylePr w:type="firstRow">
      <w:rPr>
        <w:rFonts w:ascii="Arial" w:hAnsi="Arial"/>
        <w:b/>
        <w:color w:val="FFFFFF" w:themeColor="light1"/>
        <w:sz w:val="22"/>
      </w:rPr>
      <w:tblPr/>
      <w:tcPr>
        <w:tcBorders>
          <w:top w:val="single" w:sz="32" w:space="0" w:color="A9D08E" w:themeColor="accent6" w:themeTint="98"/>
          <w:bottom w:val="single" w:sz="12" w:space="0" w:color="FFFFFF" w:themeColor="light1"/>
        </w:tcBorders>
        <w:shd w:val="clear" w:color="A9D08E" w:themeColor="accent6" w:themeTint="98" w:fill="A9D08E"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A9D08E" w:themeColor="accent6" w:themeTint="98"/>
          <w:right w:val="single" w:sz="4" w:space="0" w:color="FFFFFF" w:themeColor="light1"/>
        </w:tcBorders>
      </w:tcPr>
    </w:tblStylePr>
    <w:tblStylePr w:type="lastCol">
      <w:tblPr/>
      <w:tcPr>
        <w:tcBorders>
          <w:left w:val="single" w:sz="4" w:space="0" w:color="FFFFFF" w:themeColor="light1"/>
          <w:right w:val="single" w:sz="32" w:space="0" w:color="A9D08E" w:themeColor="accent6" w:themeTint="98"/>
        </w:tcBorders>
      </w:tcPr>
    </w:tblStylePr>
    <w:tblStylePr w:type="band1Vert">
      <w:tblPr/>
      <w:tcPr>
        <w:tcBorders>
          <w:left w:val="single" w:sz="4" w:space="0" w:color="FFFFFF" w:themeColor="light1"/>
          <w:right w:val="single" w:sz="4" w:space="0" w:color="FFFFFF" w:themeColor="light1"/>
        </w:tcBorders>
        <w:shd w:val="clear" w:color="A9D08E" w:themeColor="accent6" w:themeTint="98" w:fill="A9D08E"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tblStylePr w:type="band2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style>
  <w:style w:type="table" w:styleId="ListTable6Colorful">
    <w:name w:val="List Table 6 Colorful"/>
    <w:basedOn w:val="TableNormal"/>
    <w:uiPriority w:val="99"/>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sz="4" w:space="0" w:color="4472C4" w:themeColor="accent1"/>
        <w:bottom w:val="single" w:sz="4" w:space="0" w:color="4472C4" w:themeColor="accent1"/>
      </w:tblBorders>
    </w:tblPr>
    <w:tblStylePr w:type="firstRow">
      <w:rPr>
        <w:b/>
        <w:color w:val="254175" w:themeColor="accent1" w:themeShade="95"/>
      </w:rPr>
      <w:tblPr/>
      <w:tcPr>
        <w:tcBorders>
          <w:bottom w:val="single" w:sz="4" w:space="0" w:color="4472C4" w:themeColor="accent1"/>
        </w:tcBorders>
      </w:tcPr>
    </w:tblStylePr>
    <w:tblStylePr w:type="lastRow">
      <w:rPr>
        <w:b/>
        <w:color w:val="254175" w:themeColor="accent1" w:themeShade="95"/>
      </w:rPr>
      <w:tblPr/>
      <w:tcPr>
        <w:tcBorders>
          <w:top w:val="single" w:sz="4" w:space="0" w:color="4472C4" w:themeColor="accent1"/>
        </w:tcBorders>
      </w:tcPr>
    </w:tblStylePr>
    <w:tblStylePr w:type="firstCol">
      <w:rPr>
        <w:b/>
        <w:color w:val="254175" w:themeColor="accent1" w:themeShade="95"/>
      </w:rPr>
    </w:tblStylePr>
    <w:tblStylePr w:type="lastCol">
      <w:rPr>
        <w:b/>
        <w:color w:val="254175" w:themeColor="accent1" w:themeShade="95"/>
      </w:rPr>
    </w:tblStylePr>
    <w:tblStylePr w:type="band1Vert">
      <w:tblPr/>
      <w:tcPr>
        <w:shd w:val="clear" w:color="CFDBF0" w:themeColor="accent1" w:themeTint="40" w:fill="CFDBF0" w:themeFill="accent1" w:themeFillTint="40"/>
      </w:tcPr>
    </w:tblStylePr>
    <w:tblStylePr w:type="band1Horz">
      <w:rPr>
        <w:rFonts w:ascii="Arial" w:hAnsi="Arial"/>
        <w:color w:val="254175" w:themeColor="accent1" w:themeShade="95"/>
        <w:sz w:val="22"/>
      </w:rPr>
      <w:tblPr/>
      <w:tcPr>
        <w:shd w:val="clear" w:color="CFDBF0" w:themeColor="accent1" w:themeTint="40" w:fill="CFDBF0" w:themeFill="accent1" w:themeFillTint="40"/>
      </w:tcPr>
    </w:tblStylePr>
    <w:tblStylePr w:type="band2Horz">
      <w:rPr>
        <w:rFonts w:ascii="Arial" w:hAnsi="Arial"/>
        <w:color w:val="254175"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sz="4" w:space="0" w:color="F4B184" w:themeColor="accent2" w:themeTint="97"/>
        <w:bottom w:val="single" w:sz="4" w:space="0" w:color="F4B184" w:themeColor="accent2" w:themeTint="97"/>
      </w:tblBorders>
    </w:tblPr>
    <w:tblStylePr w:type="firstRow">
      <w:rPr>
        <w:b/>
        <w:color w:val="F4B184" w:themeColor="accent2" w:themeTint="97" w:themeShade="95"/>
      </w:rPr>
      <w:tblPr/>
      <w:tcPr>
        <w:tcBorders>
          <w:bottom w:val="single" w:sz="4" w:space="0" w:color="F4B184" w:themeColor="accent2" w:themeTint="97"/>
        </w:tcBorders>
      </w:tcPr>
    </w:tblStylePr>
    <w:tblStylePr w:type="lastRow">
      <w:rPr>
        <w:b/>
        <w:color w:val="F4B184" w:themeColor="accent2" w:themeTint="97" w:themeShade="95"/>
      </w:rPr>
      <w:tblPr/>
      <w:tcPr>
        <w:tcBorders>
          <w:top w:val="single" w:sz="4" w:space="0" w:color="F4B184" w:themeColor="accent2" w:themeTint="97"/>
        </w:tcBorders>
      </w:tc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sz="4" w:space="0" w:color="C9C9C9" w:themeColor="accent3" w:themeTint="98"/>
        <w:bottom w:val="single" w:sz="4" w:space="0" w:color="C9C9C9" w:themeColor="accent3" w:themeTint="98"/>
      </w:tblBorders>
    </w:tblPr>
    <w:tblStylePr w:type="firstRow">
      <w:rPr>
        <w:b/>
        <w:color w:val="C9C9C9" w:themeColor="accent3" w:themeTint="98" w:themeShade="95"/>
      </w:rPr>
      <w:tblPr/>
      <w:tcPr>
        <w:tcBorders>
          <w:bottom w:val="single" w:sz="4" w:space="0" w:color="C9C9C9" w:themeColor="accent3" w:themeTint="98"/>
        </w:tcBorders>
      </w:tcPr>
    </w:tblStylePr>
    <w:tblStylePr w:type="lastRow">
      <w:rPr>
        <w:b/>
        <w:color w:val="C9C9C9" w:themeColor="accent3" w:themeTint="98" w:themeShade="95"/>
      </w:rPr>
      <w:tblPr/>
      <w:tcPr>
        <w:tcBorders>
          <w:top w:val="single" w:sz="4" w:space="0" w:color="C9C9C9" w:themeColor="accent3" w:themeTint="98"/>
        </w:tcBorders>
      </w:tcPr>
    </w:tblStylePr>
    <w:tblStylePr w:type="firstCol">
      <w:rPr>
        <w:b/>
        <w:color w:val="C9C9C9" w:themeColor="accent3" w:themeTint="98" w:themeShade="95"/>
      </w:rPr>
    </w:tblStylePr>
    <w:tblStylePr w:type="lastCol">
      <w:rPr>
        <w:b/>
        <w:color w:val="C9C9C9" w:themeColor="accent3" w:themeTint="98" w:themeShade="95"/>
      </w:r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sz="4" w:space="0" w:color="FFD865" w:themeColor="accent4" w:themeTint="9A"/>
        <w:bottom w:val="single" w:sz="4" w:space="0" w:color="FFD865" w:themeColor="accent4" w:themeTint="9A"/>
      </w:tblBorders>
    </w:tblPr>
    <w:tblStylePr w:type="firstRow">
      <w:rPr>
        <w:b/>
        <w:color w:val="FFD865" w:themeColor="accent4" w:themeTint="9A" w:themeShade="95"/>
      </w:rPr>
      <w:tblPr/>
      <w:tcPr>
        <w:tcBorders>
          <w:bottom w:val="single" w:sz="4" w:space="0" w:color="FFD865" w:themeColor="accent4" w:themeTint="9A"/>
        </w:tcBorders>
      </w:tcPr>
    </w:tblStylePr>
    <w:tblStylePr w:type="lastRow">
      <w:rPr>
        <w:b/>
        <w:color w:val="FFD865" w:themeColor="accent4" w:themeTint="9A" w:themeShade="95"/>
      </w:rPr>
      <w:tblPr/>
      <w:tcPr>
        <w:tcBorders>
          <w:top w:val="single" w:sz="4" w:space="0" w:color="FFD865" w:themeColor="accent4" w:themeTint="9A"/>
        </w:tcBorders>
      </w:tc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sz="4" w:space="0" w:color="9BC2E5" w:themeColor="accent5" w:themeTint="9A"/>
        <w:bottom w:val="single" w:sz="4" w:space="0" w:color="9BC2E5" w:themeColor="accent5" w:themeTint="9A"/>
      </w:tblBorders>
    </w:tblPr>
    <w:tblStylePr w:type="firstRow">
      <w:rPr>
        <w:b/>
        <w:color w:val="9BC2E5" w:themeColor="accent5" w:themeTint="9A" w:themeShade="95"/>
      </w:rPr>
      <w:tblPr/>
      <w:tcPr>
        <w:tcBorders>
          <w:bottom w:val="single" w:sz="4" w:space="0" w:color="9BC2E5" w:themeColor="accent5" w:themeTint="9A"/>
        </w:tcBorders>
      </w:tcPr>
    </w:tblStylePr>
    <w:tblStylePr w:type="lastRow">
      <w:rPr>
        <w:b/>
        <w:color w:val="9BC2E5" w:themeColor="accent5" w:themeTint="9A" w:themeShade="95"/>
      </w:rPr>
      <w:tblPr/>
      <w:tcPr>
        <w:tcBorders>
          <w:top w:val="single" w:sz="4" w:space="0" w:color="9BC2E5" w:themeColor="accent5" w:themeTint="9A"/>
        </w:tcBorders>
      </w:tcPr>
    </w:tblStylePr>
    <w:tblStylePr w:type="firstCol">
      <w:rPr>
        <w:b/>
        <w:color w:val="9BC2E5" w:themeColor="accent5" w:themeTint="9A" w:themeShade="95"/>
      </w:rPr>
    </w:tblStylePr>
    <w:tblStylePr w:type="lastCol">
      <w:rPr>
        <w:b/>
        <w:color w:val="9BC2E5" w:themeColor="accent5" w:themeTint="9A" w:themeShade="95"/>
      </w:rPr>
    </w:tblStylePr>
    <w:tblStylePr w:type="band1Vert">
      <w:tblPr/>
      <w:tcPr>
        <w:shd w:val="clear" w:color="D5E5F4" w:themeColor="accent5" w:themeTint="40" w:fill="D5E5F4" w:themeFill="accent5" w:themeFillTint="40"/>
      </w:tcPr>
    </w:tblStylePr>
    <w:tblStylePr w:type="band1Horz">
      <w:rPr>
        <w:rFonts w:ascii="Arial" w:hAnsi="Arial"/>
        <w:color w:val="9BC2E5" w:themeColor="accent5" w:themeTint="9A" w:themeShade="95"/>
        <w:sz w:val="22"/>
      </w:rPr>
      <w:tblPr/>
      <w:tcPr>
        <w:shd w:val="clear" w:color="D5E5F4" w:themeColor="accent5" w:themeTint="40" w:fill="D5E5F4" w:themeFill="accent5" w:themeFillTint="40"/>
      </w:tcPr>
    </w:tblStylePr>
    <w:tblStylePr w:type="band2Horz">
      <w:rPr>
        <w:rFonts w:ascii="Arial" w:hAnsi="Arial"/>
        <w:color w:val="9BC2E5"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sz="4" w:space="0" w:color="A9D08E" w:themeColor="accent6" w:themeTint="98"/>
        <w:bottom w:val="single" w:sz="4" w:space="0" w:color="A9D08E" w:themeColor="accent6" w:themeTint="98"/>
      </w:tblBorders>
    </w:tblPr>
    <w:tblStylePr w:type="firstRow">
      <w:rPr>
        <w:b/>
        <w:color w:val="A9D08E" w:themeColor="accent6" w:themeTint="98" w:themeShade="95"/>
      </w:rPr>
      <w:tblPr/>
      <w:tcPr>
        <w:tcBorders>
          <w:bottom w:val="single" w:sz="4" w:space="0" w:color="A9D08E" w:themeColor="accent6" w:themeTint="98"/>
        </w:tcBorders>
      </w:tcPr>
    </w:tblStylePr>
    <w:tblStylePr w:type="lastRow">
      <w:rPr>
        <w:b/>
        <w:color w:val="A9D08E" w:themeColor="accent6" w:themeTint="98" w:themeShade="95"/>
      </w:rPr>
      <w:tblPr/>
      <w:tcPr>
        <w:tcBorders>
          <w:top w:val="single" w:sz="4" w:space="0" w:color="A9D08E" w:themeColor="accent6" w:themeTint="98"/>
        </w:tcBorders>
      </w:tcPr>
    </w:tblStylePr>
    <w:tblStylePr w:type="firstCol">
      <w:rPr>
        <w:b/>
        <w:color w:val="A9D08E" w:themeColor="accent6" w:themeTint="98" w:themeShade="95"/>
      </w:rPr>
    </w:tblStylePr>
    <w:tblStylePr w:type="lastCol">
      <w:rPr>
        <w:b/>
        <w:color w:val="A9D08E" w:themeColor="accent6" w:themeTint="98" w:themeShade="95"/>
      </w:r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sz="4" w:space="0" w:color="4472C4" w:themeColor="accent1"/>
      </w:tblBorders>
    </w:tblPr>
    <w:tblStylePr w:type="firstRow">
      <w:rPr>
        <w:rFonts w:ascii="Arial" w:hAnsi="Arial"/>
        <w:i/>
        <w:color w:val="254175" w:themeColor="accent1" w:themeShade="95"/>
        <w:sz w:val="22"/>
      </w:rPr>
      <w:tblPr/>
      <w:tcPr>
        <w:tcBorders>
          <w:top w:val="none" w:sz="0" w:space="0" w:color="auto"/>
          <w:left w:val="none" w:sz="0" w:space="0" w:color="auto"/>
          <w:bottom w:val="single" w:sz="4" w:space="0" w:color="4472C4" w:themeColor="accent1"/>
          <w:right w:val="none" w:sz="0" w:space="0" w:color="auto"/>
        </w:tcBorders>
        <w:shd w:val="clear" w:color="FFFFFF" w:themeColor="light1" w:fill="FFFFFF" w:themeFill="light1"/>
      </w:tcPr>
    </w:tblStylePr>
    <w:tblStylePr w:type="lastRow">
      <w:rPr>
        <w:rFonts w:ascii="Arial" w:hAnsi="Arial"/>
        <w:i/>
        <w:color w:val="254175" w:themeColor="accent1" w:themeShade="95"/>
        <w:sz w:val="22"/>
      </w:rPr>
      <w:tblPr/>
      <w:tcPr>
        <w:tcBorders>
          <w:top w:val="single" w:sz="4" w:space="0" w:color="4472C4" w:themeColor="accent1"/>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54175" w:themeColor="accent1" w:themeShade="95"/>
        <w:sz w:val="22"/>
      </w:rPr>
      <w:tblPr/>
      <w:tcPr>
        <w:tcBorders>
          <w:top w:val="none" w:sz="0" w:space="0" w:color="auto"/>
          <w:left w:val="none" w:sz="0" w:space="0" w:color="auto"/>
          <w:bottom w:val="none" w:sz="0" w:space="0" w:color="auto"/>
          <w:right w:val="single" w:sz="4" w:space="0" w:color="4472C4" w:themeColor="accent1"/>
        </w:tcBorders>
        <w:shd w:val="clear" w:color="FFFFFF" w:fill="auto"/>
      </w:tcPr>
    </w:tblStylePr>
    <w:tblStylePr w:type="lastCol">
      <w:rPr>
        <w:rFonts w:ascii="Arial" w:hAnsi="Arial"/>
        <w:i/>
        <w:color w:val="254175" w:themeColor="accent1" w:themeShade="95"/>
        <w:sz w:val="22"/>
      </w:rPr>
      <w:tblPr/>
      <w:tcPr>
        <w:tcBorders>
          <w:top w:val="none" w:sz="0" w:space="0" w:color="auto"/>
          <w:left w:val="single" w:sz="4" w:space="0" w:color="4472C4" w:themeColor="accent1"/>
          <w:bottom w:val="none" w:sz="0" w:space="0" w:color="auto"/>
          <w:right w:val="none" w:sz="0" w:space="0" w:color="auto"/>
        </w:tcBorders>
        <w:shd w:val="clear" w:color="FFFFFF" w:fill="auto"/>
      </w:tcPr>
    </w:tblStylePr>
    <w:tblStylePr w:type="band1Vert">
      <w:tblPr/>
      <w:tcPr>
        <w:shd w:val="clear" w:color="CFDBF0" w:themeColor="accent1" w:themeTint="40" w:fill="CFDBF0" w:themeFill="accent1" w:themeFillTint="40"/>
      </w:tcPr>
    </w:tblStylePr>
    <w:tblStylePr w:type="band1Horz">
      <w:rPr>
        <w:rFonts w:ascii="Arial" w:hAnsi="Arial"/>
        <w:color w:val="254175" w:themeColor="accent1" w:themeShade="95"/>
        <w:sz w:val="22"/>
      </w:rPr>
      <w:tblPr/>
      <w:tcPr>
        <w:shd w:val="clear" w:color="CFDBF0" w:themeColor="accent1" w:themeTint="40" w:fill="CFDBF0" w:themeFill="accent1" w:themeFillTint="40"/>
      </w:tcPr>
    </w:tblStylePr>
    <w:tblStylePr w:type="band2Horz">
      <w:rPr>
        <w:rFonts w:ascii="Arial" w:hAnsi="Arial"/>
        <w:color w:val="254175"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sz="4" w:space="0" w:color="F4B184" w:themeColor="accent2" w:themeTint="97"/>
      </w:tblBorders>
    </w:tblPr>
    <w:tblStylePr w:type="firstRow">
      <w:rPr>
        <w:rFonts w:ascii="Arial" w:hAnsi="Arial"/>
        <w:i/>
        <w:color w:val="F4B184" w:themeColor="accent2" w:themeTint="97" w:themeShade="95"/>
        <w:sz w:val="22"/>
      </w:rPr>
      <w:tblPr/>
      <w:tcPr>
        <w:tcBorders>
          <w:top w:val="none" w:sz="0" w:space="0" w:color="auto"/>
          <w:left w:val="none" w:sz="0" w:space="0" w:color="auto"/>
          <w:bottom w:val="single" w:sz="4" w:space="0" w:color="F4B184" w:themeColor="accent2" w:themeTint="97"/>
          <w:right w:val="none" w:sz="0" w:space="0" w:color="auto"/>
        </w:tcBorders>
        <w:shd w:val="clear" w:color="FFFFFF" w:themeColor="light1" w:fill="FFFFFF" w:themeFill="light1"/>
      </w:tcPr>
    </w:tblStylePr>
    <w:tblStylePr w:type="lastRow">
      <w:rPr>
        <w:rFonts w:ascii="Arial" w:hAnsi="Arial"/>
        <w:i/>
        <w:color w:val="F4B184" w:themeColor="accent2" w:themeTint="97" w:themeShade="95"/>
        <w:sz w:val="22"/>
      </w:rPr>
      <w:tblPr/>
      <w:tcPr>
        <w:tcBorders>
          <w:top w:val="single" w:sz="4" w:space="0" w:color="F4B184"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sz="0" w:space="0" w:color="auto"/>
          <w:left w:val="none" w:sz="0" w:space="0" w:color="auto"/>
          <w:bottom w:val="none" w:sz="0" w:space="0" w:color="auto"/>
          <w:right w:val="single" w:sz="4" w:space="0" w:color="F4B184" w:themeColor="accent2" w:themeTint="97"/>
        </w:tcBorders>
        <w:shd w:val="clear" w:color="FFFFFF" w:fill="auto"/>
      </w:tcPr>
    </w:tblStylePr>
    <w:tblStylePr w:type="lastCol">
      <w:rPr>
        <w:rFonts w:ascii="Arial" w:hAnsi="Arial"/>
        <w:i/>
        <w:color w:val="F4B184" w:themeColor="accent2" w:themeTint="97" w:themeShade="95"/>
        <w:sz w:val="22"/>
      </w:rPr>
      <w:tblPr/>
      <w:tcPr>
        <w:tcBorders>
          <w:top w:val="none" w:sz="0" w:space="0" w:color="auto"/>
          <w:left w:val="single" w:sz="4" w:space="0" w:color="F4B184" w:themeColor="accent2" w:themeTint="97"/>
          <w:bottom w:val="none" w:sz="0" w:space="0" w:color="auto"/>
          <w:right w:val="none" w:sz="0" w:space="0" w:color="auto"/>
        </w:tcBorders>
        <w:shd w:val="clear" w:color="FFFFFF" w:fill="auto"/>
      </w:tc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sz="4" w:space="0" w:color="C9C9C9" w:themeColor="accent3" w:themeTint="98"/>
      </w:tblBorders>
    </w:tblPr>
    <w:tblStylePr w:type="firstRow">
      <w:rPr>
        <w:rFonts w:ascii="Arial" w:hAnsi="Arial"/>
        <w:i/>
        <w:color w:val="C9C9C9" w:themeColor="accent3" w:themeTint="98" w:themeShade="95"/>
        <w:sz w:val="22"/>
      </w:rPr>
      <w:tblPr/>
      <w:tcPr>
        <w:tcBorders>
          <w:top w:val="none" w:sz="0" w:space="0" w:color="auto"/>
          <w:left w:val="none" w:sz="0" w:space="0" w:color="auto"/>
          <w:bottom w:val="single" w:sz="4" w:space="0" w:color="C9C9C9" w:themeColor="accent3" w:themeTint="98"/>
          <w:right w:val="none" w:sz="0" w:space="0" w:color="auto"/>
        </w:tcBorders>
        <w:shd w:val="clear" w:color="FFFFFF" w:themeColor="light1" w:fill="FFFFFF" w:themeFill="light1"/>
      </w:tcPr>
    </w:tblStylePr>
    <w:tblStylePr w:type="lastRow">
      <w:rPr>
        <w:rFonts w:ascii="Arial" w:hAnsi="Arial"/>
        <w:i/>
        <w:color w:val="C9C9C9" w:themeColor="accent3" w:themeTint="98" w:themeShade="95"/>
        <w:sz w:val="22"/>
      </w:rPr>
      <w:tblPr/>
      <w:tcPr>
        <w:tcBorders>
          <w:top w:val="single" w:sz="4" w:space="0" w:color="C9C9C9" w:themeColor="accent3"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C9C9C9" w:themeColor="accent3" w:themeTint="98" w:themeShade="95"/>
        <w:sz w:val="22"/>
      </w:rPr>
      <w:tblPr/>
      <w:tcPr>
        <w:tcBorders>
          <w:top w:val="none" w:sz="0" w:space="0" w:color="auto"/>
          <w:left w:val="none" w:sz="0" w:space="0" w:color="auto"/>
          <w:bottom w:val="none" w:sz="0" w:space="0" w:color="auto"/>
          <w:right w:val="single" w:sz="4" w:space="0" w:color="C9C9C9" w:themeColor="accent3" w:themeTint="98"/>
        </w:tcBorders>
        <w:shd w:val="clear" w:color="FFFFFF" w:fill="auto"/>
      </w:tcPr>
    </w:tblStylePr>
    <w:tblStylePr w:type="lastCol">
      <w:rPr>
        <w:rFonts w:ascii="Arial" w:hAnsi="Arial"/>
        <w:i/>
        <w:color w:val="C9C9C9" w:themeColor="accent3" w:themeTint="98" w:themeShade="95"/>
        <w:sz w:val="22"/>
      </w:rPr>
      <w:tblPr/>
      <w:tcPr>
        <w:tcBorders>
          <w:top w:val="none" w:sz="0" w:space="0" w:color="auto"/>
          <w:left w:val="single" w:sz="4" w:space="0" w:color="C9C9C9" w:themeColor="accent3" w:themeTint="98"/>
          <w:bottom w:val="none" w:sz="0" w:space="0" w:color="auto"/>
          <w:right w:val="none" w:sz="0" w:space="0" w:color="auto"/>
        </w:tcBorders>
        <w:shd w:val="clear" w:color="FFFFFF" w:fill="auto"/>
      </w:tc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sz="4" w:space="0" w:color="FFD865" w:themeColor="accent4" w:themeTint="9A"/>
      </w:tblBorders>
    </w:tblPr>
    <w:tblStylePr w:type="firstRow">
      <w:rPr>
        <w:rFonts w:ascii="Arial" w:hAnsi="Arial"/>
        <w:i/>
        <w:color w:val="FFD865" w:themeColor="accent4" w:themeTint="9A" w:themeShade="95"/>
        <w:sz w:val="22"/>
      </w:rPr>
      <w:tblPr/>
      <w:tcPr>
        <w:tcBorders>
          <w:top w:val="none" w:sz="0" w:space="0" w:color="auto"/>
          <w:left w:val="none" w:sz="0" w:space="0" w:color="auto"/>
          <w:bottom w:val="single" w:sz="4" w:space="0" w:color="FFD865" w:themeColor="accent4" w:themeTint="9A"/>
          <w:right w:val="none" w:sz="0" w:space="0" w:color="auto"/>
        </w:tcBorders>
        <w:shd w:val="clear" w:color="FFFFFF" w:themeColor="light1" w:fill="FFFFFF" w:themeFill="light1"/>
      </w:tcPr>
    </w:tblStylePr>
    <w:tblStylePr w:type="lastRow">
      <w:rPr>
        <w:rFonts w:ascii="Arial" w:hAnsi="Arial"/>
        <w:i/>
        <w:color w:val="FFD865" w:themeColor="accent4" w:themeTint="9A" w:themeShade="95"/>
        <w:sz w:val="22"/>
      </w:rPr>
      <w:tblPr/>
      <w:tcPr>
        <w:tcBorders>
          <w:top w:val="single" w:sz="4" w:space="0" w:color="FFD865"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sz="0" w:space="0" w:color="auto"/>
          <w:left w:val="none" w:sz="0" w:space="0" w:color="auto"/>
          <w:bottom w:val="none" w:sz="0" w:space="0" w:color="auto"/>
          <w:right w:val="single" w:sz="4" w:space="0" w:color="FFD865" w:themeColor="accent4" w:themeTint="9A"/>
        </w:tcBorders>
        <w:shd w:val="clear" w:color="FFFFFF" w:fill="auto"/>
      </w:tcPr>
    </w:tblStylePr>
    <w:tblStylePr w:type="lastCol">
      <w:rPr>
        <w:rFonts w:ascii="Arial" w:hAnsi="Arial"/>
        <w:i/>
        <w:color w:val="FFD865" w:themeColor="accent4" w:themeTint="9A" w:themeShade="95"/>
        <w:sz w:val="22"/>
      </w:rPr>
      <w:tblPr/>
      <w:tcPr>
        <w:tcBorders>
          <w:top w:val="none" w:sz="0" w:space="0" w:color="auto"/>
          <w:left w:val="single" w:sz="4" w:space="0" w:color="FFD865" w:themeColor="accent4" w:themeTint="9A"/>
          <w:bottom w:val="none" w:sz="0" w:space="0" w:color="auto"/>
          <w:right w:val="none" w:sz="0" w:space="0" w:color="auto"/>
        </w:tcBorders>
        <w:shd w:val="clear" w:color="FFFFFF" w:fill="auto"/>
      </w:tc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sz="4" w:space="0" w:color="9BC2E5" w:themeColor="accent5" w:themeTint="9A"/>
      </w:tblBorders>
    </w:tblPr>
    <w:tblStylePr w:type="firstRow">
      <w:rPr>
        <w:rFonts w:ascii="Arial" w:hAnsi="Arial"/>
        <w:i/>
        <w:color w:val="9BC2E5" w:themeColor="accent5" w:themeTint="9A" w:themeShade="95"/>
        <w:sz w:val="22"/>
      </w:rPr>
      <w:tblPr/>
      <w:tcPr>
        <w:tcBorders>
          <w:top w:val="none" w:sz="0" w:space="0" w:color="auto"/>
          <w:left w:val="none" w:sz="0" w:space="0" w:color="auto"/>
          <w:bottom w:val="single" w:sz="4" w:space="0" w:color="9BC2E5" w:themeColor="accent5" w:themeTint="9A"/>
          <w:right w:val="none" w:sz="0" w:space="0" w:color="auto"/>
        </w:tcBorders>
        <w:shd w:val="clear" w:color="FFFFFF" w:themeColor="light1" w:fill="FFFFFF" w:themeFill="light1"/>
      </w:tcPr>
    </w:tblStylePr>
    <w:tblStylePr w:type="lastRow">
      <w:rPr>
        <w:rFonts w:ascii="Arial" w:hAnsi="Arial"/>
        <w:i/>
        <w:color w:val="9BC2E5" w:themeColor="accent5" w:themeTint="9A" w:themeShade="95"/>
        <w:sz w:val="22"/>
      </w:rPr>
      <w:tblPr/>
      <w:tcPr>
        <w:tcBorders>
          <w:top w:val="single" w:sz="4" w:space="0" w:color="9BC2E5" w:themeColor="accent5"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BC2E5" w:themeColor="accent5" w:themeTint="9A" w:themeShade="95"/>
        <w:sz w:val="22"/>
      </w:rPr>
      <w:tblPr/>
      <w:tcPr>
        <w:tcBorders>
          <w:top w:val="none" w:sz="0" w:space="0" w:color="auto"/>
          <w:left w:val="none" w:sz="0" w:space="0" w:color="auto"/>
          <w:bottom w:val="none" w:sz="0" w:space="0" w:color="auto"/>
          <w:right w:val="single" w:sz="4" w:space="0" w:color="9BC2E5" w:themeColor="accent5" w:themeTint="9A"/>
        </w:tcBorders>
        <w:shd w:val="clear" w:color="FFFFFF" w:fill="auto"/>
      </w:tcPr>
    </w:tblStylePr>
    <w:tblStylePr w:type="lastCol">
      <w:rPr>
        <w:rFonts w:ascii="Arial" w:hAnsi="Arial"/>
        <w:i/>
        <w:color w:val="9BC2E5" w:themeColor="accent5" w:themeTint="9A" w:themeShade="95"/>
        <w:sz w:val="22"/>
      </w:rPr>
      <w:tblPr/>
      <w:tcPr>
        <w:tcBorders>
          <w:top w:val="none" w:sz="0" w:space="0" w:color="auto"/>
          <w:left w:val="single" w:sz="4" w:space="0" w:color="9BC2E5" w:themeColor="accent5" w:themeTint="9A"/>
          <w:bottom w:val="none" w:sz="0" w:space="0" w:color="auto"/>
          <w:right w:val="none" w:sz="0" w:space="0" w:color="auto"/>
        </w:tcBorders>
        <w:shd w:val="clear" w:color="FFFFFF" w:fill="auto"/>
      </w:tcPr>
    </w:tblStylePr>
    <w:tblStylePr w:type="band1Vert">
      <w:tblPr/>
      <w:tcPr>
        <w:shd w:val="clear" w:color="D5E5F4" w:themeColor="accent5" w:themeTint="40" w:fill="D5E5F4" w:themeFill="accent5" w:themeFillTint="40"/>
      </w:tcPr>
    </w:tblStylePr>
    <w:tblStylePr w:type="band1Horz">
      <w:rPr>
        <w:rFonts w:ascii="Arial" w:hAnsi="Arial"/>
        <w:color w:val="9BC2E5" w:themeColor="accent5" w:themeTint="9A" w:themeShade="95"/>
        <w:sz w:val="22"/>
      </w:rPr>
      <w:tblPr/>
      <w:tcPr>
        <w:shd w:val="clear" w:color="D5E5F4" w:themeColor="accent5" w:themeTint="40" w:fill="D5E5F4" w:themeFill="accent5" w:themeFillTint="40"/>
      </w:tcPr>
    </w:tblStylePr>
    <w:tblStylePr w:type="band2Horz">
      <w:rPr>
        <w:rFonts w:ascii="Arial" w:hAnsi="Arial"/>
        <w:color w:val="9BC2E5"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sz="4" w:space="0" w:color="A9D08E" w:themeColor="accent6" w:themeTint="98"/>
      </w:tblBorders>
    </w:tblPr>
    <w:tblStylePr w:type="firstRow">
      <w:rPr>
        <w:rFonts w:ascii="Arial" w:hAnsi="Arial"/>
        <w:i/>
        <w:color w:val="A9D08E" w:themeColor="accent6" w:themeTint="98" w:themeShade="95"/>
        <w:sz w:val="22"/>
      </w:rPr>
      <w:tblPr/>
      <w:tcPr>
        <w:tcBorders>
          <w:top w:val="none" w:sz="0" w:space="0" w:color="auto"/>
          <w:left w:val="none" w:sz="0" w:space="0" w:color="auto"/>
          <w:bottom w:val="single" w:sz="4" w:space="0" w:color="A9D08E" w:themeColor="accent6" w:themeTint="98"/>
          <w:right w:val="none" w:sz="0" w:space="0" w:color="auto"/>
        </w:tcBorders>
        <w:shd w:val="clear" w:color="FFFFFF" w:themeColor="light1" w:fill="FFFFFF" w:themeFill="light1"/>
      </w:tcPr>
    </w:tblStylePr>
    <w:tblStylePr w:type="lastRow">
      <w:rPr>
        <w:rFonts w:ascii="Arial" w:hAnsi="Arial"/>
        <w:i/>
        <w:color w:val="A9D08E" w:themeColor="accent6" w:themeTint="98" w:themeShade="95"/>
        <w:sz w:val="22"/>
      </w:rPr>
      <w:tblPr/>
      <w:tcPr>
        <w:tcBorders>
          <w:top w:val="single" w:sz="4" w:space="0" w:color="A9D08E" w:themeColor="accent6"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9D08E" w:themeColor="accent6" w:themeTint="98" w:themeShade="95"/>
        <w:sz w:val="22"/>
      </w:rPr>
      <w:tblPr/>
      <w:tcPr>
        <w:tcBorders>
          <w:top w:val="none" w:sz="0" w:space="0" w:color="auto"/>
          <w:left w:val="none" w:sz="0" w:space="0" w:color="auto"/>
          <w:bottom w:val="none" w:sz="0" w:space="0" w:color="auto"/>
          <w:right w:val="single" w:sz="4" w:space="0" w:color="A9D08E" w:themeColor="accent6" w:themeTint="98"/>
        </w:tcBorders>
        <w:shd w:val="clear" w:color="FFFFFF" w:fill="auto"/>
      </w:tcPr>
    </w:tblStylePr>
    <w:tblStylePr w:type="lastCol">
      <w:rPr>
        <w:rFonts w:ascii="Arial" w:hAnsi="Arial"/>
        <w:i/>
        <w:color w:val="A9D08E" w:themeColor="accent6" w:themeTint="98" w:themeShade="95"/>
        <w:sz w:val="22"/>
      </w:rPr>
      <w:tblPr/>
      <w:tcPr>
        <w:tcBorders>
          <w:top w:val="none" w:sz="0" w:space="0" w:color="auto"/>
          <w:left w:val="single" w:sz="4" w:space="0" w:color="A9D08E" w:themeColor="accent6" w:themeTint="98"/>
          <w:bottom w:val="none" w:sz="0" w:space="0" w:color="auto"/>
          <w:right w:val="none" w:sz="0" w:space="0" w:color="auto"/>
        </w:tcBorders>
        <w:shd w:val="clear" w:color="FFFFFF" w:fill="auto"/>
      </w:tc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customStyle="1" w:styleId="Lined-Accent">
    <w:name w:val="Lined - Accent"/>
    <w:basedOn w:val="TableNormal"/>
    <w:uiPriority w:val="99"/>
    <w:rPr>
      <w:color w:val="404040"/>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Pr>
      <w:color w:val="404040"/>
    </w:rPr>
    <w:tblPr>
      <w:tblStyleRowBandSize w:val="1"/>
      <w:tblStyleColBandSize w:val="1"/>
    </w:tblPr>
    <w:tblStylePr w:type="firstRow">
      <w:rPr>
        <w:rFonts w:ascii="Arial" w:hAnsi="Arial"/>
        <w:color w:val="F2F2F2"/>
        <w:sz w:val="22"/>
      </w:rPr>
      <w:tblPr/>
      <w:tcPr>
        <w:shd w:val="clear" w:color="537DC8" w:themeColor="accent1" w:themeTint="EA" w:fill="537DC8" w:themeFill="accent1" w:themeFillTint="EA"/>
      </w:tcPr>
    </w:tblStylePr>
    <w:tblStylePr w:type="lastRow">
      <w:rPr>
        <w:rFonts w:ascii="Arial" w:hAnsi="Arial"/>
        <w:color w:val="F2F2F2"/>
        <w:sz w:val="22"/>
      </w:rPr>
      <w:tblPr/>
      <w:tcPr>
        <w:shd w:val="clear" w:color="537DC8" w:themeColor="accent1" w:themeTint="EA" w:fill="537DC8" w:themeFill="accent1" w:themeFillTint="EA"/>
      </w:tcPr>
    </w:tblStylePr>
    <w:tblStylePr w:type="firstCol">
      <w:rPr>
        <w:rFonts w:ascii="Arial" w:hAnsi="Arial"/>
        <w:color w:val="F2F2F2"/>
        <w:sz w:val="22"/>
      </w:rPr>
      <w:tblPr/>
      <w:tcPr>
        <w:shd w:val="clear" w:color="537DC8" w:themeColor="accent1" w:themeTint="EA" w:fill="537DC8" w:themeFill="accent1" w:themeFillTint="EA"/>
      </w:tcPr>
    </w:tblStylePr>
    <w:tblStylePr w:type="lastCol">
      <w:rPr>
        <w:rFonts w:ascii="Arial" w:hAnsi="Arial"/>
        <w:color w:val="F2F2F2"/>
        <w:sz w:val="22"/>
      </w:rPr>
      <w:tblPr/>
      <w:tcPr>
        <w:shd w:val="clear" w:color="537DC8" w:themeColor="accent1" w:themeTint="EA" w:fill="537DC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4D2EC" w:themeColor="accent1" w:themeTint="50" w:fill="C4D2EC"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4D2EC" w:themeColor="accent1" w:themeTint="50" w:fill="C4D2EC" w:themeFill="accent1" w:themeFillTint="50"/>
      </w:tcPr>
    </w:tblStylePr>
  </w:style>
  <w:style w:type="table" w:customStyle="1" w:styleId="Lined-Accent2">
    <w:name w:val="Lined - Accent 2"/>
    <w:basedOn w:val="TableNormal"/>
    <w:uiPriority w:val="99"/>
    <w:rPr>
      <w:color w:val="404040"/>
    </w:rPr>
    <w:tblPr>
      <w:tblStyleRowBandSize w:val="1"/>
      <w:tblStyleColBandSize w:val="1"/>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Lined-Accent3">
    <w:name w:val="Lined - Accent 3"/>
    <w:basedOn w:val="TableNormal"/>
    <w:uiPriority w:val="99"/>
    <w:rPr>
      <w:color w:val="404040"/>
    </w:rPr>
    <w:tblPr>
      <w:tblStyleRowBandSize w:val="1"/>
      <w:tblStyleColBandSize w:val="1"/>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Lined-Accent4">
    <w:name w:val="Lined - Accent 4"/>
    <w:basedOn w:val="TableNormal"/>
    <w:uiPriority w:val="99"/>
    <w:rPr>
      <w:color w:val="404040"/>
    </w:rPr>
    <w:tblPr>
      <w:tblStyleRowBandSize w:val="1"/>
      <w:tblStyleColBandSize w:val="1"/>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Lined-Accent5">
    <w:name w:val="Lined - Accent 5"/>
    <w:basedOn w:val="TableNormal"/>
    <w:uiPriority w:val="99"/>
    <w:rPr>
      <w:color w:val="404040"/>
    </w:rPr>
    <w:tblPr>
      <w:tblStyleRowBandSize w:val="1"/>
      <w:tblStyleColBandSize w:val="1"/>
    </w:tblPr>
    <w:tblStylePr w:type="firstRow">
      <w:rPr>
        <w:rFonts w:ascii="Arial" w:hAnsi="Arial"/>
        <w:color w:val="F2F2F2"/>
        <w:sz w:val="22"/>
      </w:rPr>
      <w:tblPr/>
      <w:tcPr>
        <w:shd w:val="clear" w:color="5B9BD5" w:themeColor="accent5" w:fill="5B9BD5" w:themeFill="accent5"/>
      </w:tcPr>
    </w:tblStylePr>
    <w:tblStylePr w:type="lastRow">
      <w:rPr>
        <w:rFonts w:ascii="Arial" w:hAnsi="Arial"/>
        <w:color w:val="F2F2F2"/>
        <w:sz w:val="22"/>
      </w:rPr>
      <w:tblPr/>
      <w:tcPr>
        <w:shd w:val="clear" w:color="5B9BD5" w:themeColor="accent5" w:fill="5B9BD5" w:themeFill="accent5"/>
      </w:tcPr>
    </w:tblStylePr>
    <w:tblStylePr w:type="firstCol">
      <w:rPr>
        <w:rFonts w:ascii="Arial" w:hAnsi="Arial"/>
        <w:color w:val="F2F2F2"/>
        <w:sz w:val="22"/>
      </w:rPr>
      <w:tblPr/>
      <w:tcPr>
        <w:shd w:val="clear" w:color="5B9BD5" w:themeColor="accent5" w:fill="5B9BD5" w:themeFill="accent5"/>
      </w:tcPr>
    </w:tblStylePr>
    <w:tblStylePr w:type="lastCol">
      <w:rPr>
        <w:rFonts w:ascii="Arial" w:hAnsi="Arial"/>
        <w:color w:val="F2F2F2"/>
        <w:sz w:val="22"/>
      </w:rPr>
      <w:tblPr/>
      <w:tcPr>
        <w:shd w:val="clear" w:color="5B9BD5" w:themeColor="accent5" w:fill="5B9BD5"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DEAF6" w:themeColor="accent5" w:themeTint="34" w:fill="DDEAF6" w:themeFill="accent5" w:themeFillTint="34"/>
      </w:tcPr>
    </w:tblStylePr>
  </w:style>
  <w:style w:type="table" w:customStyle="1" w:styleId="Lined-Accent6">
    <w:name w:val="Lined - Accent 6"/>
    <w:basedOn w:val="TableNormal"/>
    <w:uiPriority w:val="99"/>
    <w:rPr>
      <w:color w:val="404040"/>
    </w:rPr>
    <w:tblPr>
      <w:tblStyleRowBandSize w:val="1"/>
      <w:tblStyleColBandSize w:val="1"/>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Lined-Accent">
    <w:name w:val="Bordered &amp; Lined - Accent"/>
    <w:basedOn w:val="TableNormal"/>
    <w:uiPriority w:val="99"/>
    <w:rPr>
      <w:color w:val="404040"/>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Pr>
      <w:color w:val="404040"/>
    </w:rPr>
    <w:tblPr>
      <w:tblStyleRowBandSize w:val="1"/>
      <w:tblStyleColBandSize w:val="1"/>
      <w:tblBorders>
        <w:top w:val="single" w:sz="4" w:space="0" w:color="254175" w:themeColor="accent1" w:themeShade="95"/>
        <w:left w:val="single" w:sz="4" w:space="0" w:color="254175" w:themeColor="accent1" w:themeShade="95"/>
        <w:bottom w:val="single" w:sz="4" w:space="0" w:color="254175" w:themeColor="accent1" w:themeShade="95"/>
        <w:right w:val="single" w:sz="4" w:space="0" w:color="254175" w:themeColor="accent1" w:themeShade="95"/>
        <w:insideH w:val="single" w:sz="4" w:space="0" w:color="254175" w:themeColor="accent1" w:themeShade="95"/>
        <w:insideV w:val="single" w:sz="4" w:space="0" w:color="254175" w:themeColor="accent1" w:themeShade="95"/>
      </w:tblBorders>
    </w:tblPr>
    <w:tblStylePr w:type="firstRow">
      <w:rPr>
        <w:rFonts w:ascii="Arial" w:hAnsi="Arial"/>
        <w:color w:val="F2F2F2"/>
        <w:sz w:val="22"/>
      </w:rPr>
      <w:tblPr/>
      <w:tcPr>
        <w:shd w:val="clear" w:color="537DC8" w:themeColor="accent1" w:themeTint="EA" w:fill="537DC8" w:themeFill="accent1" w:themeFillTint="EA"/>
      </w:tcPr>
    </w:tblStylePr>
    <w:tblStylePr w:type="lastRow">
      <w:rPr>
        <w:rFonts w:ascii="Arial" w:hAnsi="Arial"/>
        <w:color w:val="F2F2F2"/>
        <w:sz w:val="22"/>
      </w:rPr>
      <w:tblPr/>
      <w:tcPr>
        <w:shd w:val="clear" w:color="537DC8" w:themeColor="accent1" w:themeTint="EA" w:fill="537DC8" w:themeFill="accent1" w:themeFillTint="EA"/>
      </w:tcPr>
    </w:tblStylePr>
    <w:tblStylePr w:type="firstCol">
      <w:rPr>
        <w:rFonts w:ascii="Arial" w:hAnsi="Arial"/>
        <w:color w:val="F2F2F2"/>
        <w:sz w:val="22"/>
      </w:rPr>
      <w:tblPr/>
      <w:tcPr>
        <w:shd w:val="clear" w:color="537DC8" w:themeColor="accent1" w:themeTint="EA" w:fill="537DC8" w:themeFill="accent1" w:themeFillTint="EA"/>
      </w:tcPr>
    </w:tblStylePr>
    <w:tblStylePr w:type="lastCol">
      <w:rPr>
        <w:rFonts w:ascii="Arial" w:hAnsi="Arial"/>
        <w:color w:val="F2F2F2"/>
        <w:sz w:val="22"/>
      </w:rPr>
      <w:tblPr/>
      <w:tcPr>
        <w:shd w:val="clear" w:color="537DC8" w:themeColor="accent1" w:themeTint="EA" w:fill="537DC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4D2EC" w:themeColor="accent1" w:themeTint="50" w:fill="C4D2EC"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4D2EC" w:themeColor="accent1" w:themeTint="50" w:fill="C4D2EC" w:themeFill="accent1" w:themeFillTint="50"/>
      </w:tcPr>
    </w:tblStylePr>
  </w:style>
  <w:style w:type="table" w:customStyle="1" w:styleId="BorderedLined-Accent2">
    <w:name w:val="Bordered &amp; Lined - Accent 2"/>
    <w:basedOn w:val="TableNormal"/>
    <w:uiPriority w:val="99"/>
    <w:rPr>
      <w:color w:val="404040"/>
    </w:rPr>
    <w:tblPr>
      <w:tblStyleRowBandSize w:val="1"/>
      <w:tblStyleColBandSize w:val="1"/>
      <w:tblBorders>
        <w:top w:val="single" w:sz="4" w:space="0" w:color="99460D" w:themeColor="accent2" w:themeShade="95"/>
        <w:left w:val="single" w:sz="4" w:space="0" w:color="99460D" w:themeColor="accent2" w:themeShade="95"/>
        <w:bottom w:val="single" w:sz="4" w:space="0" w:color="99460D" w:themeColor="accent2" w:themeShade="95"/>
        <w:right w:val="single" w:sz="4" w:space="0" w:color="99460D" w:themeColor="accent2" w:themeShade="95"/>
        <w:insideH w:val="single" w:sz="4" w:space="0" w:color="99460D" w:themeColor="accent2" w:themeShade="95"/>
        <w:insideV w:val="single" w:sz="4" w:space="0" w:color="99460D" w:themeColor="accent2" w:themeShade="95"/>
      </w:tblBorders>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BorderedLined-Accent3">
    <w:name w:val="Bordered &amp; Lined - Accent 3"/>
    <w:basedOn w:val="TableNormal"/>
    <w:uiPriority w:val="99"/>
    <w:rPr>
      <w:color w:val="404040"/>
    </w:rPr>
    <w:tblPr>
      <w:tblStyleRowBandSize w:val="1"/>
      <w:tblStyleColBandSize w:val="1"/>
      <w:tblBorders>
        <w:top w:val="single" w:sz="4" w:space="0" w:color="606060" w:themeColor="accent3" w:themeShade="95"/>
        <w:left w:val="single" w:sz="4" w:space="0" w:color="606060" w:themeColor="accent3" w:themeShade="95"/>
        <w:bottom w:val="single" w:sz="4" w:space="0" w:color="606060" w:themeColor="accent3" w:themeShade="95"/>
        <w:right w:val="single" w:sz="4" w:space="0" w:color="606060" w:themeColor="accent3" w:themeShade="95"/>
        <w:insideH w:val="single" w:sz="4" w:space="0" w:color="606060" w:themeColor="accent3" w:themeShade="95"/>
        <w:insideV w:val="single" w:sz="4" w:space="0" w:color="606060" w:themeColor="accent3" w:themeShade="95"/>
      </w:tblBorders>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BorderedLined-Accent4">
    <w:name w:val="Bordered &amp; Lined - Accent 4"/>
    <w:basedOn w:val="TableNormal"/>
    <w:uiPriority w:val="99"/>
    <w:rPr>
      <w:color w:val="404040"/>
    </w:rPr>
    <w:tblPr>
      <w:tblStyleRowBandSize w:val="1"/>
      <w:tblStyleColBandSize w:val="1"/>
      <w:tblBorders>
        <w:top w:val="single" w:sz="4" w:space="0" w:color="957000" w:themeColor="accent4" w:themeShade="95"/>
        <w:left w:val="single" w:sz="4" w:space="0" w:color="957000" w:themeColor="accent4" w:themeShade="95"/>
        <w:bottom w:val="single" w:sz="4" w:space="0" w:color="957000" w:themeColor="accent4" w:themeShade="95"/>
        <w:right w:val="single" w:sz="4" w:space="0" w:color="957000" w:themeColor="accent4" w:themeShade="95"/>
        <w:insideH w:val="single" w:sz="4" w:space="0" w:color="957000" w:themeColor="accent4" w:themeShade="95"/>
        <w:insideV w:val="single" w:sz="4" w:space="0" w:color="957000" w:themeColor="accent4" w:themeShade="95"/>
      </w:tblBorders>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BorderedLined-Accent5">
    <w:name w:val="Bordered &amp; Lined - Accent 5"/>
    <w:basedOn w:val="TableNormal"/>
    <w:uiPriority w:val="99"/>
    <w:rPr>
      <w:color w:val="404040"/>
    </w:rPr>
    <w:tblPr>
      <w:tblStyleRowBandSize w:val="1"/>
      <w:tblStyleColBandSize w:val="1"/>
      <w:tblBorders>
        <w:top w:val="single" w:sz="4" w:space="0" w:color="245A8D" w:themeColor="accent5" w:themeShade="95"/>
        <w:left w:val="single" w:sz="4" w:space="0" w:color="245A8D" w:themeColor="accent5" w:themeShade="95"/>
        <w:bottom w:val="single" w:sz="4" w:space="0" w:color="245A8D" w:themeColor="accent5" w:themeShade="95"/>
        <w:right w:val="single" w:sz="4" w:space="0" w:color="245A8D" w:themeColor="accent5" w:themeShade="95"/>
        <w:insideH w:val="single" w:sz="4" w:space="0" w:color="245A8D" w:themeColor="accent5" w:themeShade="95"/>
        <w:insideV w:val="single" w:sz="4" w:space="0" w:color="245A8D" w:themeColor="accent5" w:themeShade="95"/>
      </w:tblBorders>
    </w:tblPr>
    <w:tblStylePr w:type="firstRow">
      <w:rPr>
        <w:rFonts w:ascii="Arial" w:hAnsi="Arial"/>
        <w:color w:val="F2F2F2"/>
        <w:sz w:val="22"/>
      </w:rPr>
      <w:tblPr/>
      <w:tcPr>
        <w:shd w:val="clear" w:color="5B9BD5" w:themeColor="accent5" w:fill="5B9BD5" w:themeFill="accent5"/>
      </w:tcPr>
    </w:tblStylePr>
    <w:tblStylePr w:type="lastRow">
      <w:rPr>
        <w:rFonts w:ascii="Arial" w:hAnsi="Arial"/>
        <w:color w:val="F2F2F2"/>
        <w:sz w:val="22"/>
      </w:rPr>
      <w:tblPr/>
      <w:tcPr>
        <w:shd w:val="clear" w:color="5B9BD5" w:themeColor="accent5" w:fill="5B9BD5" w:themeFill="accent5"/>
      </w:tcPr>
    </w:tblStylePr>
    <w:tblStylePr w:type="firstCol">
      <w:rPr>
        <w:rFonts w:ascii="Arial" w:hAnsi="Arial"/>
        <w:color w:val="F2F2F2"/>
        <w:sz w:val="22"/>
      </w:rPr>
      <w:tblPr/>
      <w:tcPr>
        <w:shd w:val="clear" w:color="5B9BD5" w:themeColor="accent5" w:fill="5B9BD5" w:themeFill="accent5"/>
      </w:tcPr>
    </w:tblStylePr>
    <w:tblStylePr w:type="lastCol">
      <w:rPr>
        <w:rFonts w:ascii="Arial" w:hAnsi="Arial"/>
        <w:color w:val="F2F2F2"/>
        <w:sz w:val="22"/>
      </w:rPr>
      <w:tblPr/>
      <w:tcPr>
        <w:shd w:val="clear" w:color="5B9BD5" w:themeColor="accent5" w:fill="5B9BD5"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DEAF6" w:themeColor="accent5" w:themeTint="34" w:fill="DDEAF6" w:themeFill="accent5" w:themeFillTint="34"/>
      </w:tcPr>
    </w:tblStylePr>
  </w:style>
  <w:style w:type="table" w:customStyle="1" w:styleId="BorderedLined-Accent6">
    <w:name w:val="Bordered &amp; Lined - Accent 6"/>
    <w:basedOn w:val="TableNormal"/>
    <w:uiPriority w:val="99"/>
    <w:rPr>
      <w:color w:val="404040"/>
    </w:rPr>
    <w:tblPr>
      <w:tblStyleRowBandSize w:val="1"/>
      <w:tblStyleColBandSize w:val="1"/>
      <w:tblBorders>
        <w:top w:val="single" w:sz="4" w:space="0" w:color="416429" w:themeColor="accent6" w:themeShade="95"/>
        <w:left w:val="single" w:sz="4" w:space="0" w:color="416429" w:themeColor="accent6" w:themeShade="95"/>
        <w:bottom w:val="single" w:sz="4" w:space="0" w:color="416429" w:themeColor="accent6" w:themeShade="95"/>
        <w:right w:val="single" w:sz="4" w:space="0" w:color="416429" w:themeColor="accent6" w:themeShade="95"/>
        <w:insideH w:val="single" w:sz="4" w:space="0" w:color="416429" w:themeColor="accent6" w:themeShade="95"/>
        <w:insideV w:val="single" w:sz="4" w:space="0" w:color="416429" w:themeColor="accent6" w:themeShade="95"/>
      </w:tblBorders>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
    <w:name w:val="Bordered"/>
    <w:basedOn w:val="TableNormal"/>
    <w:uiPriority w:val="99"/>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tblPr>
      <w:tblStyleRowBandSize w:val="1"/>
      <w:tblStyleColBandSize w:val="1"/>
      <w:tbl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insideH w:val="single" w:sz="4" w:space="0" w:color="B3C5E7" w:themeColor="accent1" w:themeTint="67"/>
        <w:insideV w:val="single" w:sz="4" w:space="0" w:color="B3C5E7" w:themeColor="accent1" w:themeTint="67"/>
      </w:tblBorders>
    </w:tblPr>
    <w:tblStylePr w:type="firstRow">
      <w:rPr>
        <w:rFonts w:ascii="Arial" w:hAnsi="Arial"/>
        <w:color w:val="404040"/>
        <w:sz w:val="22"/>
      </w:rPr>
      <w:tblPr/>
      <w:tcPr>
        <w:tcBorders>
          <w:bottom w:val="single" w:sz="12" w:space="0" w:color="4472C4" w:themeColor="accent1"/>
        </w:tcBorders>
      </w:tcPr>
    </w:tblStylePr>
    <w:tblStylePr w:type="lastRow">
      <w:rPr>
        <w:rFonts w:ascii="Arial" w:hAnsi="Arial"/>
        <w:color w:val="404040"/>
        <w:sz w:val="22"/>
      </w:rPr>
      <w:tblPr/>
      <w:tcPr>
        <w:tcBorders>
          <w:top w:val="single" w:sz="12" w:space="0" w:color="4472C4"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472C4" w:themeColor="accent1"/>
        </w:tcBorders>
      </w:tcPr>
    </w:tblStylePr>
    <w:tblStylePr w:type="band1Horz">
      <w:rPr>
        <w:rFonts w:ascii="Arial" w:hAnsi="Arial"/>
        <w:color w:val="404040"/>
        <w:sz w:val="22"/>
      </w:rPr>
      <w:tblPr/>
      <w:tcPr>
        <w:tc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tcBorders>
      </w:tcPr>
    </w:tblStylePr>
  </w:style>
  <w:style w:type="table" w:customStyle="1" w:styleId="Bordered-Accent2">
    <w:name w:val="Bordered - Accent 2"/>
    <w:basedOn w:val="TableNormal"/>
    <w:uiPriority w:val="99"/>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rFonts w:ascii="Arial" w:hAnsi="Arial"/>
        <w:color w:val="404040"/>
        <w:sz w:val="22"/>
      </w:rPr>
      <w:tblPr/>
      <w:tcPr>
        <w:tcBorders>
          <w:bottom w:val="single" w:sz="12" w:space="0" w:color="F4B184" w:themeColor="accent2" w:themeTint="97"/>
        </w:tcBorders>
      </w:tcPr>
    </w:tblStylePr>
    <w:tblStylePr w:type="lastRow">
      <w:rPr>
        <w:rFonts w:ascii="Arial" w:hAnsi="Arial"/>
        <w:color w:val="404040"/>
        <w:sz w:val="22"/>
      </w:rPr>
      <w:tblPr/>
      <w:tcPr>
        <w:tcBorders>
          <w:top w:val="single" w:sz="12" w:space="0" w:color="F4B184"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4B184" w:themeColor="accent2" w:themeTint="97"/>
        </w:tcBorders>
      </w:tc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customStyle="1" w:styleId="Bordered-Accent3">
    <w:name w:val="Bordered - Accent 3"/>
    <w:basedOn w:val="TableNormal"/>
    <w:uiPriority w:val="99"/>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rFonts w:ascii="Arial" w:hAnsi="Arial"/>
        <w:color w:val="404040"/>
        <w:sz w:val="22"/>
      </w:rPr>
      <w:tblPr/>
      <w:tcPr>
        <w:tcBorders>
          <w:bottom w:val="single" w:sz="12" w:space="0" w:color="C9C9C9" w:themeColor="accent3" w:themeTint="98"/>
        </w:tcBorders>
      </w:tcPr>
    </w:tblStylePr>
    <w:tblStylePr w:type="lastRow">
      <w:rPr>
        <w:rFonts w:ascii="Arial" w:hAnsi="Arial"/>
        <w:color w:val="404040"/>
        <w:sz w:val="22"/>
      </w:rPr>
      <w:tblPr/>
      <w:tcPr>
        <w:tcBorders>
          <w:top w:val="single" w:sz="12" w:space="0" w:color="C9C9C9"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9C9C9" w:themeColor="accent3" w:themeTint="98"/>
        </w:tcBorders>
      </w:tc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customStyle="1" w:styleId="Bordered-Accent4">
    <w:name w:val="Bordered - Accent 4"/>
    <w:basedOn w:val="TableNormal"/>
    <w:uiPriority w:val="99"/>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rFonts w:ascii="Arial" w:hAnsi="Arial"/>
        <w:color w:val="404040"/>
        <w:sz w:val="22"/>
      </w:rPr>
      <w:tblPr/>
      <w:tcPr>
        <w:tcBorders>
          <w:bottom w:val="single" w:sz="12" w:space="0" w:color="FFD865" w:themeColor="accent4" w:themeTint="9A"/>
        </w:tcBorders>
      </w:tcPr>
    </w:tblStylePr>
    <w:tblStylePr w:type="lastRow">
      <w:rPr>
        <w:rFonts w:ascii="Arial" w:hAnsi="Arial"/>
        <w:color w:val="404040"/>
        <w:sz w:val="22"/>
      </w:rPr>
      <w:tblPr/>
      <w:tcPr>
        <w:tcBorders>
          <w:top w:val="single" w:sz="12" w:space="0" w:color="FFD865"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FD865" w:themeColor="accent4" w:themeTint="9A"/>
        </w:tcBorders>
      </w:tc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customStyle="1" w:styleId="Bordered-Accent5">
    <w:name w:val="Bordered - Accent 5"/>
    <w:basedOn w:val="TableNormal"/>
    <w:uiPriority w:val="99"/>
    <w:tblPr>
      <w:tblStyleRowBandSize w:val="1"/>
      <w:tblStyleColBandSize w:val="1"/>
      <w:tbl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insideH w:val="single" w:sz="4" w:space="0" w:color="BCD6EE" w:themeColor="accent5" w:themeTint="67"/>
        <w:insideV w:val="single" w:sz="4" w:space="0" w:color="BCD6EE" w:themeColor="accent5" w:themeTint="67"/>
      </w:tblBorders>
    </w:tblPr>
    <w:tblStylePr w:type="firstRow">
      <w:rPr>
        <w:rFonts w:ascii="Arial" w:hAnsi="Arial"/>
        <w:color w:val="404040"/>
        <w:sz w:val="22"/>
      </w:rPr>
      <w:tblPr/>
      <w:tcPr>
        <w:tcBorders>
          <w:bottom w:val="single" w:sz="12" w:space="0" w:color="9BC2E5" w:themeColor="accent5" w:themeTint="9A"/>
        </w:tcBorders>
      </w:tcPr>
    </w:tblStylePr>
    <w:tblStylePr w:type="lastRow">
      <w:rPr>
        <w:rFonts w:ascii="Arial" w:hAnsi="Arial"/>
        <w:color w:val="404040"/>
        <w:sz w:val="22"/>
      </w:rPr>
      <w:tblPr/>
      <w:tcPr>
        <w:tcBorders>
          <w:top w:val="single" w:sz="12" w:space="0" w:color="9BC2E5"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BC2E5" w:themeColor="accent5" w:themeTint="9A"/>
        </w:tcBorders>
      </w:tcPr>
    </w:tblStylePr>
    <w:tblStylePr w:type="band1Horz">
      <w:rPr>
        <w:rFonts w:ascii="Arial" w:hAnsi="Arial"/>
        <w:color w:val="404040"/>
        <w:sz w:val="22"/>
      </w:rPr>
      <w:tblPr/>
      <w:tcPr>
        <w:tc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tcBorders>
      </w:tcPr>
    </w:tblStylePr>
  </w:style>
  <w:style w:type="table" w:customStyle="1" w:styleId="Bordered-Accent6">
    <w:name w:val="Bordered - Accent 6"/>
    <w:basedOn w:val="TableNormal"/>
    <w:uiPriority w:val="99"/>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rFonts w:ascii="Arial" w:hAnsi="Arial"/>
        <w:color w:val="404040"/>
        <w:sz w:val="22"/>
      </w:rPr>
      <w:tblPr/>
      <w:tcPr>
        <w:tcBorders>
          <w:bottom w:val="single" w:sz="12" w:space="0" w:color="A9D08E" w:themeColor="accent6" w:themeTint="98"/>
        </w:tcBorders>
      </w:tcPr>
    </w:tblStylePr>
    <w:tblStylePr w:type="lastRow">
      <w:rPr>
        <w:rFonts w:ascii="Arial" w:hAnsi="Arial"/>
        <w:color w:val="404040"/>
        <w:sz w:val="22"/>
      </w:rPr>
      <w:tblPr/>
      <w:tcPr>
        <w:tcBorders>
          <w:top w:val="single" w:sz="12" w:space="0" w:color="A9D08E"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A9D08E" w:themeColor="accent6" w:themeTint="98"/>
        </w:tcBorders>
      </w:tc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2F5496"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2F5496"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2F5496"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2F5496" w:themeColor="accent1" w:themeShade="BF"/>
    </w:rPr>
  </w:style>
  <w:style w:type="character" w:customStyle="1" w:styleId="Heading5Char">
    <w:name w:val="Heading 5 Char"/>
    <w:basedOn w:val="DefaultParagraphFont"/>
    <w:link w:val="Heading5"/>
    <w:uiPriority w:val="9"/>
    <w:rPr>
      <w:rFonts w:ascii="Arial" w:eastAsia="Arial" w:hAnsi="Arial" w:cs="Arial"/>
      <w:color w:val="2F5496"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eastAsia="Arial" w:hAnsi="Arial" w:cs="Arial"/>
      <w:spacing w:val="-10"/>
      <w:sz w:val="56"/>
      <w:szCs w:val="56"/>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i/>
      <w:iCs/>
      <w:color w:val="2F5496" w:themeColor="accent1" w:themeShade="BF"/>
    </w:rPr>
  </w:style>
  <w:style w:type="character" w:styleId="IntenseReference">
    <w:name w:val="Intense Reference"/>
    <w:basedOn w:val="DefaultParagraphFont"/>
    <w:uiPriority w:val="32"/>
    <w:qFormat/>
    <w:rPr>
      <w:b/>
      <w:bCs/>
      <w:smallCaps/>
      <w:color w:val="2F5496"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center" w:pos="4844"/>
        <w:tab w:val="right" w:pos="9689"/>
      </w:tabs>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844"/>
        <w:tab w:val="right" w:pos="9689"/>
      </w:tabs>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after="200"/>
    </w:pPr>
    <w:rPr>
      <w:i/>
      <w:iCs/>
      <w:color w:val="44546A" w:themeColor="text2"/>
      <w:sz w:val="18"/>
      <w:szCs w:val="18"/>
    </w:r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Pr>
      <w:color w:val="954F72"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character" w:styleId="PlaceholderText">
    <w:name w:val="Placeholder Text"/>
    <w:basedOn w:val="DefaultParagraphFont"/>
    <w:uiPriority w:val="99"/>
    <w:semiHidden/>
    <w:rPr>
      <w:color w:val="666666"/>
    </w:rPr>
  </w:style>
  <w:style w:type="paragraph" w:styleId="TOCHeading">
    <w:name w:val="TOC Heading"/>
    <w:uiPriority w:val="39"/>
    <w:unhideWhenUsed/>
  </w:style>
  <w:style w:type="paragraph" w:styleId="TableofFigures">
    <w:name w:val="table of figures"/>
    <w:basedOn w:val="Normal"/>
    <w:next w:val="Normal"/>
    <w:uiPriority w:val="99"/>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4181</Words>
  <Characters>23833</Characters>
  <Application>Microsoft Office Word</Application>
  <DocSecurity>0</DocSecurity>
  <Lines>198</Lines>
  <Paragraphs>55</Paragraphs>
  <ScaleCrop>false</ScaleCrop>
  <Company/>
  <LinksUpToDate>false</LinksUpToDate>
  <CharactersWithSpaces>27959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Anonymous</cp:lastModifiedBy>
  <cp:revision>9</cp:revision>
  <dcterms:created xsi:type="dcterms:W3CDTF">2025-12-05T19:21:00Z</dcterms:created>
  <dcterms:modified xsi:type="dcterms:W3CDTF">2025-12-19T21:12:00Z</dcterms:modified>
</cp:coreProperties>
</file>