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55E8" w:rsidRPr="005155E8" w:rsidRDefault="005155E8" w:rsidP="005155E8">
      <w:pPr>
        <w:spacing w:line="360" w:lineRule="auto"/>
        <w:rPr>
          <w:rFonts w:ascii="Arial" w:hAnsi="Arial" w:cs="Arial"/>
          <w:b/>
          <w:sz w:val="24"/>
          <w:szCs w:val="24"/>
          <w:u w:val="single"/>
        </w:rPr>
      </w:pPr>
      <w:r w:rsidRPr="005155E8">
        <w:rPr>
          <w:rFonts w:ascii="Arial" w:hAnsi="Arial" w:cs="Arial"/>
          <w:b/>
          <w:sz w:val="24"/>
          <w:szCs w:val="24"/>
          <w:u w:val="single"/>
        </w:rPr>
        <w:t>Module Code: SJEU6007</w:t>
      </w:r>
      <w:r w:rsidRPr="005155E8">
        <w:rPr>
          <w:rFonts w:ascii="Arial" w:hAnsi="Arial" w:cs="Arial"/>
          <w:sz w:val="24"/>
          <w:szCs w:val="24"/>
        </w:rPr>
        <w:tab/>
      </w:r>
      <w:r w:rsidRPr="005155E8">
        <w:rPr>
          <w:rFonts w:ascii="Arial" w:hAnsi="Arial" w:cs="Arial"/>
          <w:sz w:val="24"/>
          <w:szCs w:val="24"/>
        </w:rPr>
        <w:tab/>
      </w:r>
      <w:r w:rsidRPr="005155E8">
        <w:rPr>
          <w:rFonts w:ascii="Arial" w:hAnsi="Arial" w:cs="Arial"/>
          <w:sz w:val="24"/>
          <w:szCs w:val="24"/>
        </w:rPr>
        <w:tab/>
      </w:r>
      <w:r w:rsidRPr="005155E8">
        <w:rPr>
          <w:rFonts w:ascii="Arial" w:hAnsi="Arial" w:cs="Arial"/>
          <w:sz w:val="24"/>
          <w:szCs w:val="24"/>
        </w:rPr>
        <w:tab/>
      </w:r>
      <w:r w:rsidRPr="005155E8">
        <w:rPr>
          <w:rFonts w:ascii="Arial" w:hAnsi="Arial" w:cs="Arial"/>
          <w:sz w:val="24"/>
          <w:szCs w:val="24"/>
        </w:rPr>
        <w:tab/>
      </w:r>
      <w:r w:rsidRPr="005155E8">
        <w:rPr>
          <w:rFonts w:ascii="Arial" w:hAnsi="Arial" w:cs="Arial"/>
          <w:b/>
          <w:sz w:val="24"/>
          <w:szCs w:val="24"/>
          <w:u w:val="single"/>
        </w:rPr>
        <w:t>Student Number: 1500316</w:t>
      </w:r>
    </w:p>
    <w:p w:rsidR="005155E8" w:rsidRPr="005155E8" w:rsidRDefault="005155E8" w:rsidP="005155E8">
      <w:pPr>
        <w:spacing w:line="360" w:lineRule="auto"/>
        <w:rPr>
          <w:rFonts w:ascii="Arial" w:hAnsi="Arial" w:cs="Arial"/>
          <w:sz w:val="24"/>
          <w:szCs w:val="24"/>
        </w:rPr>
      </w:pPr>
      <w:r w:rsidRPr="005155E8">
        <w:rPr>
          <w:rFonts w:ascii="Arial" w:hAnsi="Arial" w:cs="Arial"/>
          <w:sz w:val="24"/>
          <w:szCs w:val="24"/>
        </w:rPr>
        <w:t>Critically analyse three classroom management scenarios. Your analysis should explore the responses of the individuals involved and make recommendations, linked to key psychological theories and current good practice, about how each situation could be managed.</w:t>
      </w: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51"/>
        <w:gridCol w:w="5045"/>
      </w:tblGrid>
      <w:tr w:rsidR="005155E8" w:rsidRPr="005155E8" w:rsidTr="000A61AF">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5155E8" w:rsidRPr="005155E8" w:rsidRDefault="005155E8" w:rsidP="005155E8">
            <w:pPr>
              <w:spacing w:after="0" w:line="360" w:lineRule="auto"/>
              <w:jc w:val="center"/>
              <w:rPr>
                <w:rFonts w:ascii="Arial" w:eastAsia="Times New Roman" w:hAnsi="Arial" w:cs="Arial"/>
                <w:sz w:val="24"/>
                <w:szCs w:val="24"/>
                <w:lang w:eastAsia="en-GB"/>
              </w:rPr>
            </w:pPr>
            <w:r w:rsidRPr="005155E8">
              <w:rPr>
                <w:rFonts w:ascii="Arial" w:eastAsia="Times New Roman" w:hAnsi="Arial" w:cs="Arial"/>
                <w:b/>
                <w:sz w:val="24"/>
                <w:szCs w:val="24"/>
                <w:lang w:eastAsia="en-GB"/>
              </w:rPr>
              <w:t>Personal Evaluation</w:t>
            </w:r>
            <w:r w:rsidRPr="005155E8">
              <w:rPr>
                <w:rFonts w:ascii="Arial" w:eastAsia="Times New Roman" w:hAnsi="Arial" w:cs="Arial"/>
                <w:sz w:val="24"/>
                <w:szCs w:val="24"/>
                <w:lang w:eastAsia="en-GB"/>
              </w:rPr>
              <w:t xml:space="preserve"> – to support your academic progress, we are interested to read your own assessment of this work as a measure of your own effort and in order that we may comment on your strengths and weaknesses.</w:t>
            </w:r>
          </w:p>
          <w:p w:rsidR="005155E8" w:rsidRPr="005155E8" w:rsidRDefault="005155E8" w:rsidP="005155E8">
            <w:pPr>
              <w:spacing w:after="0" w:line="360" w:lineRule="auto"/>
              <w:jc w:val="center"/>
              <w:rPr>
                <w:rFonts w:ascii="Arial" w:eastAsia="Times New Roman" w:hAnsi="Arial" w:cs="Arial"/>
                <w:b/>
                <w:sz w:val="24"/>
                <w:szCs w:val="24"/>
                <w:u w:val="single"/>
                <w:lang w:eastAsia="en-GB"/>
              </w:rPr>
            </w:pPr>
            <w:r w:rsidRPr="005155E8">
              <w:rPr>
                <w:rFonts w:ascii="Arial" w:eastAsia="Times New Roman" w:hAnsi="Arial" w:cs="Arial"/>
                <w:b/>
                <w:sz w:val="24"/>
                <w:szCs w:val="24"/>
                <w:u w:val="single"/>
                <w:lang w:eastAsia="en-GB"/>
              </w:rPr>
              <w:t>Please ensure you complete this assessment before submitting your work.</w:t>
            </w:r>
          </w:p>
        </w:tc>
      </w:tr>
      <w:tr w:rsidR="005155E8" w:rsidRPr="005155E8" w:rsidTr="000A61AF">
        <w:trPr>
          <w:trHeight w:val="572"/>
        </w:trPr>
        <w:tc>
          <w:tcPr>
            <w:tcW w:w="4860" w:type="dxa"/>
            <w:tcBorders>
              <w:top w:val="single" w:sz="6" w:space="0" w:color="auto"/>
              <w:left w:val="double" w:sz="4" w:space="0" w:color="auto"/>
              <w:bottom w:val="single" w:sz="6" w:space="0" w:color="auto"/>
              <w:right w:val="single" w:sz="6" w:space="0" w:color="auto"/>
            </w:tcBorders>
          </w:tcPr>
          <w:p w:rsidR="005155E8" w:rsidRPr="005155E8" w:rsidRDefault="005155E8" w:rsidP="005155E8">
            <w:pPr>
              <w:spacing w:after="0" w:line="360" w:lineRule="auto"/>
              <w:rPr>
                <w:rFonts w:ascii="Arial" w:eastAsia="Times New Roman" w:hAnsi="Arial" w:cs="Arial"/>
                <w:sz w:val="24"/>
                <w:szCs w:val="24"/>
                <w:lang w:eastAsia="en-GB"/>
              </w:rPr>
            </w:pPr>
            <w:r w:rsidRPr="005155E8">
              <w:rPr>
                <w:rFonts w:ascii="Arial" w:eastAsia="Times New Roman" w:hAnsi="Arial" w:cs="Arial"/>
                <w:sz w:val="24"/>
                <w:szCs w:val="24"/>
                <w:lang w:eastAsia="en-GB"/>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5155E8" w:rsidRPr="005155E8" w:rsidRDefault="00673B35" w:rsidP="005155E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 have looked at a variety of model of behaviours and have linked to relevant theory and practice. </w:t>
            </w:r>
          </w:p>
        </w:tc>
      </w:tr>
      <w:tr w:rsidR="005155E8" w:rsidRPr="005155E8" w:rsidTr="000A61AF">
        <w:trPr>
          <w:trHeight w:val="571"/>
        </w:trPr>
        <w:tc>
          <w:tcPr>
            <w:tcW w:w="4860" w:type="dxa"/>
            <w:tcBorders>
              <w:top w:val="single" w:sz="6" w:space="0" w:color="auto"/>
              <w:left w:val="double" w:sz="4" w:space="0" w:color="auto"/>
              <w:bottom w:val="single" w:sz="6" w:space="0" w:color="auto"/>
              <w:right w:val="single" w:sz="6" w:space="0" w:color="auto"/>
            </w:tcBorders>
          </w:tcPr>
          <w:p w:rsidR="005155E8" w:rsidRPr="005155E8" w:rsidRDefault="005155E8" w:rsidP="005155E8">
            <w:pPr>
              <w:spacing w:after="0" w:line="360" w:lineRule="auto"/>
              <w:rPr>
                <w:rFonts w:ascii="Arial" w:eastAsia="Times New Roman" w:hAnsi="Arial" w:cs="Arial"/>
                <w:sz w:val="24"/>
                <w:szCs w:val="24"/>
                <w:lang w:eastAsia="en-GB"/>
              </w:rPr>
            </w:pPr>
            <w:r w:rsidRPr="005155E8">
              <w:rPr>
                <w:rFonts w:ascii="Arial" w:eastAsia="Times New Roman" w:hAnsi="Arial" w:cs="Arial"/>
                <w:sz w:val="24"/>
                <w:szCs w:val="24"/>
                <w:lang w:eastAsia="en-GB"/>
              </w:rPr>
              <w:t>Which aspects do you consider could have been improved in this piece of work?</w:t>
            </w:r>
          </w:p>
          <w:p w:rsidR="005155E8" w:rsidRPr="005155E8" w:rsidRDefault="005155E8" w:rsidP="005155E8">
            <w:pPr>
              <w:spacing w:after="0" w:line="360" w:lineRule="auto"/>
              <w:rPr>
                <w:rFonts w:ascii="Arial" w:eastAsia="Times New Roman" w:hAnsi="Arial" w:cs="Arial"/>
                <w:sz w:val="24"/>
                <w:szCs w:val="24"/>
                <w:lang w:eastAsia="en-GB"/>
              </w:rPr>
            </w:pPr>
          </w:p>
        </w:tc>
        <w:tc>
          <w:tcPr>
            <w:tcW w:w="6339" w:type="dxa"/>
            <w:tcBorders>
              <w:top w:val="single" w:sz="6" w:space="0" w:color="auto"/>
              <w:left w:val="single" w:sz="6" w:space="0" w:color="auto"/>
              <w:bottom w:val="single" w:sz="6" w:space="0" w:color="auto"/>
              <w:right w:val="double" w:sz="4" w:space="0" w:color="auto"/>
            </w:tcBorders>
          </w:tcPr>
          <w:p w:rsidR="005155E8" w:rsidRPr="005155E8" w:rsidRDefault="00673B35" w:rsidP="005155E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I could have improved the depth of which was about how behaviours work.</w:t>
            </w:r>
          </w:p>
        </w:tc>
      </w:tr>
      <w:tr w:rsidR="005155E8" w:rsidRPr="005155E8" w:rsidTr="000A61AF">
        <w:trPr>
          <w:trHeight w:val="571"/>
        </w:trPr>
        <w:tc>
          <w:tcPr>
            <w:tcW w:w="4860" w:type="dxa"/>
            <w:tcBorders>
              <w:top w:val="single" w:sz="6" w:space="0" w:color="auto"/>
              <w:left w:val="double" w:sz="4" w:space="0" w:color="auto"/>
              <w:bottom w:val="double" w:sz="4" w:space="0" w:color="auto"/>
              <w:right w:val="single" w:sz="6" w:space="0" w:color="auto"/>
            </w:tcBorders>
          </w:tcPr>
          <w:p w:rsidR="005155E8" w:rsidRPr="005155E8" w:rsidRDefault="005155E8" w:rsidP="005155E8">
            <w:pPr>
              <w:spacing w:after="0" w:line="360" w:lineRule="auto"/>
              <w:rPr>
                <w:rFonts w:ascii="Arial" w:eastAsia="Times New Roman" w:hAnsi="Arial" w:cs="Arial"/>
                <w:sz w:val="24"/>
                <w:szCs w:val="24"/>
                <w:lang w:eastAsia="en-GB"/>
              </w:rPr>
            </w:pPr>
            <w:r w:rsidRPr="005155E8">
              <w:rPr>
                <w:rFonts w:ascii="Arial" w:eastAsia="Times New Roman" w:hAnsi="Arial" w:cs="Arial"/>
                <w:sz w:val="24"/>
                <w:szCs w:val="24"/>
                <w:lang w:eastAsia="en-GB"/>
              </w:rPr>
              <w:t>What have you found most satisfying whilst undertaking this submission?</w:t>
            </w:r>
          </w:p>
          <w:p w:rsidR="005155E8" w:rsidRPr="005155E8" w:rsidRDefault="005155E8" w:rsidP="005155E8">
            <w:pPr>
              <w:spacing w:after="0" w:line="360" w:lineRule="auto"/>
              <w:rPr>
                <w:rFonts w:ascii="Arial" w:eastAsia="Times New Roman" w:hAnsi="Arial" w:cs="Arial"/>
                <w:sz w:val="24"/>
                <w:szCs w:val="24"/>
                <w:lang w:eastAsia="en-GB"/>
              </w:rPr>
            </w:pPr>
          </w:p>
        </w:tc>
        <w:tc>
          <w:tcPr>
            <w:tcW w:w="6339" w:type="dxa"/>
            <w:tcBorders>
              <w:top w:val="single" w:sz="6" w:space="0" w:color="auto"/>
              <w:left w:val="single" w:sz="6" w:space="0" w:color="auto"/>
              <w:bottom w:val="double" w:sz="4" w:space="0" w:color="auto"/>
              <w:right w:val="double" w:sz="4" w:space="0" w:color="auto"/>
            </w:tcBorders>
          </w:tcPr>
          <w:p w:rsidR="005155E8" w:rsidRPr="005155E8" w:rsidRDefault="00673B35" w:rsidP="005155E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 have understood in depth how behaviours can come about in a classroom which have more to them than just a child misbehaving. </w:t>
            </w:r>
          </w:p>
        </w:tc>
      </w:tr>
    </w:tbl>
    <w:p w:rsidR="009557B0" w:rsidRDefault="009557B0" w:rsidP="005155E8">
      <w:pPr>
        <w:spacing w:line="360" w:lineRule="auto"/>
        <w:rPr>
          <w:rFonts w:ascii="Arial" w:hAnsi="Arial" w:cs="Arial"/>
          <w:b/>
          <w:sz w:val="24"/>
          <w:szCs w:val="24"/>
          <w:u w:val="single"/>
        </w:rPr>
      </w:pPr>
    </w:p>
    <w:p w:rsidR="009557B0" w:rsidRPr="009557B0" w:rsidRDefault="009557B0" w:rsidP="005155E8">
      <w:pPr>
        <w:spacing w:line="360" w:lineRule="auto"/>
        <w:rPr>
          <w:rFonts w:ascii="Arial" w:hAnsi="Arial" w:cs="Arial"/>
          <w:sz w:val="24"/>
          <w:szCs w:val="24"/>
        </w:rPr>
      </w:pPr>
      <w:r w:rsidRPr="009557B0">
        <w:rPr>
          <w:rFonts w:ascii="Arial" w:hAnsi="Arial" w:cs="Arial"/>
          <w:sz w:val="24"/>
          <w:szCs w:val="24"/>
        </w:rPr>
        <w:t xml:space="preserve">This resource pack will be critically analysing scenarios 3,8,10. Each analysis will include relevant theory, policy and practice. </w:t>
      </w:r>
    </w:p>
    <w:p w:rsidR="005155E8" w:rsidRPr="005155E8" w:rsidRDefault="005155E8" w:rsidP="005155E8">
      <w:pPr>
        <w:spacing w:line="360" w:lineRule="auto"/>
        <w:rPr>
          <w:rFonts w:ascii="Arial" w:hAnsi="Arial" w:cs="Arial"/>
          <w:b/>
          <w:sz w:val="24"/>
          <w:szCs w:val="24"/>
          <w:u w:val="single"/>
        </w:rPr>
      </w:pPr>
      <w:r w:rsidRPr="005155E8">
        <w:rPr>
          <w:rFonts w:ascii="Arial" w:hAnsi="Arial" w:cs="Arial"/>
          <w:b/>
          <w:sz w:val="24"/>
          <w:szCs w:val="24"/>
          <w:u w:val="single"/>
        </w:rPr>
        <w:t>Scenario 3</w:t>
      </w:r>
    </w:p>
    <w:p w:rsidR="005155E8" w:rsidRPr="005155E8" w:rsidRDefault="005155E8" w:rsidP="005155E8">
      <w:pPr>
        <w:spacing w:line="360" w:lineRule="auto"/>
        <w:rPr>
          <w:rFonts w:ascii="Arial" w:hAnsi="Arial" w:cs="Arial"/>
          <w:sz w:val="24"/>
          <w:szCs w:val="24"/>
        </w:rPr>
      </w:pPr>
      <w:bookmarkStart w:id="0" w:name="_GoBack"/>
      <w:r w:rsidRPr="005155E8">
        <w:rPr>
          <w:rFonts w:ascii="Arial" w:hAnsi="Arial" w:cs="Arial"/>
          <w:sz w:val="24"/>
          <w:szCs w:val="24"/>
        </w:rPr>
        <w:t xml:space="preserve">In this scenario the child shows highly emotional and angry behaviour, he is </w:t>
      </w:r>
      <w:bookmarkEnd w:id="0"/>
      <w:r w:rsidRPr="005155E8">
        <w:rPr>
          <w:rFonts w:ascii="Arial" w:hAnsi="Arial" w:cs="Arial"/>
          <w:sz w:val="24"/>
          <w:szCs w:val="24"/>
        </w:rPr>
        <w:t xml:space="preserve">extremely sensitive to criticism which leads to him demonstrating very difficult behaviour. Shouting and threats of taking away ‘golden time’ don’t alter his behaviour and other children are beginning to copy him. The way the teacher approaches this scenario could be improved, they are shouting at him and taking things away from him which he’s clearly not bothered about. The issue is that the child cannot follow rules and it is disturbing the learning of the class with his </w:t>
      </w:r>
      <w:r w:rsidRPr="005155E8">
        <w:rPr>
          <w:rFonts w:ascii="Arial" w:hAnsi="Arial" w:cs="Arial"/>
          <w:sz w:val="24"/>
          <w:szCs w:val="24"/>
        </w:rPr>
        <w:lastRenderedPageBreak/>
        <w:t>behaviour. The teacher is constantly focusing on him which is demonstrating to the rest of the class how to grab the teacher’s attention. The teacher is treating it as behaviourism as they are using Skinners theory on operant conditioning (Lasser</w:t>
      </w:r>
      <w:proofErr w:type="gramStart"/>
      <w:r w:rsidRPr="005155E8">
        <w:rPr>
          <w:rFonts w:ascii="Arial" w:hAnsi="Arial" w:cs="Arial"/>
          <w:sz w:val="24"/>
          <w:szCs w:val="24"/>
        </w:rPr>
        <w:t>,1973</w:t>
      </w:r>
      <w:proofErr w:type="gramEnd"/>
      <w:r w:rsidRPr="005155E8">
        <w:rPr>
          <w:rFonts w:ascii="Arial" w:hAnsi="Arial" w:cs="Arial"/>
          <w:sz w:val="24"/>
          <w:szCs w:val="24"/>
        </w:rPr>
        <w:t xml:space="preserve"> ), as they are issuing sanctions for bad behaviour. However this isn’t working, the scenario states that Simon is from a dysfunctional family, therefore the model of behaviour being demonstrated is systemic. This means that due to the way the </w:t>
      </w:r>
      <w:proofErr w:type="spellStart"/>
      <w:proofErr w:type="gramStart"/>
      <w:r w:rsidRPr="005155E8">
        <w:rPr>
          <w:rFonts w:ascii="Arial" w:hAnsi="Arial" w:cs="Arial"/>
          <w:sz w:val="24"/>
          <w:szCs w:val="24"/>
        </w:rPr>
        <w:t>childs</w:t>
      </w:r>
      <w:proofErr w:type="spellEnd"/>
      <w:proofErr w:type="gramEnd"/>
      <w:r w:rsidRPr="005155E8">
        <w:rPr>
          <w:rFonts w:ascii="Arial" w:hAnsi="Arial" w:cs="Arial"/>
          <w:sz w:val="24"/>
          <w:szCs w:val="24"/>
        </w:rPr>
        <w:t xml:space="preserve"> family environment works, it is effecting the way the child functions in school, inevitably failing him. Therefore it is essential that the school works with the family of the child to stop his behaviour from worsening and to start helping him to become better behaved (</w:t>
      </w:r>
      <w:proofErr w:type="spellStart"/>
      <w:r w:rsidRPr="005155E8">
        <w:rPr>
          <w:rFonts w:ascii="Arial" w:hAnsi="Arial" w:cs="Arial"/>
          <w:sz w:val="24"/>
          <w:szCs w:val="24"/>
        </w:rPr>
        <w:t>Childrens</w:t>
      </w:r>
      <w:proofErr w:type="spellEnd"/>
      <w:r w:rsidRPr="005155E8">
        <w:rPr>
          <w:rFonts w:ascii="Arial" w:hAnsi="Arial" w:cs="Arial"/>
          <w:sz w:val="24"/>
          <w:szCs w:val="24"/>
        </w:rPr>
        <w:t xml:space="preserve"> Commissioner for Wales, 2017). According to McLeod (2007), Bowlby’s theory on attachment indicates that if a child is unable to form attachments to a parent or caregiver it can cause huge implications with the child’s development. This is because attachments and relationships set the base for the child future. According to NSPCC (2018), children who have an unstable relationship with their families especially their parents are prone to showing emotional difficulties, such as anger, sadness and low self-esteem, it can also lead to children having learning difficulties, low educational attainment and difficulties in communicating with other people. Therefore the teacher in this scenario needs to understand that Simon is not acting this way out of choice, it’s most likely the only way he knows how to act. Therefore the class teacher could apply to have the ‘Thinking Detective’ programme implemented in their school. This programme helps children to understand how to play with their friends nicely, how to understand their feelings and how to control their temper through a variety of techniques such as; puppets, work sheets and group work. It also helps teachers to manage their classrooms efficiently demonstrating strategies such as; tactical ignoring and proximity praise. This programme runs over ten weeks and focuses on developing social, emotional and behavioural skills. The children learn how to deal with situations that occur in the classroom and on the playground, encouraging them to develop their thinking, listening and speaking skills (St Marys C.P School, 2018). The teacher can then use the approach of tactical ignoring, as the child is then aware that if the teacher rubs their ignore muscle, they are being ignored for a reason allowing them to think about why they are being ignored and adjust their behaviour without being shouted at. The teacher could also use the strategy two stars and a wish when marking the </w:t>
      </w:r>
      <w:proofErr w:type="spellStart"/>
      <w:proofErr w:type="gramStart"/>
      <w:r w:rsidRPr="005155E8">
        <w:rPr>
          <w:rFonts w:ascii="Arial" w:hAnsi="Arial" w:cs="Arial"/>
          <w:sz w:val="24"/>
          <w:szCs w:val="24"/>
        </w:rPr>
        <w:t>childs</w:t>
      </w:r>
      <w:proofErr w:type="spellEnd"/>
      <w:proofErr w:type="gramEnd"/>
      <w:r w:rsidRPr="005155E8">
        <w:rPr>
          <w:rFonts w:ascii="Arial" w:hAnsi="Arial" w:cs="Arial"/>
          <w:sz w:val="24"/>
          <w:szCs w:val="24"/>
        </w:rPr>
        <w:t xml:space="preserve"> work. This then allows the child to be praised, but they are also </w:t>
      </w:r>
      <w:r w:rsidRPr="005155E8">
        <w:rPr>
          <w:rFonts w:ascii="Arial" w:hAnsi="Arial" w:cs="Arial"/>
          <w:sz w:val="24"/>
          <w:szCs w:val="24"/>
        </w:rPr>
        <w:lastRenderedPageBreak/>
        <w:t xml:space="preserve">given advice on how they can improve. The use of feeling flash cards could also be introduced to the child along with a visual timetable. The cards will allows the child to explain to the teacher how they feel and the visual timetable will help the child to know what is expected of them throughout the day. According to Integrated Treatment Service (2009), anxiety is the biggest factor that triggers difficult behaviour as children are unaware of what they are doing throughout the day. By using a visual timetable the child will be able to understand what is going on throughout his day, help him establish a routine and it is also a way of enforcing rules and encouraging him to finish the more difficult tasks. For example, the rule is that one thing in the timetable must be complete before moving on to the next. Therefore the child will not be able to move onto ‘golden time’ or onto the next activity which is their favourite without finishing the one prior, therefore it can be used to encourage them to complete the more difficult tasks. Visual timetables can also be used at home, therefore the teacher could have a discussion with the family to see if they would be open to implementing a timetable too, which would again work in favour of improving the </w:t>
      </w:r>
      <w:proofErr w:type="spellStart"/>
      <w:proofErr w:type="gramStart"/>
      <w:r w:rsidRPr="005155E8">
        <w:rPr>
          <w:rFonts w:ascii="Arial" w:hAnsi="Arial" w:cs="Arial"/>
          <w:sz w:val="24"/>
          <w:szCs w:val="24"/>
        </w:rPr>
        <w:t>childs</w:t>
      </w:r>
      <w:proofErr w:type="spellEnd"/>
      <w:proofErr w:type="gramEnd"/>
      <w:r w:rsidRPr="005155E8">
        <w:rPr>
          <w:rFonts w:ascii="Arial" w:hAnsi="Arial" w:cs="Arial"/>
          <w:sz w:val="24"/>
          <w:szCs w:val="24"/>
        </w:rPr>
        <w:t xml:space="preserve"> behaviour. </w:t>
      </w:r>
    </w:p>
    <w:p w:rsidR="005155E8" w:rsidRPr="005155E8" w:rsidRDefault="005155E8" w:rsidP="005155E8">
      <w:pPr>
        <w:spacing w:line="360" w:lineRule="auto"/>
        <w:rPr>
          <w:rFonts w:ascii="Arial" w:hAnsi="Arial" w:cs="Arial"/>
          <w:b/>
          <w:sz w:val="24"/>
          <w:szCs w:val="24"/>
          <w:u w:val="single"/>
        </w:rPr>
      </w:pPr>
    </w:p>
    <w:p w:rsidR="005155E8" w:rsidRPr="005155E8" w:rsidRDefault="005155E8" w:rsidP="005155E8">
      <w:pPr>
        <w:spacing w:line="360" w:lineRule="auto"/>
        <w:rPr>
          <w:rFonts w:ascii="Arial" w:hAnsi="Arial" w:cs="Arial"/>
          <w:b/>
          <w:sz w:val="24"/>
          <w:szCs w:val="24"/>
          <w:u w:val="single"/>
        </w:rPr>
      </w:pPr>
      <w:r w:rsidRPr="005155E8">
        <w:rPr>
          <w:rFonts w:ascii="Arial" w:hAnsi="Arial" w:cs="Arial"/>
          <w:b/>
          <w:sz w:val="24"/>
          <w:szCs w:val="24"/>
          <w:u w:val="single"/>
        </w:rPr>
        <w:t>Scenario 8</w:t>
      </w:r>
    </w:p>
    <w:p w:rsidR="005155E8" w:rsidRPr="005155E8" w:rsidRDefault="005155E8" w:rsidP="005155E8">
      <w:pPr>
        <w:spacing w:line="360" w:lineRule="auto"/>
        <w:rPr>
          <w:rFonts w:ascii="Arial" w:hAnsi="Arial" w:cs="Arial"/>
          <w:sz w:val="24"/>
          <w:szCs w:val="24"/>
        </w:rPr>
      </w:pPr>
      <w:r w:rsidRPr="005155E8">
        <w:rPr>
          <w:rFonts w:ascii="Arial" w:hAnsi="Arial" w:cs="Arial"/>
          <w:sz w:val="24"/>
          <w:szCs w:val="24"/>
        </w:rPr>
        <w:t xml:space="preserve">Here the teacher is trying to teach the children phonics by sitting them down and teaching them. However she is finding it difficult to hold the </w:t>
      </w:r>
      <w:proofErr w:type="spellStart"/>
      <w:r w:rsidRPr="005155E8">
        <w:rPr>
          <w:rFonts w:ascii="Arial" w:hAnsi="Arial" w:cs="Arial"/>
          <w:sz w:val="24"/>
          <w:szCs w:val="24"/>
        </w:rPr>
        <w:t>childrens</w:t>
      </w:r>
      <w:proofErr w:type="spellEnd"/>
      <w:r w:rsidRPr="005155E8">
        <w:rPr>
          <w:rFonts w:ascii="Arial" w:hAnsi="Arial" w:cs="Arial"/>
          <w:sz w:val="24"/>
          <w:szCs w:val="24"/>
        </w:rPr>
        <w:t xml:space="preserve"> attention for long enough as they start to wriggle and roll about. One of the main focuses of good classroom management is to be able to provide a good learning experience, keeping children engaged and motivated so that they are able to reach their full potential. In this scenario the children are displaying biological behaviour which isn’t necessarily misbehaving they are just not engaged with the activity and do not know that they have to sit still and listen to learn as they are too young to do so. According to Speech Therapy Centres (2013), children in the foundation phase are only able to concentrate on an activity for around 8-10 minutes without being distracted, therefore a more engaging activity would be more appropriate. Therefore the teaching approach needs to change. According to Wainwright et al., (2016) children in the foundation phase learn allot more and much more efficiently through play and hands on activities. Welsh Assembly Government (2008) also highlights that when play is </w:t>
      </w:r>
      <w:r w:rsidRPr="005155E8">
        <w:rPr>
          <w:rFonts w:ascii="Arial" w:hAnsi="Arial" w:cs="Arial"/>
          <w:sz w:val="24"/>
          <w:szCs w:val="24"/>
        </w:rPr>
        <w:lastRenderedPageBreak/>
        <w:t xml:space="preserve">well planned it can help children to increase their understanding and improve their language development. The foundation phase classroom should focus on learning through play and hands on experience rather than being directly taught by the teacher according to WAG (2008). The recent policy surrounding foundation phase learning is linked to Rudolf </w:t>
      </w:r>
      <w:proofErr w:type="spellStart"/>
      <w:proofErr w:type="gramStart"/>
      <w:r w:rsidRPr="005155E8">
        <w:rPr>
          <w:rFonts w:ascii="Arial" w:hAnsi="Arial" w:cs="Arial"/>
          <w:sz w:val="24"/>
          <w:szCs w:val="24"/>
        </w:rPr>
        <w:t>Steiners</w:t>
      </w:r>
      <w:proofErr w:type="spellEnd"/>
      <w:proofErr w:type="gramEnd"/>
      <w:r w:rsidRPr="005155E8">
        <w:rPr>
          <w:rFonts w:ascii="Arial" w:hAnsi="Arial" w:cs="Arial"/>
          <w:sz w:val="24"/>
          <w:szCs w:val="24"/>
        </w:rPr>
        <w:t xml:space="preserve"> pedagogical theory. He believes that the role of a teacher is to guide the </w:t>
      </w:r>
      <w:proofErr w:type="spellStart"/>
      <w:proofErr w:type="gramStart"/>
      <w:r w:rsidRPr="005155E8">
        <w:rPr>
          <w:rFonts w:ascii="Arial" w:hAnsi="Arial" w:cs="Arial"/>
          <w:sz w:val="24"/>
          <w:szCs w:val="24"/>
        </w:rPr>
        <w:t>childs</w:t>
      </w:r>
      <w:proofErr w:type="spellEnd"/>
      <w:proofErr w:type="gramEnd"/>
      <w:r w:rsidRPr="005155E8">
        <w:rPr>
          <w:rFonts w:ascii="Arial" w:hAnsi="Arial" w:cs="Arial"/>
          <w:sz w:val="24"/>
          <w:szCs w:val="24"/>
        </w:rPr>
        <w:t xml:space="preserve"> learning not to control it as it allows them to explore what they wish and develop at their own pace (Steiner Waldorf Foundation, 2017). Therefore the teacher could use hands on activities to engage the children in learning phonics instead. For example, using alphabet mats and playdough and singing the alphabet. However another aspect that could be effecting the behaviour of the children is that the teacher is a supply, and that they aren’t comfortable with her and don’t understand that she is their teacher, therefore by engaging the children in a fun activity before a learning activity will get them feeling comfortable around her. The teacher could also be using Skinners operate conditioning theory, using praise and sanctions to get the desired behaviour. For example; using proximity praise. Praise the children who are behaving close to those that are getting distracted. However if this doesn’t work, try using the marbles in the jar strategy. This is where when a child is praised and given some marbles to put in the jar for doing something well or behaving in a positive way. Once the jar is full the class will receive a reward, such as playing their favourite song at play time, or an extra five minutes ‘golden-time’ on Friday. Here it is a whole class approach to gaining good behaviour as everyone will want the reward. </w:t>
      </w:r>
    </w:p>
    <w:p w:rsidR="005155E8" w:rsidRPr="005155E8" w:rsidRDefault="005155E8" w:rsidP="005155E8">
      <w:pPr>
        <w:spacing w:line="360" w:lineRule="auto"/>
        <w:rPr>
          <w:rFonts w:ascii="Arial" w:hAnsi="Arial" w:cs="Arial"/>
          <w:sz w:val="24"/>
          <w:szCs w:val="24"/>
        </w:rPr>
      </w:pPr>
    </w:p>
    <w:p w:rsidR="005155E8" w:rsidRPr="005155E8" w:rsidRDefault="005155E8" w:rsidP="005155E8">
      <w:pPr>
        <w:spacing w:line="360" w:lineRule="auto"/>
        <w:rPr>
          <w:rFonts w:ascii="Arial" w:hAnsi="Arial" w:cs="Arial"/>
          <w:b/>
          <w:sz w:val="24"/>
          <w:szCs w:val="24"/>
          <w:u w:val="single"/>
        </w:rPr>
      </w:pPr>
      <w:r w:rsidRPr="005155E8">
        <w:rPr>
          <w:rFonts w:ascii="Arial" w:hAnsi="Arial" w:cs="Arial"/>
          <w:b/>
          <w:sz w:val="24"/>
          <w:szCs w:val="24"/>
          <w:u w:val="single"/>
        </w:rPr>
        <w:t>Scenario 10</w:t>
      </w:r>
    </w:p>
    <w:p w:rsidR="005155E8" w:rsidRDefault="005155E8" w:rsidP="005155E8">
      <w:pPr>
        <w:spacing w:line="360" w:lineRule="auto"/>
        <w:rPr>
          <w:rFonts w:ascii="Arial" w:hAnsi="Arial" w:cs="Arial"/>
          <w:sz w:val="24"/>
          <w:szCs w:val="24"/>
        </w:rPr>
      </w:pPr>
      <w:r w:rsidRPr="005155E8">
        <w:rPr>
          <w:rFonts w:ascii="Arial" w:hAnsi="Arial" w:cs="Arial"/>
          <w:sz w:val="24"/>
          <w:szCs w:val="24"/>
        </w:rPr>
        <w:t xml:space="preserve">In this scenario there are two friends that are having a conversation whilst they are meant to be working. The teacher asks them to stop but one child is adamant she was only asking for a rubber. The teacher handles this well as he holds a positive tone, he respects what she says and acknowledges her by using her name to address the issue, and he is also persistent in what he wants her to do. However he could have shown more empathy towards Amy. It is easy to see that Amy has a clear attachment to Bonnie, which may be an issue when it comes to carrying out classwork. Therefore the teacher should change the seating plan of the classroom, </w:t>
      </w:r>
      <w:r w:rsidRPr="005155E8">
        <w:rPr>
          <w:rFonts w:ascii="Arial" w:hAnsi="Arial" w:cs="Arial"/>
          <w:sz w:val="24"/>
          <w:szCs w:val="24"/>
        </w:rPr>
        <w:lastRenderedPageBreak/>
        <w:t xml:space="preserve">mixing abilities and friendship groups so that everyone in the class is encouraged to engage with all of their peers. This may work in Amy’s favour as it will let her get to know the other children in her class and help her concentrate on her work as she is not distracted with temptation to talk to Bonnie. This will also ensure that she is no longer disturbing the class and that Bonnie is able to complete her work without being disturbed.  According to Bowlby (Holmes, 2014), attachment to friends can be formed due to lack of attachments made in the home environment, therefore it is crucial that the teacher understands and respects the relationship the two girls have. According to Bath Spa University (2017) a growing number of children are being identified as having emotional and behavioural needs which aren’t being met by schools. Research by the Marmot Review (2010) confirms that when a child is supported in the correct way it can promote better learning and health outcomes. Therefore it is essential that the teacher understands the severity of the attachment and the importance of handling the relationship with care, ensuring no learning or development is damaged. The teacher could also work with the family to encourage Amy to participate in extracurricular activities to help her engage with other children and build relationships with them, ensuring that she has more than one friend.  Amy here is demonstrating the cognitive model of behaviour, as she goes straight into defence mode when the teacher asks her to stop talking (Beck Institute, 2016). Here the teacher could use the behaviourism theory introducing a whole class praise system. For example, ‘catch them being good’. This is where the children are in charge of who receives praise and marbles to put in the praise jar, once this is full the whole class will receive a reward. This may get Amy to behave well as she will want to participate in receiving marbles for good behaviour. According to </w:t>
      </w:r>
      <w:proofErr w:type="spellStart"/>
      <w:r w:rsidRPr="005155E8">
        <w:rPr>
          <w:rFonts w:ascii="Arial" w:hAnsi="Arial" w:cs="Arial"/>
          <w:sz w:val="24"/>
          <w:szCs w:val="24"/>
        </w:rPr>
        <w:t>Estyn</w:t>
      </w:r>
      <w:proofErr w:type="spellEnd"/>
      <w:r w:rsidRPr="005155E8">
        <w:rPr>
          <w:rFonts w:ascii="Arial" w:hAnsi="Arial" w:cs="Arial"/>
          <w:sz w:val="24"/>
          <w:szCs w:val="24"/>
        </w:rPr>
        <w:t xml:space="preserve"> (2017), Oak Field Primary School demonstrate best practice in managing children with attachment needs by using their Nurture, Emotional, Wellbeing and Skills (NEWS) programme. This intervention was established to ensure that children that have access to the support they require at all times. Sessions take place which promote positive behaviour and help children to understand their feelings and their surroundings. Individual pupils are tracked carefully using teacher assessments. This approach reduced exclusion rates from 27 down to 3 in the first year and found that children who received nurturing support made very good progress and continued to achieve. The programme also found that the number of safeguarding disclosures being made by children had increased, which shows they were becoming confident </w:t>
      </w:r>
      <w:r w:rsidRPr="005155E8">
        <w:rPr>
          <w:rFonts w:ascii="Arial" w:hAnsi="Arial" w:cs="Arial"/>
          <w:sz w:val="24"/>
          <w:szCs w:val="24"/>
        </w:rPr>
        <w:lastRenderedPageBreak/>
        <w:t xml:space="preserve">and emotionally aware individuals, strengthening the safeguarding of pupils. Therefor if the teacher could enrol a nurturing group into his class/ across the school it may help them to understand why Amy is behaving a certain way, and help Amy to become emotionally aware. </w:t>
      </w:r>
    </w:p>
    <w:p w:rsidR="00673B35" w:rsidRDefault="00673B35" w:rsidP="005155E8">
      <w:pPr>
        <w:spacing w:line="360" w:lineRule="auto"/>
        <w:rPr>
          <w:rFonts w:ascii="Arial" w:hAnsi="Arial" w:cs="Arial"/>
          <w:sz w:val="24"/>
          <w:szCs w:val="24"/>
        </w:rPr>
      </w:pPr>
    </w:p>
    <w:p w:rsidR="005155E8" w:rsidRPr="00673B35" w:rsidRDefault="005155E8" w:rsidP="005155E8">
      <w:pPr>
        <w:spacing w:line="360" w:lineRule="auto"/>
        <w:rPr>
          <w:rFonts w:ascii="Arial" w:hAnsi="Arial" w:cs="Arial"/>
          <w:sz w:val="24"/>
          <w:szCs w:val="24"/>
          <w:u w:val="single"/>
        </w:rPr>
      </w:pPr>
      <w:r w:rsidRPr="00673B35">
        <w:rPr>
          <w:rFonts w:ascii="Arial" w:hAnsi="Arial" w:cs="Arial"/>
          <w:sz w:val="24"/>
          <w:szCs w:val="24"/>
          <w:u w:val="single"/>
        </w:rPr>
        <w:t>References:</w:t>
      </w:r>
    </w:p>
    <w:p w:rsidR="005155E8" w:rsidRPr="005155E8" w:rsidRDefault="005155E8" w:rsidP="005155E8">
      <w:pPr>
        <w:spacing w:line="360" w:lineRule="auto"/>
        <w:rPr>
          <w:rFonts w:ascii="Arial" w:hAnsi="Arial" w:cs="Arial"/>
          <w:sz w:val="24"/>
          <w:szCs w:val="24"/>
        </w:rPr>
      </w:pPr>
      <w:r w:rsidRPr="005155E8">
        <w:rPr>
          <w:rFonts w:ascii="Arial" w:hAnsi="Arial" w:cs="Arial"/>
          <w:sz w:val="24"/>
          <w:szCs w:val="24"/>
        </w:rPr>
        <w:t xml:space="preserve">Bath Spa University. (2017). Attachment aware schools. Available: </w:t>
      </w:r>
      <w:hyperlink r:id="rId4" w:history="1">
        <w:r w:rsidRPr="005155E8">
          <w:rPr>
            <w:rStyle w:val="Hyperlink"/>
            <w:rFonts w:ascii="Arial" w:hAnsi="Arial" w:cs="Arial"/>
            <w:sz w:val="24"/>
            <w:szCs w:val="24"/>
          </w:rPr>
          <w:t>https://www.bathspa.ac.uk/education/research/attachment-aware-schools/</w:t>
        </w:r>
      </w:hyperlink>
      <w:r w:rsidRPr="005155E8">
        <w:rPr>
          <w:rFonts w:ascii="Arial" w:hAnsi="Arial" w:cs="Arial"/>
          <w:sz w:val="24"/>
          <w:szCs w:val="24"/>
        </w:rPr>
        <w:t>. Last accessed: 06/04/2018.</w:t>
      </w:r>
    </w:p>
    <w:p w:rsidR="005155E8" w:rsidRPr="005155E8" w:rsidRDefault="005155E8" w:rsidP="005155E8">
      <w:pPr>
        <w:spacing w:line="360" w:lineRule="auto"/>
        <w:rPr>
          <w:rFonts w:ascii="Arial" w:hAnsi="Arial" w:cs="Arial"/>
          <w:sz w:val="24"/>
          <w:szCs w:val="24"/>
        </w:rPr>
      </w:pPr>
      <w:r w:rsidRPr="005155E8">
        <w:rPr>
          <w:rFonts w:ascii="Arial" w:hAnsi="Arial" w:cs="Arial"/>
          <w:sz w:val="24"/>
          <w:szCs w:val="24"/>
        </w:rPr>
        <w:t xml:space="preserve">Beck Institute. (2016). Cognitive Model. Available: </w:t>
      </w:r>
      <w:hyperlink r:id="rId5" w:history="1">
        <w:r w:rsidRPr="005155E8">
          <w:rPr>
            <w:rStyle w:val="Hyperlink"/>
            <w:rFonts w:ascii="Arial" w:hAnsi="Arial" w:cs="Arial"/>
            <w:sz w:val="24"/>
            <w:szCs w:val="24"/>
          </w:rPr>
          <w:t>https://beckinstitute.org/cognitive-model/</w:t>
        </w:r>
      </w:hyperlink>
      <w:r w:rsidRPr="005155E8">
        <w:rPr>
          <w:rFonts w:ascii="Arial" w:hAnsi="Arial" w:cs="Arial"/>
          <w:sz w:val="24"/>
          <w:szCs w:val="24"/>
        </w:rPr>
        <w:t>. Last accessed: 06/04/2018.</w:t>
      </w:r>
    </w:p>
    <w:p w:rsidR="005155E8" w:rsidRPr="005155E8" w:rsidRDefault="005155E8" w:rsidP="005155E8">
      <w:pPr>
        <w:spacing w:line="360" w:lineRule="auto"/>
        <w:rPr>
          <w:rFonts w:ascii="Arial" w:hAnsi="Arial" w:cs="Arial"/>
          <w:sz w:val="24"/>
          <w:szCs w:val="24"/>
        </w:rPr>
      </w:pPr>
      <w:proofErr w:type="spellStart"/>
      <w:r w:rsidRPr="005155E8">
        <w:rPr>
          <w:rFonts w:ascii="Arial" w:hAnsi="Arial" w:cs="Arial"/>
          <w:sz w:val="24"/>
          <w:szCs w:val="24"/>
        </w:rPr>
        <w:t>Childrens</w:t>
      </w:r>
      <w:proofErr w:type="spellEnd"/>
      <w:r w:rsidRPr="005155E8">
        <w:rPr>
          <w:rFonts w:ascii="Arial" w:hAnsi="Arial" w:cs="Arial"/>
          <w:sz w:val="24"/>
          <w:szCs w:val="24"/>
        </w:rPr>
        <w:t xml:space="preserve"> Commissioner for Wales. (2017). </w:t>
      </w:r>
      <w:r w:rsidRPr="005155E8">
        <w:rPr>
          <w:rFonts w:ascii="Arial" w:hAnsi="Arial" w:cs="Arial"/>
          <w:i/>
          <w:sz w:val="24"/>
          <w:szCs w:val="24"/>
        </w:rPr>
        <w:t>The Right Way: A children’s rights approach for education in Wales</w:t>
      </w:r>
      <w:r w:rsidRPr="005155E8">
        <w:rPr>
          <w:rFonts w:ascii="Arial" w:hAnsi="Arial" w:cs="Arial"/>
          <w:sz w:val="24"/>
          <w:szCs w:val="24"/>
        </w:rPr>
        <w:t xml:space="preserve">. Available: </w:t>
      </w:r>
      <w:hyperlink r:id="rId6" w:history="1">
        <w:r w:rsidRPr="005155E8">
          <w:rPr>
            <w:rStyle w:val="Hyperlink"/>
            <w:rFonts w:ascii="Arial" w:hAnsi="Arial" w:cs="Arial"/>
            <w:sz w:val="24"/>
            <w:szCs w:val="24"/>
          </w:rPr>
          <w:t>https://www.childcomwales.org.uk/wp-content/uploads/2017/05/The-Right-Way-Education.pdf</w:t>
        </w:r>
      </w:hyperlink>
      <w:r w:rsidRPr="005155E8">
        <w:rPr>
          <w:rFonts w:ascii="Arial" w:hAnsi="Arial" w:cs="Arial"/>
          <w:sz w:val="24"/>
          <w:szCs w:val="24"/>
        </w:rPr>
        <w:t>. Last accessed: 01/04/2018.</w:t>
      </w:r>
    </w:p>
    <w:p w:rsidR="005155E8" w:rsidRPr="005155E8" w:rsidRDefault="005155E8" w:rsidP="005155E8">
      <w:pPr>
        <w:spacing w:line="360" w:lineRule="auto"/>
        <w:rPr>
          <w:rFonts w:ascii="Arial" w:hAnsi="Arial" w:cs="Arial"/>
          <w:sz w:val="24"/>
          <w:szCs w:val="24"/>
        </w:rPr>
      </w:pPr>
      <w:proofErr w:type="spellStart"/>
      <w:r w:rsidRPr="005155E8">
        <w:rPr>
          <w:rFonts w:ascii="Arial" w:hAnsi="Arial" w:cs="Arial"/>
          <w:sz w:val="24"/>
          <w:szCs w:val="24"/>
        </w:rPr>
        <w:t>Estyn</w:t>
      </w:r>
      <w:proofErr w:type="spellEnd"/>
      <w:r w:rsidRPr="005155E8">
        <w:rPr>
          <w:rFonts w:ascii="Arial" w:hAnsi="Arial" w:cs="Arial"/>
          <w:sz w:val="24"/>
          <w:szCs w:val="24"/>
        </w:rPr>
        <w:t xml:space="preserve">. (2017). Improving pupil outcomes through highly </w:t>
      </w:r>
      <w:proofErr w:type="spellStart"/>
      <w:r w:rsidRPr="005155E8">
        <w:rPr>
          <w:rFonts w:ascii="Arial" w:hAnsi="Arial" w:cs="Arial"/>
          <w:sz w:val="24"/>
          <w:szCs w:val="24"/>
        </w:rPr>
        <w:t>effectiove</w:t>
      </w:r>
      <w:proofErr w:type="spellEnd"/>
      <w:r w:rsidRPr="005155E8">
        <w:rPr>
          <w:rFonts w:ascii="Arial" w:hAnsi="Arial" w:cs="Arial"/>
          <w:sz w:val="24"/>
          <w:szCs w:val="24"/>
        </w:rPr>
        <w:t xml:space="preserve"> nurture provision. Available: </w:t>
      </w:r>
      <w:hyperlink r:id="rId7" w:history="1">
        <w:r w:rsidRPr="005155E8">
          <w:rPr>
            <w:rStyle w:val="Hyperlink"/>
            <w:rFonts w:ascii="Arial" w:hAnsi="Arial" w:cs="Arial"/>
            <w:sz w:val="24"/>
            <w:szCs w:val="24"/>
          </w:rPr>
          <w:t>https://www.estyn.gov.wales/effective-practice/improving-pupil-outcomes-through-highly-effective-nurture-provision</w:t>
        </w:r>
      </w:hyperlink>
      <w:r w:rsidRPr="005155E8">
        <w:rPr>
          <w:rFonts w:ascii="Arial" w:hAnsi="Arial" w:cs="Arial"/>
          <w:sz w:val="24"/>
          <w:szCs w:val="24"/>
        </w:rPr>
        <w:t xml:space="preserve">. Last accessed: 03/04/2018. </w:t>
      </w:r>
    </w:p>
    <w:p w:rsidR="005155E8" w:rsidRPr="005155E8" w:rsidRDefault="005155E8" w:rsidP="005155E8">
      <w:pPr>
        <w:spacing w:line="360" w:lineRule="auto"/>
        <w:rPr>
          <w:rFonts w:ascii="Arial" w:hAnsi="Arial" w:cs="Arial"/>
          <w:sz w:val="24"/>
          <w:szCs w:val="24"/>
        </w:rPr>
      </w:pPr>
      <w:r w:rsidRPr="005155E8">
        <w:rPr>
          <w:rFonts w:ascii="Arial" w:hAnsi="Arial" w:cs="Arial"/>
          <w:sz w:val="24"/>
          <w:szCs w:val="24"/>
        </w:rPr>
        <w:t xml:space="preserve">Integrated Treatment Service. (2009). </w:t>
      </w:r>
      <w:r w:rsidRPr="005155E8">
        <w:rPr>
          <w:rFonts w:ascii="Arial" w:hAnsi="Arial" w:cs="Arial"/>
          <w:i/>
          <w:sz w:val="24"/>
          <w:szCs w:val="24"/>
        </w:rPr>
        <w:t>Benefits of visual timetables.</w:t>
      </w:r>
      <w:r w:rsidRPr="005155E8">
        <w:rPr>
          <w:rFonts w:ascii="Arial" w:hAnsi="Arial" w:cs="Arial"/>
          <w:sz w:val="24"/>
          <w:szCs w:val="24"/>
        </w:rPr>
        <w:t xml:space="preserve"> Available: </w:t>
      </w:r>
      <w:hyperlink r:id="rId8" w:history="1">
        <w:r w:rsidRPr="005155E8">
          <w:rPr>
            <w:rStyle w:val="Hyperlink"/>
            <w:rFonts w:ascii="Arial" w:hAnsi="Arial" w:cs="Arial"/>
            <w:sz w:val="24"/>
            <w:szCs w:val="24"/>
          </w:rPr>
          <w:t>http://integratedtreatmentservices.co.uk/news/benefits-of-visual-timetables/</w:t>
        </w:r>
      </w:hyperlink>
      <w:r w:rsidRPr="005155E8">
        <w:rPr>
          <w:rFonts w:ascii="Arial" w:hAnsi="Arial" w:cs="Arial"/>
          <w:sz w:val="24"/>
          <w:szCs w:val="24"/>
        </w:rPr>
        <w:t xml:space="preserve">. Last accessed: 02/04/2018. </w:t>
      </w:r>
    </w:p>
    <w:p w:rsidR="005155E8" w:rsidRPr="005155E8" w:rsidRDefault="005155E8" w:rsidP="005155E8">
      <w:pPr>
        <w:spacing w:line="360" w:lineRule="auto"/>
        <w:rPr>
          <w:rFonts w:ascii="Arial" w:hAnsi="Arial" w:cs="Arial"/>
          <w:sz w:val="24"/>
          <w:szCs w:val="24"/>
        </w:rPr>
      </w:pPr>
      <w:proofErr w:type="spellStart"/>
      <w:r w:rsidRPr="005155E8">
        <w:rPr>
          <w:rFonts w:ascii="Arial" w:hAnsi="Arial" w:cs="Arial"/>
          <w:sz w:val="24"/>
          <w:szCs w:val="24"/>
        </w:rPr>
        <w:t>Lasser</w:t>
      </w:r>
      <w:proofErr w:type="spellEnd"/>
      <w:r w:rsidRPr="005155E8">
        <w:rPr>
          <w:rFonts w:ascii="Arial" w:hAnsi="Arial" w:cs="Arial"/>
          <w:sz w:val="24"/>
          <w:szCs w:val="24"/>
        </w:rPr>
        <w:t xml:space="preserve">, B. (1973). Operant conditioning techniques for the classroom teacher. </w:t>
      </w:r>
      <w:r w:rsidRPr="005155E8">
        <w:rPr>
          <w:rFonts w:ascii="Arial" w:hAnsi="Arial" w:cs="Arial"/>
          <w:i/>
          <w:sz w:val="24"/>
          <w:szCs w:val="24"/>
        </w:rPr>
        <w:t>Journal of School Psychology</w:t>
      </w:r>
      <w:r w:rsidRPr="005155E8">
        <w:rPr>
          <w:rFonts w:ascii="Arial" w:hAnsi="Arial" w:cs="Arial"/>
          <w:sz w:val="24"/>
          <w:szCs w:val="24"/>
        </w:rPr>
        <w:t xml:space="preserve">, 11(4), pp.402-403. </w:t>
      </w:r>
    </w:p>
    <w:p w:rsidR="005155E8" w:rsidRPr="005155E8" w:rsidRDefault="005155E8" w:rsidP="005155E8">
      <w:pPr>
        <w:spacing w:line="360" w:lineRule="auto"/>
        <w:rPr>
          <w:rFonts w:ascii="Arial" w:hAnsi="Arial" w:cs="Arial"/>
          <w:sz w:val="24"/>
          <w:szCs w:val="24"/>
        </w:rPr>
      </w:pPr>
      <w:r w:rsidRPr="005155E8">
        <w:rPr>
          <w:rFonts w:ascii="Arial" w:hAnsi="Arial" w:cs="Arial"/>
          <w:sz w:val="24"/>
          <w:szCs w:val="24"/>
        </w:rPr>
        <w:t xml:space="preserve">Marmot Review. (2010). Fair Society, Healthy Lives. Available: </w:t>
      </w:r>
      <w:hyperlink r:id="rId9" w:history="1">
        <w:r w:rsidRPr="005155E8">
          <w:rPr>
            <w:rStyle w:val="Hyperlink"/>
            <w:rFonts w:ascii="Arial" w:hAnsi="Arial" w:cs="Arial"/>
            <w:sz w:val="24"/>
            <w:szCs w:val="24"/>
          </w:rPr>
          <w:t>http://www.instituteofhealthequity.org/resources-reports/fair-society-healthy-lives-the-marmot-review/fair-society-healthy-lives-full-report-pdf.pdf</w:t>
        </w:r>
      </w:hyperlink>
      <w:r w:rsidRPr="005155E8">
        <w:rPr>
          <w:rFonts w:ascii="Arial" w:hAnsi="Arial" w:cs="Arial"/>
          <w:sz w:val="24"/>
          <w:szCs w:val="24"/>
        </w:rPr>
        <w:t xml:space="preserve">. Last accessed: 07/04/2018. </w:t>
      </w:r>
    </w:p>
    <w:p w:rsidR="005155E8" w:rsidRDefault="005155E8" w:rsidP="005155E8">
      <w:pPr>
        <w:spacing w:line="360" w:lineRule="auto"/>
        <w:rPr>
          <w:rFonts w:ascii="Arial" w:hAnsi="Arial" w:cs="Arial"/>
          <w:sz w:val="24"/>
          <w:szCs w:val="24"/>
        </w:rPr>
      </w:pPr>
      <w:r w:rsidRPr="005155E8">
        <w:rPr>
          <w:rFonts w:ascii="Arial" w:hAnsi="Arial" w:cs="Arial"/>
          <w:sz w:val="24"/>
          <w:szCs w:val="24"/>
        </w:rPr>
        <w:t xml:space="preserve">McLeod, S. (2007). </w:t>
      </w:r>
      <w:r w:rsidRPr="005155E8">
        <w:rPr>
          <w:rFonts w:ascii="Arial" w:hAnsi="Arial" w:cs="Arial"/>
          <w:i/>
          <w:sz w:val="24"/>
          <w:szCs w:val="24"/>
        </w:rPr>
        <w:t>Bowlby’s Attachment Theory</w:t>
      </w:r>
      <w:r w:rsidRPr="005155E8">
        <w:rPr>
          <w:rFonts w:ascii="Arial" w:hAnsi="Arial" w:cs="Arial"/>
          <w:sz w:val="24"/>
          <w:szCs w:val="24"/>
        </w:rPr>
        <w:t xml:space="preserve">. Available: </w:t>
      </w:r>
      <w:hyperlink r:id="rId10" w:history="1">
        <w:r w:rsidRPr="005155E8">
          <w:rPr>
            <w:rStyle w:val="Hyperlink"/>
            <w:rFonts w:ascii="Arial" w:hAnsi="Arial" w:cs="Arial"/>
            <w:sz w:val="24"/>
            <w:szCs w:val="24"/>
          </w:rPr>
          <w:t>https://www.simplypsychology.org/bowlby.html</w:t>
        </w:r>
      </w:hyperlink>
      <w:r w:rsidRPr="005155E8">
        <w:rPr>
          <w:rFonts w:ascii="Arial" w:hAnsi="Arial" w:cs="Arial"/>
          <w:sz w:val="24"/>
          <w:szCs w:val="24"/>
        </w:rPr>
        <w:t>. Last accessed: 0/04/2018</w:t>
      </w:r>
      <w:r>
        <w:rPr>
          <w:rFonts w:ascii="Arial" w:hAnsi="Arial" w:cs="Arial"/>
          <w:sz w:val="24"/>
          <w:szCs w:val="24"/>
        </w:rPr>
        <w:t>.</w:t>
      </w:r>
    </w:p>
    <w:p w:rsidR="005155E8" w:rsidRPr="005155E8" w:rsidRDefault="005155E8" w:rsidP="005155E8">
      <w:pPr>
        <w:spacing w:line="360" w:lineRule="auto"/>
        <w:rPr>
          <w:rFonts w:ascii="Arial" w:hAnsi="Arial" w:cs="Arial"/>
          <w:sz w:val="24"/>
          <w:szCs w:val="24"/>
        </w:rPr>
      </w:pPr>
      <w:r w:rsidRPr="005155E8">
        <w:rPr>
          <w:rFonts w:ascii="Arial" w:hAnsi="Arial" w:cs="Arial"/>
          <w:sz w:val="24"/>
          <w:szCs w:val="24"/>
        </w:rPr>
        <w:lastRenderedPageBreak/>
        <w:t xml:space="preserve">NSPCC. (2018). </w:t>
      </w:r>
      <w:r w:rsidRPr="005155E8">
        <w:rPr>
          <w:rFonts w:ascii="Arial" w:hAnsi="Arial" w:cs="Arial"/>
          <w:i/>
          <w:sz w:val="24"/>
          <w:szCs w:val="24"/>
        </w:rPr>
        <w:t>Signs, symptoms and effects of child abuse and neglect.</w:t>
      </w:r>
      <w:r w:rsidRPr="005155E8">
        <w:rPr>
          <w:rFonts w:ascii="Arial" w:hAnsi="Arial" w:cs="Arial"/>
          <w:sz w:val="24"/>
          <w:szCs w:val="24"/>
        </w:rPr>
        <w:t xml:space="preserve"> Available: </w:t>
      </w:r>
      <w:hyperlink r:id="rId11" w:history="1">
        <w:r w:rsidRPr="005155E8">
          <w:rPr>
            <w:rStyle w:val="Hyperlink"/>
            <w:rFonts w:ascii="Arial" w:hAnsi="Arial" w:cs="Arial"/>
            <w:sz w:val="24"/>
            <w:szCs w:val="24"/>
          </w:rPr>
          <w:t>https://www.nspcc.org.uk/preventing-abuse/signs-symptoms-effects/</w:t>
        </w:r>
      </w:hyperlink>
      <w:r w:rsidRPr="005155E8">
        <w:rPr>
          <w:rFonts w:ascii="Arial" w:hAnsi="Arial" w:cs="Arial"/>
          <w:sz w:val="24"/>
          <w:szCs w:val="24"/>
        </w:rPr>
        <w:t>. Last accessed: 01/04/2018</w:t>
      </w:r>
    </w:p>
    <w:p w:rsidR="005155E8" w:rsidRPr="005155E8" w:rsidRDefault="005155E8" w:rsidP="005155E8">
      <w:pPr>
        <w:spacing w:after="180" w:line="360" w:lineRule="auto"/>
        <w:rPr>
          <w:rFonts w:ascii="Arial" w:eastAsia="Times New Roman" w:hAnsi="Arial" w:cs="Arial"/>
          <w:color w:val="000000"/>
          <w:sz w:val="24"/>
          <w:szCs w:val="24"/>
          <w:lang w:eastAsia="en-GB"/>
        </w:rPr>
      </w:pPr>
      <w:r w:rsidRPr="005155E8">
        <w:rPr>
          <w:rFonts w:ascii="Arial" w:eastAsia="Times New Roman" w:hAnsi="Arial" w:cs="Arial"/>
          <w:color w:val="000000"/>
          <w:sz w:val="24"/>
          <w:szCs w:val="24"/>
          <w:lang w:eastAsia="en-GB"/>
        </w:rPr>
        <w:t xml:space="preserve">Speech </w:t>
      </w:r>
      <w:proofErr w:type="spellStart"/>
      <w:r w:rsidRPr="005155E8">
        <w:rPr>
          <w:rFonts w:ascii="Arial" w:eastAsia="Times New Roman" w:hAnsi="Arial" w:cs="Arial"/>
          <w:color w:val="000000"/>
          <w:sz w:val="24"/>
          <w:szCs w:val="24"/>
          <w:lang w:eastAsia="en-GB"/>
        </w:rPr>
        <w:t>Theraphy</w:t>
      </w:r>
      <w:proofErr w:type="spellEnd"/>
      <w:r w:rsidRPr="005155E8">
        <w:rPr>
          <w:rFonts w:ascii="Arial" w:eastAsia="Times New Roman" w:hAnsi="Arial" w:cs="Arial"/>
          <w:color w:val="000000"/>
          <w:sz w:val="24"/>
          <w:szCs w:val="24"/>
          <w:lang w:eastAsia="en-GB"/>
        </w:rPr>
        <w:t xml:space="preserve"> Centres. (2013). Children and age-appropriate attention spans. Available: </w:t>
      </w:r>
      <w:hyperlink r:id="rId12" w:history="1">
        <w:r w:rsidRPr="005155E8">
          <w:rPr>
            <w:rStyle w:val="Hyperlink"/>
            <w:rFonts w:ascii="Arial" w:eastAsia="Times New Roman" w:hAnsi="Arial" w:cs="Arial"/>
            <w:sz w:val="24"/>
            <w:szCs w:val="24"/>
            <w:lang w:eastAsia="en-GB"/>
          </w:rPr>
          <w:t>http://www.speechtherapycentres.com/children-and-age-appropriate-attention-spans/</w:t>
        </w:r>
      </w:hyperlink>
      <w:r w:rsidRPr="005155E8">
        <w:rPr>
          <w:rFonts w:ascii="Arial" w:eastAsia="Times New Roman" w:hAnsi="Arial" w:cs="Arial"/>
          <w:color w:val="000000"/>
          <w:sz w:val="24"/>
          <w:szCs w:val="24"/>
          <w:lang w:eastAsia="en-GB"/>
        </w:rPr>
        <w:t xml:space="preserve">. Last accessed: 05/04/2018. </w:t>
      </w:r>
    </w:p>
    <w:p w:rsidR="005155E8" w:rsidRPr="005155E8" w:rsidRDefault="005155E8" w:rsidP="005155E8">
      <w:pPr>
        <w:spacing w:line="360" w:lineRule="auto"/>
        <w:rPr>
          <w:rFonts w:ascii="Arial" w:hAnsi="Arial" w:cs="Arial"/>
          <w:sz w:val="24"/>
          <w:szCs w:val="24"/>
        </w:rPr>
      </w:pPr>
      <w:r w:rsidRPr="005155E8">
        <w:rPr>
          <w:rFonts w:ascii="Arial" w:hAnsi="Arial" w:cs="Arial"/>
          <w:sz w:val="24"/>
          <w:szCs w:val="24"/>
        </w:rPr>
        <w:t xml:space="preserve">St Marys C.P School. (2018). </w:t>
      </w:r>
      <w:r w:rsidRPr="005155E8">
        <w:rPr>
          <w:rFonts w:ascii="Arial" w:hAnsi="Arial" w:cs="Arial"/>
          <w:i/>
          <w:sz w:val="24"/>
          <w:szCs w:val="24"/>
        </w:rPr>
        <w:t>Thinking Detectives.</w:t>
      </w:r>
      <w:r w:rsidRPr="005155E8">
        <w:rPr>
          <w:rFonts w:ascii="Arial" w:hAnsi="Arial" w:cs="Arial"/>
          <w:sz w:val="24"/>
          <w:szCs w:val="24"/>
        </w:rPr>
        <w:t xml:space="preserve"> Available: </w:t>
      </w:r>
      <w:hyperlink r:id="rId13" w:history="1">
        <w:r w:rsidRPr="005155E8">
          <w:rPr>
            <w:rStyle w:val="Hyperlink"/>
            <w:rFonts w:ascii="Arial" w:hAnsi="Arial" w:cs="Arial"/>
            <w:sz w:val="24"/>
            <w:szCs w:val="24"/>
          </w:rPr>
          <w:t>http://www.stmarysllanelli.amdro.org.uk/home/classes/intervention-programmes/thinking-detectives/</w:t>
        </w:r>
      </w:hyperlink>
      <w:r w:rsidRPr="005155E8">
        <w:rPr>
          <w:rFonts w:ascii="Arial" w:hAnsi="Arial" w:cs="Arial"/>
          <w:sz w:val="24"/>
          <w:szCs w:val="24"/>
        </w:rPr>
        <w:t>. Last accessed: 02/04/2018.</w:t>
      </w:r>
    </w:p>
    <w:p w:rsidR="005155E8" w:rsidRPr="005155E8" w:rsidRDefault="005155E8" w:rsidP="005155E8">
      <w:pPr>
        <w:spacing w:after="180" w:line="360" w:lineRule="auto"/>
        <w:rPr>
          <w:rFonts w:ascii="Arial" w:eastAsia="Times New Roman" w:hAnsi="Arial" w:cs="Arial"/>
          <w:color w:val="000000"/>
          <w:sz w:val="24"/>
          <w:szCs w:val="24"/>
          <w:lang w:eastAsia="en-GB"/>
        </w:rPr>
      </w:pPr>
      <w:r w:rsidRPr="005155E8">
        <w:rPr>
          <w:rFonts w:ascii="Arial" w:eastAsia="Times New Roman" w:hAnsi="Arial" w:cs="Arial"/>
          <w:color w:val="000000"/>
          <w:sz w:val="24"/>
          <w:szCs w:val="24"/>
          <w:lang w:eastAsia="en-GB"/>
        </w:rPr>
        <w:t xml:space="preserve">Steiner Waldorf Foundation. (2017). Teaching in a </w:t>
      </w:r>
      <w:proofErr w:type="spellStart"/>
      <w:proofErr w:type="gramStart"/>
      <w:r w:rsidRPr="005155E8">
        <w:rPr>
          <w:rFonts w:ascii="Arial" w:eastAsia="Times New Roman" w:hAnsi="Arial" w:cs="Arial"/>
          <w:color w:val="000000"/>
          <w:sz w:val="24"/>
          <w:szCs w:val="24"/>
          <w:lang w:eastAsia="en-GB"/>
        </w:rPr>
        <w:t>steiner</w:t>
      </w:r>
      <w:proofErr w:type="spellEnd"/>
      <w:proofErr w:type="gramEnd"/>
      <w:r w:rsidRPr="005155E8">
        <w:rPr>
          <w:rFonts w:ascii="Arial" w:eastAsia="Times New Roman" w:hAnsi="Arial" w:cs="Arial"/>
          <w:color w:val="000000"/>
          <w:sz w:val="24"/>
          <w:szCs w:val="24"/>
          <w:lang w:eastAsia="en-GB"/>
        </w:rPr>
        <w:t xml:space="preserve"> school. Available: </w:t>
      </w:r>
      <w:hyperlink r:id="rId14" w:history="1">
        <w:r w:rsidRPr="005155E8">
          <w:rPr>
            <w:rStyle w:val="Hyperlink"/>
            <w:rFonts w:ascii="Arial" w:eastAsia="Times New Roman" w:hAnsi="Arial" w:cs="Arial"/>
            <w:sz w:val="24"/>
            <w:szCs w:val="24"/>
            <w:lang w:eastAsia="en-GB"/>
          </w:rPr>
          <w:t>https://www.steinerwaldorf.org/</w:t>
        </w:r>
      </w:hyperlink>
      <w:r w:rsidRPr="005155E8">
        <w:rPr>
          <w:rFonts w:ascii="Arial" w:eastAsia="Times New Roman" w:hAnsi="Arial" w:cs="Arial"/>
          <w:color w:val="000000"/>
          <w:sz w:val="24"/>
          <w:szCs w:val="24"/>
          <w:lang w:eastAsia="en-GB"/>
        </w:rPr>
        <w:t>. Last accessed: 04/04/2018.</w:t>
      </w:r>
    </w:p>
    <w:p w:rsidR="005155E8" w:rsidRPr="005155E8" w:rsidRDefault="005155E8" w:rsidP="005155E8">
      <w:pPr>
        <w:spacing w:after="180" w:line="360" w:lineRule="auto"/>
        <w:rPr>
          <w:rFonts w:ascii="Arial" w:eastAsia="Times New Roman" w:hAnsi="Arial" w:cs="Arial"/>
          <w:color w:val="000000"/>
          <w:sz w:val="24"/>
          <w:szCs w:val="24"/>
          <w:lang w:eastAsia="en-GB"/>
        </w:rPr>
      </w:pPr>
      <w:r w:rsidRPr="005155E8">
        <w:rPr>
          <w:rFonts w:ascii="Arial" w:eastAsia="Times New Roman" w:hAnsi="Arial" w:cs="Arial"/>
          <w:color w:val="000000"/>
          <w:sz w:val="24"/>
          <w:szCs w:val="24"/>
          <w:lang w:eastAsia="en-GB"/>
        </w:rPr>
        <w:t xml:space="preserve">Wainwright, N., </w:t>
      </w:r>
      <w:proofErr w:type="spellStart"/>
      <w:r w:rsidRPr="005155E8">
        <w:rPr>
          <w:rFonts w:ascii="Arial" w:eastAsia="Times New Roman" w:hAnsi="Arial" w:cs="Arial"/>
          <w:color w:val="000000"/>
          <w:sz w:val="24"/>
          <w:szCs w:val="24"/>
          <w:lang w:eastAsia="en-GB"/>
        </w:rPr>
        <w:t>Goodway</w:t>
      </w:r>
      <w:proofErr w:type="spellEnd"/>
      <w:r w:rsidRPr="005155E8">
        <w:rPr>
          <w:rFonts w:ascii="Arial" w:eastAsia="Times New Roman" w:hAnsi="Arial" w:cs="Arial"/>
          <w:color w:val="000000"/>
          <w:sz w:val="24"/>
          <w:szCs w:val="24"/>
          <w:lang w:eastAsia="en-GB"/>
        </w:rPr>
        <w:t xml:space="preserve">, J., </w:t>
      </w:r>
      <w:proofErr w:type="spellStart"/>
      <w:r w:rsidRPr="005155E8">
        <w:rPr>
          <w:rFonts w:ascii="Arial" w:eastAsia="Times New Roman" w:hAnsi="Arial" w:cs="Arial"/>
          <w:color w:val="000000"/>
          <w:sz w:val="24"/>
          <w:szCs w:val="24"/>
          <w:lang w:eastAsia="en-GB"/>
        </w:rPr>
        <w:t>Whitehed</w:t>
      </w:r>
      <w:proofErr w:type="spellEnd"/>
      <w:r w:rsidRPr="005155E8">
        <w:rPr>
          <w:rFonts w:ascii="Arial" w:eastAsia="Times New Roman" w:hAnsi="Arial" w:cs="Arial"/>
          <w:color w:val="000000"/>
          <w:sz w:val="24"/>
          <w:szCs w:val="24"/>
          <w:lang w:eastAsia="en-GB"/>
        </w:rPr>
        <w:t>, M., Williams, A. and Kirk, D. (2016). The Foundation Phase in Wales – a play-based curriculum that supports the development of physical literacy. </w:t>
      </w:r>
      <w:r w:rsidRPr="005155E8">
        <w:rPr>
          <w:rFonts w:ascii="Arial" w:eastAsia="Times New Roman" w:hAnsi="Arial" w:cs="Arial"/>
          <w:i/>
          <w:iCs/>
          <w:color w:val="000000"/>
          <w:sz w:val="24"/>
          <w:szCs w:val="24"/>
          <w:lang w:eastAsia="en-GB"/>
        </w:rPr>
        <w:t>Education 3-13</w:t>
      </w:r>
      <w:r w:rsidRPr="005155E8">
        <w:rPr>
          <w:rFonts w:ascii="Arial" w:eastAsia="Times New Roman" w:hAnsi="Arial" w:cs="Arial"/>
          <w:color w:val="000000"/>
          <w:sz w:val="24"/>
          <w:szCs w:val="24"/>
          <w:lang w:eastAsia="en-GB"/>
        </w:rPr>
        <w:t>, 44(5), pp.513-524.</w:t>
      </w:r>
    </w:p>
    <w:p w:rsidR="005155E8" w:rsidRPr="005155E8" w:rsidRDefault="005155E8" w:rsidP="005155E8">
      <w:pPr>
        <w:spacing w:after="180" w:line="360" w:lineRule="auto"/>
        <w:rPr>
          <w:rFonts w:ascii="Arial" w:eastAsia="Times New Roman" w:hAnsi="Arial" w:cs="Arial"/>
          <w:color w:val="000000"/>
          <w:sz w:val="24"/>
          <w:szCs w:val="24"/>
          <w:lang w:eastAsia="en-GB"/>
        </w:rPr>
      </w:pPr>
      <w:r w:rsidRPr="005155E8">
        <w:rPr>
          <w:rFonts w:ascii="Arial" w:eastAsia="Times New Roman" w:hAnsi="Arial" w:cs="Arial"/>
          <w:color w:val="000000"/>
          <w:sz w:val="24"/>
          <w:szCs w:val="24"/>
          <w:lang w:eastAsia="en-GB"/>
        </w:rPr>
        <w:t xml:space="preserve">Welsh Assembly </w:t>
      </w:r>
      <w:proofErr w:type="spellStart"/>
      <w:r w:rsidRPr="005155E8">
        <w:rPr>
          <w:rFonts w:ascii="Arial" w:eastAsia="Times New Roman" w:hAnsi="Arial" w:cs="Arial"/>
          <w:color w:val="000000"/>
          <w:sz w:val="24"/>
          <w:szCs w:val="24"/>
          <w:lang w:eastAsia="en-GB"/>
        </w:rPr>
        <w:t>Governemnt</w:t>
      </w:r>
      <w:proofErr w:type="spellEnd"/>
      <w:r w:rsidRPr="005155E8">
        <w:rPr>
          <w:rFonts w:ascii="Arial" w:eastAsia="Times New Roman" w:hAnsi="Arial" w:cs="Arial"/>
          <w:color w:val="000000"/>
          <w:sz w:val="24"/>
          <w:szCs w:val="24"/>
          <w:lang w:eastAsia="en-GB"/>
        </w:rPr>
        <w:t xml:space="preserve">. (2008). Framework for Children’s </w:t>
      </w:r>
      <w:proofErr w:type="spellStart"/>
      <w:r w:rsidRPr="005155E8">
        <w:rPr>
          <w:rFonts w:ascii="Arial" w:eastAsia="Times New Roman" w:hAnsi="Arial" w:cs="Arial"/>
          <w:color w:val="000000"/>
          <w:sz w:val="24"/>
          <w:szCs w:val="24"/>
          <w:lang w:eastAsia="en-GB"/>
        </w:rPr>
        <w:t>leeearningfor</w:t>
      </w:r>
      <w:proofErr w:type="spellEnd"/>
      <w:r w:rsidRPr="005155E8">
        <w:rPr>
          <w:rFonts w:ascii="Arial" w:eastAsia="Times New Roman" w:hAnsi="Arial" w:cs="Arial"/>
          <w:color w:val="000000"/>
          <w:sz w:val="24"/>
          <w:szCs w:val="24"/>
          <w:lang w:eastAsia="en-GB"/>
        </w:rPr>
        <w:t xml:space="preserve"> 3 to 7-year-olds in Wales. Available: </w:t>
      </w:r>
      <w:hyperlink r:id="rId15" w:history="1">
        <w:r w:rsidRPr="005155E8">
          <w:rPr>
            <w:rStyle w:val="Hyperlink"/>
            <w:rFonts w:ascii="Arial" w:eastAsia="Times New Roman" w:hAnsi="Arial" w:cs="Arial"/>
            <w:sz w:val="24"/>
            <w:szCs w:val="24"/>
            <w:lang w:eastAsia="en-GB"/>
          </w:rPr>
          <w:t>http://learning.gov.wales/docs/learningwales/publications/130424-framework-for-childrens-learning-en.pdf</w:t>
        </w:r>
      </w:hyperlink>
      <w:r w:rsidRPr="005155E8">
        <w:rPr>
          <w:rFonts w:ascii="Arial" w:eastAsia="Times New Roman" w:hAnsi="Arial" w:cs="Arial"/>
          <w:color w:val="000000"/>
          <w:sz w:val="24"/>
          <w:szCs w:val="24"/>
          <w:lang w:eastAsia="en-GB"/>
        </w:rPr>
        <w:t xml:space="preserve">. Last accessed: 04/04/2018. </w:t>
      </w:r>
    </w:p>
    <w:p w:rsidR="005155E8" w:rsidRPr="005155E8" w:rsidRDefault="005155E8" w:rsidP="005155E8">
      <w:pPr>
        <w:spacing w:after="180" w:line="360" w:lineRule="auto"/>
        <w:rPr>
          <w:rFonts w:ascii="Arial" w:eastAsia="Times New Roman" w:hAnsi="Arial" w:cs="Arial"/>
          <w:color w:val="000000"/>
          <w:sz w:val="24"/>
          <w:szCs w:val="24"/>
          <w:lang w:eastAsia="en-GB"/>
        </w:rPr>
      </w:pPr>
      <w:r w:rsidRPr="005155E8">
        <w:rPr>
          <w:rFonts w:ascii="Arial" w:eastAsia="Times New Roman" w:hAnsi="Arial" w:cs="Arial"/>
          <w:color w:val="000000"/>
          <w:sz w:val="24"/>
          <w:szCs w:val="24"/>
          <w:lang w:eastAsia="en-GB"/>
        </w:rPr>
        <w:t xml:space="preserve">Welsh Assembly Government. (2008). Play/Active learning. Available: </w:t>
      </w:r>
      <w:hyperlink r:id="rId16" w:history="1">
        <w:r w:rsidRPr="005155E8">
          <w:rPr>
            <w:rStyle w:val="Hyperlink"/>
            <w:rFonts w:ascii="Arial" w:eastAsia="Times New Roman" w:hAnsi="Arial" w:cs="Arial"/>
            <w:sz w:val="24"/>
            <w:szCs w:val="24"/>
            <w:lang w:eastAsia="en-GB"/>
          </w:rPr>
          <w:t>http://learning.gov.wales/docs/learningwales/publications/130215play-activeen.pdf</w:t>
        </w:r>
      </w:hyperlink>
      <w:r w:rsidRPr="005155E8">
        <w:rPr>
          <w:rFonts w:ascii="Arial" w:eastAsia="Times New Roman" w:hAnsi="Arial" w:cs="Arial"/>
          <w:color w:val="000000"/>
          <w:sz w:val="24"/>
          <w:szCs w:val="24"/>
          <w:lang w:eastAsia="en-GB"/>
        </w:rPr>
        <w:t>. Last accessed: 08/04/2018.</w:t>
      </w:r>
    </w:p>
    <w:p w:rsidR="005155E8" w:rsidRPr="00D122B2" w:rsidRDefault="005155E8" w:rsidP="005155E8">
      <w:pPr>
        <w:pStyle w:val="ListParagraph"/>
        <w:spacing w:after="180" w:line="360" w:lineRule="auto"/>
        <w:rPr>
          <w:rFonts w:ascii="Arial" w:eastAsia="Times New Roman" w:hAnsi="Arial" w:cs="Arial"/>
          <w:color w:val="000000"/>
          <w:sz w:val="24"/>
          <w:szCs w:val="24"/>
          <w:lang w:eastAsia="en-GB"/>
        </w:rPr>
      </w:pPr>
    </w:p>
    <w:p w:rsidR="005155E8" w:rsidRPr="00D122B2" w:rsidRDefault="005155E8" w:rsidP="005155E8">
      <w:pPr>
        <w:pStyle w:val="ListParagraph"/>
        <w:spacing w:after="180" w:line="360" w:lineRule="auto"/>
        <w:rPr>
          <w:rFonts w:ascii="Arial" w:eastAsia="Times New Roman" w:hAnsi="Arial" w:cs="Arial"/>
          <w:color w:val="000000"/>
          <w:sz w:val="24"/>
          <w:szCs w:val="24"/>
          <w:lang w:eastAsia="en-GB"/>
        </w:rPr>
      </w:pPr>
    </w:p>
    <w:p w:rsidR="005155E8" w:rsidRPr="00D122B2" w:rsidRDefault="005155E8" w:rsidP="005155E8">
      <w:pPr>
        <w:pStyle w:val="ListParagraph"/>
        <w:spacing w:after="180" w:line="360" w:lineRule="auto"/>
        <w:rPr>
          <w:rFonts w:ascii="Arial" w:eastAsia="Times New Roman" w:hAnsi="Arial" w:cs="Arial"/>
          <w:color w:val="000000"/>
          <w:sz w:val="24"/>
          <w:szCs w:val="24"/>
          <w:lang w:eastAsia="en-GB"/>
        </w:rPr>
      </w:pPr>
    </w:p>
    <w:p w:rsidR="005155E8" w:rsidRPr="00D122B2" w:rsidRDefault="005155E8" w:rsidP="005155E8">
      <w:pPr>
        <w:spacing w:line="360" w:lineRule="auto"/>
        <w:rPr>
          <w:rFonts w:ascii="Arial" w:hAnsi="Arial" w:cs="Arial"/>
          <w:sz w:val="24"/>
          <w:szCs w:val="24"/>
        </w:rPr>
      </w:pPr>
    </w:p>
    <w:p w:rsidR="00FE2CE1" w:rsidRDefault="00FE2CE1"/>
    <w:sectPr w:rsidR="00FE2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55E8"/>
    <w:rsid w:val="002F38CC"/>
    <w:rsid w:val="00391C5E"/>
    <w:rsid w:val="00501ECA"/>
    <w:rsid w:val="005155E8"/>
    <w:rsid w:val="00673B35"/>
    <w:rsid w:val="007A4CAE"/>
    <w:rsid w:val="008F08BA"/>
    <w:rsid w:val="009557B0"/>
    <w:rsid w:val="00A708CB"/>
    <w:rsid w:val="00DD4A54"/>
    <w:rsid w:val="00E212E2"/>
    <w:rsid w:val="00F559A1"/>
    <w:rsid w:val="00FA75B1"/>
    <w:rsid w:val="00FE2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40801"/>
  <w15:chartTrackingRefBased/>
  <w15:docId w15:val="{74077380-EBFD-4E28-A465-16370C169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55E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5E8"/>
    <w:pPr>
      <w:spacing w:after="200" w:line="276" w:lineRule="auto"/>
      <w:ind w:left="720"/>
      <w:contextualSpacing/>
    </w:pPr>
  </w:style>
  <w:style w:type="character" w:styleId="Hyperlink">
    <w:name w:val="Hyperlink"/>
    <w:basedOn w:val="DefaultParagraphFont"/>
    <w:uiPriority w:val="99"/>
    <w:unhideWhenUsed/>
    <w:rsid w:val="005155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tegratedtreatmentservices.co.uk/news/benefits-of-visual-timetables/" TargetMode="External"/><Relationship Id="rId13" Type="http://schemas.openxmlformats.org/officeDocument/2006/relationships/hyperlink" Target="http://www.stmarysllanelli.amdro.org.uk/home/classes/intervention-programmes/thinking-detective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tyn.gov.wales/effective-practice/improving-pupil-outcomes-through-highly-effective-nurture-provision" TargetMode="External"/><Relationship Id="rId12" Type="http://schemas.openxmlformats.org/officeDocument/2006/relationships/hyperlink" Target="http://www.speechtherapycentres.com/children-and-age-appropriate-attention-span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learning.gov.wales/docs/learningwales/publications/130215play-activeen.pdf" TargetMode="External"/><Relationship Id="rId1" Type="http://schemas.openxmlformats.org/officeDocument/2006/relationships/styles" Target="styles.xml"/><Relationship Id="rId6" Type="http://schemas.openxmlformats.org/officeDocument/2006/relationships/hyperlink" Target="https://www.childcomwales.org.uk/wp-content/uploads/2017/05/The-Right-Way-Education.pdf" TargetMode="External"/><Relationship Id="rId11" Type="http://schemas.openxmlformats.org/officeDocument/2006/relationships/hyperlink" Target="https://www.nspcc.org.uk/preventing-abuse/signs-symptoms-effects/" TargetMode="External"/><Relationship Id="rId5" Type="http://schemas.openxmlformats.org/officeDocument/2006/relationships/hyperlink" Target="https://beckinstitute.org/cognitive-model/" TargetMode="External"/><Relationship Id="rId15" Type="http://schemas.openxmlformats.org/officeDocument/2006/relationships/hyperlink" Target="http://learning.gov.wales/docs/learningwales/publications/130424-framework-for-childrens-learning-en.pdf" TargetMode="External"/><Relationship Id="rId10" Type="http://schemas.openxmlformats.org/officeDocument/2006/relationships/hyperlink" Target="https://www.simplypsychology.org/bowlby.html" TargetMode="External"/><Relationship Id="rId4" Type="http://schemas.openxmlformats.org/officeDocument/2006/relationships/hyperlink" Target="https://www.bathspa.ac.uk/education/research/attachment-aware-schools/" TargetMode="External"/><Relationship Id="rId9" Type="http://schemas.openxmlformats.org/officeDocument/2006/relationships/hyperlink" Target="http://www.instituteofhealthequity.org/resources-reports/fair-society-healthy-lives-the-marmot-review/fair-society-healthy-lives-full-report-pdf.pdf" TargetMode="External"/><Relationship Id="rId14" Type="http://schemas.openxmlformats.org/officeDocument/2006/relationships/hyperlink" Target="https://www.steinerwaldorf.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2488</Words>
  <Characters>14185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Hume (1500316)</dc:creator>
  <cp:keywords/>
  <dc:description/>
  <cp:lastModifiedBy>Toni Hume (1500316)</cp:lastModifiedBy>
  <cp:revision>3</cp:revision>
  <dcterms:created xsi:type="dcterms:W3CDTF">2018-05-08T10:47:00Z</dcterms:created>
  <dcterms:modified xsi:type="dcterms:W3CDTF">2018-05-08T10:59:00Z</dcterms:modified>
</cp:coreProperties>
</file>