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0A500" w14:textId="39D8A4F9" w:rsidR="003C40B4" w:rsidRDefault="00F74AD1" w:rsidP="003C40B4">
      <w:pPr>
        <w:jc w:val="center"/>
        <w:rPr>
          <w:rFonts w:ascii="Arial" w:hAnsi="Arial" w:cs="Arial"/>
          <w:b/>
          <w:bCs/>
          <w:sz w:val="36"/>
          <w:szCs w:val="36"/>
        </w:rPr>
      </w:pPr>
      <w:r w:rsidRPr="00F74AD1">
        <w:rPr>
          <w:rFonts w:ascii="Arial" w:hAnsi="Arial" w:cs="Arial"/>
          <w:b/>
          <w:bCs/>
          <w:sz w:val="36"/>
          <w:szCs w:val="36"/>
        </w:rPr>
        <w:t>CHAPTER 3 – Methods and Search Strategy</w:t>
      </w:r>
    </w:p>
    <w:p w14:paraId="473DC45D" w14:textId="77777777" w:rsidR="00F74AD1" w:rsidRPr="00F74AD1" w:rsidRDefault="00F74AD1" w:rsidP="003C40B4">
      <w:pPr>
        <w:jc w:val="center"/>
        <w:rPr>
          <w:rFonts w:ascii="Arial" w:hAnsi="Arial" w:cs="Arial"/>
          <w:b/>
          <w:bCs/>
          <w:sz w:val="36"/>
          <w:szCs w:val="36"/>
          <w:u w:val="single"/>
        </w:rPr>
      </w:pPr>
    </w:p>
    <w:p w14:paraId="7E97E33E" w14:textId="77777777" w:rsidR="0053196A" w:rsidRPr="0053196A" w:rsidRDefault="0053196A" w:rsidP="0053196A">
      <w:pPr>
        <w:rPr>
          <w:b/>
          <w:bCs/>
          <w:sz w:val="24"/>
          <w:szCs w:val="24"/>
        </w:rPr>
      </w:pPr>
      <w:r w:rsidRPr="0053196A">
        <w:rPr>
          <w:b/>
          <w:bCs/>
          <w:sz w:val="24"/>
          <w:szCs w:val="24"/>
        </w:rPr>
        <w:t>3.1 Introduction and Research Aim</w:t>
      </w:r>
    </w:p>
    <w:p w14:paraId="213D8649" w14:textId="77777777" w:rsidR="00877C8A" w:rsidRPr="00877C8A" w:rsidRDefault="00877C8A" w:rsidP="00877C8A">
      <w:pPr>
        <w:rPr>
          <w:sz w:val="24"/>
          <w:szCs w:val="24"/>
        </w:rPr>
      </w:pPr>
      <w:r w:rsidRPr="00877C8A">
        <w:rPr>
          <w:sz w:val="24"/>
          <w:szCs w:val="24"/>
        </w:rPr>
        <w:t>The method used for comparing the eating behaviours of toddlers and adolescents in the United Kingdom is outlined in this chapter. The research is based on secondary research, by reviewing the available literature and publications, and not on primary research. This allows an opportunity to review the evidence, and to review it critically. There are different literature-review methods which are different from each other and therefore, the method to be used should fit the research question (Grant and Booth, 2009; Snyder, 2019).</w:t>
      </w:r>
    </w:p>
    <w:p w14:paraId="4FB15C0D" w14:textId="796D394C" w:rsidR="008810D0" w:rsidRDefault="00877C8A" w:rsidP="00877C8A">
      <w:pPr>
        <w:rPr>
          <w:sz w:val="24"/>
          <w:szCs w:val="24"/>
        </w:rPr>
      </w:pPr>
      <w:r w:rsidRPr="00877C8A">
        <w:rPr>
          <w:sz w:val="24"/>
          <w:szCs w:val="24"/>
        </w:rPr>
        <w:t>The research aims to compare eating habits, food choice, factors influencing eating behaviour and the relationship between childhood experience and future eating behaviour.</w:t>
      </w:r>
    </w:p>
    <w:p w14:paraId="1F6C08CF" w14:textId="77777777" w:rsidR="008810D0" w:rsidRPr="008810D0" w:rsidRDefault="008810D0" w:rsidP="008810D0">
      <w:pPr>
        <w:rPr>
          <w:b/>
          <w:bCs/>
          <w:sz w:val="24"/>
          <w:szCs w:val="24"/>
        </w:rPr>
      </w:pPr>
      <w:r w:rsidRPr="008810D0">
        <w:rPr>
          <w:b/>
          <w:bCs/>
          <w:sz w:val="24"/>
          <w:szCs w:val="24"/>
        </w:rPr>
        <w:t>3.2 Search Strategy</w:t>
      </w:r>
    </w:p>
    <w:p w14:paraId="155F1CEA" w14:textId="77777777" w:rsidR="00877C8A" w:rsidRPr="00877C8A" w:rsidRDefault="00877C8A" w:rsidP="00877C8A">
      <w:pPr>
        <w:rPr>
          <w:sz w:val="24"/>
          <w:szCs w:val="24"/>
        </w:rPr>
      </w:pPr>
      <w:r w:rsidRPr="00877C8A">
        <w:rPr>
          <w:sz w:val="24"/>
          <w:szCs w:val="24"/>
        </w:rPr>
        <w:t>A comprehensive literature review was performed on Google Scholar, PubMed/MEDLINE, ScienceDirect and academic libraries database collections. The search for authoritative information on nutrition, population and policy was undertaken using governmental and WHO publications of the United Kingdom.</w:t>
      </w:r>
    </w:p>
    <w:p w14:paraId="75973A77" w14:textId="77777777" w:rsidR="00877C8A" w:rsidRPr="00877C8A" w:rsidRDefault="00877C8A" w:rsidP="00877C8A">
      <w:pPr>
        <w:rPr>
          <w:sz w:val="24"/>
          <w:szCs w:val="24"/>
        </w:rPr>
      </w:pPr>
      <w:r w:rsidRPr="00877C8A">
        <w:rPr>
          <w:sz w:val="24"/>
          <w:szCs w:val="24"/>
        </w:rPr>
        <w:t>The keywords used were “toddler”, “young child”, “adolescent”, “teenager”, “eating behaviour”, “dietary habits”, “food choice”, “food preferences”, “nutrition” and “UK”.</w:t>
      </w:r>
    </w:p>
    <w:p w14:paraId="333D3BCF" w14:textId="49189816" w:rsidR="00DF19C3" w:rsidRDefault="00877C8A" w:rsidP="00877C8A">
      <w:pPr>
        <w:rPr>
          <w:sz w:val="24"/>
          <w:szCs w:val="24"/>
        </w:rPr>
      </w:pPr>
      <w:r w:rsidRPr="00877C8A">
        <w:rPr>
          <w:sz w:val="24"/>
          <w:szCs w:val="24"/>
        </w:rPr>
        <w:t>A clear search strategy promotes transparency (Grant &amp; Booth, 2009; Snyder, 2019). More recent sources have been preferred, but theoretical, historical or methodological ones have been retained. It was a structured literature search rather than a systematic review (Grant &amp; Booth, 2009).</w:t>
      </w:r>
    </w:p>
    <w:p w14:paraId="22DE0BD3" w14:textId="77777777" w:rsidR="00107D19" w:rsidRPr="00107D19" w:rsidRDefault="00107D19" w:rsidP="00107D19">
      <w:pPr>
        <w:rPr>
          <w:b/>
          <w:bCs/>
          <w:sz w:val="24"/>
          <w:szCs w:val="24"/>
        </w:rPr>
      </w:pPr>
      <w:r w:rsidRPr="00107D19">
        <w:rPr>
          <w:b/>
          <w:bCs/>
          <w:sz w:val="24"/>
          <w:szCs w:val="24"/>
        </w:rPr>
        <w:t>3.3 Searching for Information</w:t>
      </w:r>
    </w:p>
    <w:p w14:paraId="2349B753" w14:textId="77777777" w:rsidR="00877C8A" w:rsidRDefault="00877C8A" w:rsidP="00877C8A">
      <w:pPr>
        <w:rPr>
          <w:sz w:val="24"/>
          <w:szCs w:val="24"/>
        </w:rPr>
      </w:pPr>
      <w:r w:rsidRPr="00877C8A">
        <w:rPr>
          <w:sz w:val="24"/>
          <w:szCs w:val="24"/>
        </w:rPr>
        <w:t>The keywords and key concepts were identified prior to database searching. Titles and abstracts were screened for relevance and potentially relevant publications were assessed against the criteria for inclusion.</w:t>
      </w:r>
    </w:p>
    <w:p w14:paraId="6D684CF3" w14:textId="4A43BA2A" w:rsidR="00877C8A" w:rsidRPr="00877C8A" w:rsidRDefault="00877C8A" w:rsidP="00877C8A">
      <w:pPr>
        <w:rPr>
          <w:sz w:val="24"/>
          <w:szCs w:val="24"/>
        </w:rPr>
      </w:pPr>
      <w:r w:rsidRPr="00877C8A">
        <w:rPr>
          <w:sz w:val="24"/>
          <w:szCs w:val="24"/>
        </w:rPr>
        <w:t>It consisted of the following steps: specify purpose, determine keywords, search, screen titles and abstracts, apply criteria, screen full texts, assess sources, select literature and conduct thematic analysis. This is done through a well-established process which ensures transparency (Snyder, 2019).</w:t>
      </w:r>
    </w:p>
    <w:p w14:paraId="2660A60F" w14:textId="6CEE0D15" w:rsidR="00581D91" w:rsidRDefault="00877C8A" w:rsidP="00877C8A">
      <w:pPr>
        <w:rPr>
          <w:sz w:val="24"/>
          <w:szCs w:val="24"/>
        </w:rPr>
      </w:pPr>
      <w:r w:rsidRPr="00877C8A">
        <w:rPr>
          <w:sz w:val="24"/>
          <w:szCs w:val="24"/>
        </w:rPr>
        <w:t xml:space="preserve">A total of ten sources were selected and recorded in the literature tracking and analysis workbook. These included parental feeding habits, eating habits among young children, serving sizes, diets among adolescents, food choices, social environment and food environment, socio-economic factors. This workbook provided all the information needed about sources and helped to determine which literature is more relevant for the </w:t>
      </w:r>
      <w:r w:rsidRPr="00877C8A">
        <w:rPr>
          <w:sz w:val="24"/>
          <w:szCs w:val="24"/>
        </w:rPr>
        <w:lastRenderedPageBreak/>
        <w:t>in-depth analysis. It also was helpful in tracking the decisions made in regard to source selection for the dissertation.</w:t>
      </w:r>
    </w:p>
    <w:p w14:paraId="17B04821" w14:textId="77777777" w:rsidR="00D211D2" w:rsidRPr="00D211D2" w:rsidRDefault="00D211D2" w:rsidP="00D211D2">
      <w:pPr>
        <w:rPr>
          <w:b/>
          <w:bCs/>
          <w:sz w:val="24"/>
          <w:szCs w:val="24"/>
        </w:rPr>
      </w:pPr>
      <w:r w:rsidRPr="00D211D2">
        <w:rPr>
          <w:b/>
          <w:bCs/>
          <w:sz w:val="24"/>
          <w:szCs w:val="24"/>
        </w:rPr>
        <w:t>3.4 Research Validation</w:t>
      </w:r>
    </w:p>
    <w:p w14:paraId="003F09EC" w14:textId="77777777" w:rsidR="00877C8A" w:rsidRPr="00877C8A" w:rsidRDefault="00877C8A" w:rsidP="00877C8A">
      <w:pPr>
        <w:rPr>
          <w:sz w:val="24"/>
          <w:szCs w:val="24"/>
        </w:rPr>
      </w:pPr>
      <w:r w:rsidRPr="00877C8A">
        <w:rPr>
          <w:sz w:val="24"/>
          <w:szCs w:val="24"/>
        </w:rPr>
        <w:t>The ten articles were evaluated using CRAAP: currency (recency), relevance (relation to the topic), authority (credibility of the author and the publishing organization), accuracy (accuracy and evidence of information) and purpose (the purpose of publication and its bias).</w:t>
      </w:r>
    </w:p>
    <w:p w14:paraId="0E4E5D26" w14:textId="77777777" w:rsidR="00877C8A" w:rsidRPr="00877C8A" w:rsidRDefault="00877C8A" w:rsidP="00877C8A">
      <w:pPr>
        <w:rPr>
          <w:sz w:val="24"/>
          <w:szCs w:val="24"/>
        </w:rPr>
      </w:pPr>
      <w:r w:rsidRPr="00877C8A">
        <w:rPr>
          <w:sz w:val="24"/>
          <w:szCs w:val="24"/>
        </w:rPr>
        <w:t>Critical appraisal is needed because different studies have different methodological features. As Greenhalgh suggests, it is not enough to judge the evidence by the fact that the research article has been published. The research was appraised using the CASP checklists where appropriate.</w:t>
      </w:r>
    </w:p>
    <w:p w14:paraId="27ED5797" w14:textId="276DA9DB" w:rsidR="00877C8A" w:rsidRDefault="00877C8A" w:rsidP="00877C8A">
      <w:pPr>
        <w:rPr>
          <w:sz w:val="24"/>
          <w:szCs w:val="24"/>
        </w:rPr>
      </w:pPr>
      <w:r w:rsidRPr="00877C8A">
        <w:rPr>
          <w:sz w:val="24"/>
          <w:szCs w:val="24"/>
        </w:rPr>
        <w:t xml:space="preserve">Five articles were selected for analysis: </w:t>
      </w:r>
      <w:proofErr w:type="spellStart"/>
      <w:r w:rsidRPr="00877C8A">
        <w:rPr>
          <w:sz w:val="24"/>
          <w:szCs w:val="24"/>
        </w:rPr>
        <w:t>Kininmonth</w:t>
      </w:r>
      <w:proofErr w:type="spellEnd"/>
      <w:r w:rsidRPr="00877C8A">
        <w:rPr>
          <w:sz w:val="24"/>
          <w:szCs w:val="24"/>
        </w:rPr>
        <w:t xml:space="preserve"> et al. (2023), Pickard et al. (2023), Porter et al. (2022), </w:t>
      </w:r>
      <w:proofErr w:type="spellStart"/>
      <w:r w:rsidRPr="00877C8A">
        <w:rPr>
          <w:sz w:val="24"/>
          <w:szCs w:val="24"/>
        </w:rPr>
        <w:t>Bawajeeh</w:t>
      </w:r>
      <w:proofErr w:type="spellEnd"/>
      <w:r w:rsidRPr="00877C8A">
        <w:rPr>
          <w:sz w:val="24"/>
          <w:szCs w:val="24"/>
        </w:rPr>
        <w:t xml:space="preserve"> et al. (2022) and Shaw et al. (2023). The selection was done according to the quality, relevance and usefulness of information given by articles to the </w:t>
      </w:r>
      <w:proofErr w:type="gramStart"/>
      <w:r w:rsidRPr="00877C8A">
        <w:rPr>
          <w:sz w:val="24"/>
          <w:szCs w:val="24"/>
        </w:rPr>
        <w:t>comparison .</w:t>
      </w:r>
      <w:proofErr w:type="gramEnd"/>
    </w:p>
    <w:p w14:paraId="3519EC82" w14:textId="3E9308AD" w:rsidR="00F74AD1" w:rsidRDefault="00F74AD1" w:rsidP="00877C8A">
      <w:pPr>
        <w:rPr>
          <w:sz w:val="24"/>
          <w:szCs w:val="24"/>
        </w:rPr>
      </w:pPr>
    </w:p>
    <w:p w14:paraId="5CC72C77" w14:textId="77777777" w:rsidR="00F74AD1" w:rsidRPr="00D211D2" w:rsidRDefault="00F74AD1" w:rsidP="00F74AD1">
      <w:pPr>
        <w:rPr>
          <w:b/>
          <w:bCs/>
          <w:sz w:val="24"/>
          <w:szCs w:val="24"/>
        </w:rPr>
      </w:pPr>
      <w:r w:rsidRPr="00D211D2">
        <w:rPr>
          <w:b/>
          <w:bCs/>
          <w:sz w:val="24"/>
          <w:szCs w:val="24"/>
        </w:rPr>
        <w:t>3.4 Research Validation</w:t>
      </w:r>
    </w:p>
    <w:p w14:paraId="29C09955" w14:textId="48E92B6A" w:rsidR="00F74AD1" w:rsidRDefault="00F74AD1" w:rsidP="00877C8A">
      <w:pPr>
        <w:rPr>
          <w:sz w:val="24"/>
          <w:szCs w:val="24"/>
        </w:rPr>
      </w:pPr>
    </w:p>
    <w:p w14:paraId="6241714E" w14:textId="77777777" w:rsidR="00DB56CD" w:rsidRDefault="00DB56CD" w:rsidP="00DB56CD">
      <w:pPr>
        <w:rPr>
          <w:sz w:val="24"/>
          <w:szCs w:val="24"/>
        </w:rPr>
      </w:pPr>
      <w:r w:rsidRPr="00DB56CD">
        <w:rPr>
          <w:sz w:val="24"/>
          <w:szCs w:val="24"/>
        </w:rPr>
        <w:t>The ten articles were evaluated using CRAAP: currency (recency), relevance (relation to the topic), authority (credibility of the author and the publishing organization), accuracy (accuracy and evidence of information) and purpose (the purpose of publication and its bias).</w:t>
      </w:r>
    </w:p>
    <w:p w14:paraId="3E403ABA" w14:textId="788A0728" w:rsidR="00DB56CD" w:rsidRPr="00DB56CD" w:rsidRDefault="00DB56CD" w:rsidP="00DB56CD">
      <w:pPr>
        <w:rPr>
          <w:sz w:val="24"/>
          <w:szCs w:val="24"/>
        </w:rPr>
      </w:pPr>
      <w:r w:rsidRPr="00DB56CD">
        <w:rPr>
          <w:sz w:val="24"/>
          <w:szCs w:val="24"/>
        </w:rPr>
        <w:t>Critical appraisal is needed because different studies have different methodological features. As Greenhalgh suggests, it is not enough to judge the evidence by the fact that the research article has been published. The research was appraised using the CASP checklists where appropriate.</w:t>
      </w:r>
    </w:p>
    <w:p w14:paraId="34334EC3" w14:textId="146C9A87" w:rsidR="00DB56CD" w:rsidRPr="00877C8A" w:rsidRDefault="00DB56CD" w:rsidP="00DB56CD">
      <w:pPr>
        <w:rPr>
          <w:sz w:val="24"/>
          <w:szCs w:val="24"/>
        </w:rPr>
      </w:pPr>
      <w:r w:rsidRPr="00DB56CD">
        <w:rPr>
          <w:sz w:val="24"/>
          <w:szCs w:val="24"/>
        </w:rPr>
        <w:t xml:space="preserve">Five articles were selected for analysis: </w:t>
      </w:r>
      <w:proofErr w:type="spellStart"/>
      <w:r w:rsidRPr="00DB56CD">
        <w:rPr>
          <w:sz w:val="24"/>
          <w:szCs w:val="24"/>
        </w:rPr>
        <w:t>Kininmonth</w:t>
      </w:r>
      <w:proofErr w:type="spellEnd"/>
      <w:r w:rsidRPr="00DB56CD">
        <w:rPr>
          <w:sz w:val="24"/>
          <w:szCs w:val="24"/>
        </w:rPr>
        <w:t xml:space="preserve"> et al. (2023), Pickard et al. (2023), Porter et al. (2022), </w:t>
      </w:r>
      <w:proofErr w:type="spellStart"/>
      <w:r w:rsidRPr="00DB56CD">
        <w:rPr>
          <w:sz w:val="24"/>
          <w:szCs w:val="24"/>
        </w:rPr>
        <w:t>Bawajeeh</w:t>
      </w:r>
      <w:proofErr w:type="spellEnd"/>
      <w:r w:rsidRPr="00DB56CD">
        <w:rPr>
          <w:sz w:val="24"/>
          <w:szCs w:val="24"/>
        </w:rPr>
        <w:t xml:space="preserve"> et al. (2022) and Shaw et al. (2023). The selection of the articles was based on the quality, relevance and usefulness of the information provided to the comparison.</w:t>
      </w:r>
    </w:p>
    <w:p w14:paraId="57460E0D" w14:textId="77777777" w:rsidR="00877C8A" w:rsidRPr="00877C8A" w:rsidRDefault="00877C8A" w:rsidP="00877C8A">
      <w:pPr>
        <w:rPr>
          <w:sz w:val="24"/>
          <w:szCs w:val="24"/>
        </w:rPr>
      </w:pPr>
    </w:p>
    <w:p w14:paraId="14D67F3C" w14:textId="03A4AD35" w:rsidR="00BA4A46" w:rsidRDefault="00BA4A46" w:rsidP="00BA4A46">
      <w:pPr>
        <w:rPr>
          <w:sz w:val="24"/>
          <w:szCs w:val="24"/>
        </w:rPr>
      </w:pPr>
    </w:p>
    <w:p w14:paraId="5F9584FF" w14:textId="1AAFC083" w:rsidR="00DB56CD" w:rsidRPr="00BA4A46" w:rsidRDefault="00DB56CD" w:rsidP="00BA4A46">
      <w:pPr>
        <w:rPr>
          <w:sz w:val="24"/>
          <w:szCs w:val="24"/>
        </w:rPr>
      </w:pPr>
      <w:r w:rsidRPr="000D2B00">
        <w:rPr>
          <w:rStyle w:val="Heading2Char"/>
        </w:rPr>
        <w:t xml:space="preserve"> Inclusion and Exclusion Criteria</w:t>
      </w:r>
    </w:p>
    <w:sectPr w:rsidR="00DB56CD" w:rsidRPr="00BA4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49D"/>
    <w:rsid w:val="00004DAC"/>
    <w:rsid w:val="00107D19"/>
    <w:rsid w:val="003C40B4"/>
    <w:rsid w:val="004E49F8"/>
    <w:rsid w:val="0053196A"/>
    <w:rsid w:val="00581D91"/>
    <w:rsid w:val="005F649D"/>
    <w:rsid w:val="007D33F7"/>
    <w:rsid w:val="00877C8A"/>
    <w:rsid w:val="008810D0"/>
    <w:rsid w:val="00B97B10"/>
    <w:rsid w:val="00BA4A46"/>
    <w:rsid w:val="00CB09DA"/>
    <w:rsid w:val="00D211D2"/>
    <w:rsid w:val="00DB56CD"/>
    <w:rsid w:val="00DF19C3"/>
    <w:rsid w:val="00EB6233"/>
    <w:rsid w:val="00F652F1"/>
    <w:rsid w:val="00F74AD1"/>
    <w:rsid w:val="00FA6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5F59"/>
  <w15:chartTrackingRefBased/>
  <w15:docId w15:val="{2005C0B1-3C55-4792-BE1D-B82A486D0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0B4"/>
  </w:style>
  <w:style w:type="paragraph" w:styleId="Heading1">
    <w:name w:val="heading 1"/>
    <w:basedOn w:val="Normal"/>
    <w:next w:val="Normal"/>
    <w:link w:val="Heading1Char"/>
    <w:uiPriority w:val="9"/>
    <w:qFormat/>
    <w:rsid w:val="005F6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6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64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64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4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4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64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4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4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4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49D"/>
    <w:rPr>
      <w:rFonts w:eastAsiaTheme="majorEastAsia" w:cstheme="majorBidi"/>
      <w:color w:val="272727" w:themeColor="text1" w:themeTint="D8"/>
    </w:rPr>
  </w:style>
  <w:style w:type="paragraph" w:styleId="Title">
    <w:name w:val="Title"/>
    <w:basedOn w:val="Normal"/>
    <w:next w:val="Normal"/>
    <w:link w:val="TitleChar"/>
    <w:uiPriority w:val="10"/>
    <w:qFormat/>
    <w:rsid w:val="005F6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49D"/>
    <w:pPr>
      <w:spacing w:before="160"/>
      <w:jc w:val="center"/>
    </w:pPr>
    <w:rPr>
      <w:i/>
      <w:iCs/>
      <w:color w:val="404040" w:themeColor="text1" w:themeTint="BF"/>
    </w:rPr>
  </w:style>
  <w:style w:type="character" w:customStyle="1" w:styleId="QuoteChar">
    <w:name w:val="Quote Char"/>
    <w:basedOn w:val="DefaultParagraphFont"/>
    <w:link w:val="Quote"/>
    <w:uiPriority w:val="29"/>
    <w:rsid w:val="005F649D"/>
    <w:rPr>
      <w:i/>
      <w:iCs/>
      <w:color w:val="404040" w:themeColor="text1" w:themeTint="BF"/>
    </w:rPr>
  </w:style>
  <w:style w:type="paragraph" w:styleId="ListParagraph">
    <w:name w:val="List Paragraph"/>
    <w:basedOn w:val="Normal"/>
    <w:uiPriority w:val="34"/>
    <w:qFormat/>
    <w:rsid w:val="005F649D"/>
    <w:pPr>
      <w:ind w:left="720"/>
      <w:contextualSpacing/>
    </w:pPr>
  </w:style>
  <w:style w:type="character" w:styleId="IntenseEmphasis">
    <w:name w:val="Intense Emphasis"/>
    <w:basedOn w:val="DefaultParagraphFont"/>
    <w:uiPriority w:val="21"/>
    <w:qFormat/>
    <w:rsid w:val="005F649D"/>
    <w:rPr>
      <w:i/>
      <w:iCs/>
      <w:color w:val="0F4761" w:themeColor="accent1" w:themeShade="BF"/>
    </w:rPr>
  </w:style>
  <w:style w:type="paragraph" w:styleId="IntenseQuote">
    <w:name w:val="Intense Quote"/>
    <w:basedOn w:val="Normal"/>
    <w:next w:val="Normal"/>
    <w:link w:val="IntenseQuoteChar"/>
    <w:uiPriority w:val="30"/>
    <w:qFormat/>
    <w:rsid w:val="005F6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49D"/>
    <w:rPr>
      <w:i/>
      <w:iCs/>
      <w:color w:val="0F4761" w:themeColor="accent1" w:themeShade="BF"/>
    </w:rPr>
  </w:style>
  <w:style w:type="character" w:styleId="IntenseReference">
    <w:name w:val="Intense Reference"/>
    <w:basedOn w:val="DefaultParagraphFont"/>
    <w:uiPriority w:val="32"/>
    <w:qFormat/>
    <w:rsid w:val="005F64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Dounia Allaiouti</dc:creator>
  <cp:keywords/>
  <dc:description/>
  <cp:lastModifiedBy>Rayan Benmaach</cp:lastModifiedBy>
  <cp:revision>2</cp:revision>
  <dcterms:created xsi:type="dcterms:W3CDTF">2026-10-23T06:01:00Z</dcterms:created>
  <dcterms:modified xsi:type="dcterms:W3CDTF">2026-10-23T06:01:00Z</dcterms:modified>
</cp:coreProperties>
</file>