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8651E4" wp14:paraId="5600EB26" wp14:textId="1F25BB43">
      <w:pPr>
        <w:spacing w:line="360" w:lineRule="auto"/>
        <w:rPr>
          <w:rFonts w:ascii="Arial" w:hAnsi="Arial" w:eastAsia="Arial" w:cs="Arial"/>
          <w:b w:val="0"/>
          <w:bCs w:val="0"/>
          <w:sz w:val="22"/>
          <w:szCs w:val="22"/>
          <w:u w:val="single"/>
        </w:rPr>
      </w:pPr>
    </w:p>
    <w:p xmlns:wp14="http://schemas.microsoft.com/office/word/2010/wordml" w:rsidP="528651E4" wp14:paraId="491909CC" wp14:textId="26323C2A">
      <w:pPr>
        <w:spacing w:line="360" w:lineRule="auto"/>
        <w:rPr>
          <w:rFonts w:ascii="Arial" w:hAnsi="Arial" w:eastAsia="Arial" w:cs="Arial"/>
          <w:b w:val="0"/>
          <w:bCs w:val="0"/>
          <w:sz w:val="22"/>
          <w:szCs w:val="22"/>
          <w:u w:val="single"/>
        </w:rPr>
      </w:pPr>
    </w:p>
    <w:p xmlns:wp14="http://schemas.microsoft.com/office/word/2010/wordml" w:rsidP="528651E4" wp14:paraId="5CE897E6" wp14:textId="04BD0D5A">
      <w:pPr>
        <w:spacing w:line="360" w:lineRule="auto"/>
        <w:rPr>
          <w:rFonts w:ascii="Arial" w:hAnsi="Arial" w:eastAsia="Arial" w:cs="Arial"/>
          <w:b w:val="0"/>
          <w:bCs w:val="0"/>
          <w:sz w:val="22"/>
          <w:szCs w:val="22"/>
          <w:u w:val="single"/>
        </w:rPr>
      </w:pPr>
    </w:p>
    <w:p xmlns:wp14="http://schemas.microsoft.com/office/word/2010/wordml" w:rsidP="528651E4" wp14:paraId="49C31D93" wp14:textId="4D262EAE">
      <w:pPr>
        <w:spacing w:line="360" w:lineRule="auto"/>
        <w:rPr>
          <w:rFonts w:ascii="Arial" w:hAnsi="Arial" w:eastAsia="Arial" w:cs="Arial"/>
          <w:b w:val="0"/>
          <w:bCs w:val="0"/>
          <w:sz w:val="22"/>
          <w:szCs w:val="22"/>
          <w:u w:val="single"/>
        </w:rPr>
      </w:pPr>
    </w:p>
    <w:p xmlns:wp14="http://schemas.microsoft.com/office/word/2010/wordml" w:rsidP="528651E4" wp14:paraId="7810711C" wp14:textId="6CA8A923">
      <w:pPr>
        <w:spacing w:line="360" w:lineRule="auto"/>
        <w:rPr>
          <w:rFonts w:ascii="Arial" w:hAnsi="Arial" w:eastAsia="Arial" w:cs="Arial"/>
          <w:b w:val="0"/>
          <w:bCs w:val="0"/>
          <w:sz w:val="22"/>
          <w:szCs w:val="22"/>
          <w:u w:val="single"/>
        </w:rPr>
      </w:pPr>
    </w:p>
    <w:p xmlns:wp14="http://schemas.microsoft.com/office/word/2010/wordml" w:rsidP="528651E4" wp14:paraId="660FF85A" wp14:textId="3761D581">
      <w:pPr>
        <w:spacing w:line="360" w:lineRule="auto"/>
        <w:rPr>
          <w:rFonts w:ascii="Arial" w:hAnsi="Arial" w:eastAsia="Arial" w:cs="Arial"/>
          <w:b w:val="0"/>
          <w:bCs w:val="0"/>
          <w:sz w:val="22"/>
          <w:szCs w:val="22"/>
          <w:u w:val="single"/>
        </w:rPr>
      </w:pPr>
    </w:p>
    <w:p xmlns:wp14="http://schemas.microsoft.com/office/word/2010/wordml" w:rsidP="528651E4" wp14:paraId="58394A63" wp14:textId="62BFD069">
      <w:pPr>
        <w:spacing w:line="360" w:lineRule="auto"/>
        <w:rPr>
          <w:rFonts w:ascii="Arial" w:hAnsi="Arial" w:eastAsia="Arial" w:cs="Arial"/>
          <w:b w:val="0"/>
          <w:bCs w:val="0"/>
          <w:sz w:val="22"/>
          <w:szCs w:val="22"/>
          <w:u w:val="single"/>
        </w:rPr>
      </w:pPr>
    </w:p>
    <w:p xmlns:wp14="http://schemas.microsoft.com/office/word/2010/wordml" w:rsidP="528651E4" wp14:paraId="713A9D93" wp14:textId="7DD1C857">
      <w:pPr>
        <w:spacing w:line="360" w:lineRule="auto"/>
        <w:rPr>
          <w:rFonts w:ascii="Arial" w:hAnsi="Arial" w:eastAsia="Arial" w:cs="Arial"/>
          <w:b w:val="0"/>
          <w:bCs w:val="0"/>
          <w:sz w:val="22"/>
          <w:szCs w:val="22"/>
          <w:u w:val="single"/>
        </w:rPr>
      </w:pPr>
    </w:p>
    <w:p xmlns:wp14="http://schemas.microsoft.com/office/word/2010/wordml" w:rsidP="528651E4" wp14:paraId="001D823F" wp14:textId="2A2D1CD7">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Psychology in Health and Social Care</w:t>
      </w:r>
    </w:p>
    <w:p xmlns:wp14="http://schemas.microsoft.com/office/word/2010/wordml" w:rsidP="528651E4" wp14:paraId="3039BF69" wp14:textId="172EA4B1">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LCHS4010</w:t>
      </w:r>
    </w:p>
    <w:p xmlns:wp14="http://schemas.microsoft.com/office/word/2010/wordml" w:rsidP="528651E4" wp14:paraId="47DF789A" wp14:textId="0FB35D38">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Assessment 2: Bibliography and Report</w:t>
      </w:r>
    </w:p>
    <w:p xmlns:wp14="http://schemas.microsoft.com/office/word/2010/wordml" w:rsidP="528651E4" wp14:paraId="03E4A844" wp14:textId="226FE0A7">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Zahra Begum</w:t>
      </w:r>
    </w:p>
    <w:p xmlns:wp14="http://schemas.microsoft.com/office/word/2010/wordml" w:rsidP="528651E4" wp14:paraId="42525D5B" wp14:textId="1D56721B">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2324332</w:t>
      </w:r>
    </w:p>
    <w:p xmlns:wp14="http://schemas.microsoft.com/office/word/2010/wordml" w:rsidP="540688A8" wp14:paraId="29162389" wp14:textId="089DCF49">
      <w:pPr>
        <w:spacing w:line="360" w:lineRule="auto"/>
      </w:pPr>
      <w:r>
        <w:br w:type="page"/>
      </w:r>
    </w:p>
    <w:p xmlns:wp14="http://schemas.microsoft.com/office/word/2010/wordml" w:rsidP="528651E4" wp14:paraId="5E5787A5" wp14:textId="4B8285DB">
      <w:pPr>
        <w:pStyle w:val="Normal"/>
        <w:spacing w:line="360" w:lineRule="auto"/>
        <w:rPr>
          <w:rFonts w:ascii="Arial" w:hAnsi="Arial" w:eastAsia="Arial" w:cs="Arial"/>
          <w:b w:val="0"/>
          <w:bCs w:val="0"/>
          <w:sz w:val="22"/>
          <w:szCs w:val="22"/>
          <w:u w:val="single"/>
        </w:rPr>
      </w:pPr>
      <w:r w:rsidRPr="528651E4" w:rsidR="57B60132">
        <w:rPr>
          <w:rFonts w:ascii="Arial" w:hAnsi="Arial" w:eastAsia="Arial" w:cs="Arial"/>
          <w:b w:val="0"/>
          <w:bCs w:val="0"/>
          <w:sz w:val="22"/>
          <w:szCs w:val="22"/>
          <w:u w:val="single"/>
        </w:rPr>
        <w:t>P</w:t>
      </w:r>
      <w:r w:rsidRPr="528651E4" w:rsidR="673B89B0">
        <w:rPr>
          <w:rFonts w:ascii="Arial" w:hAnsi="Arial" w:eastAsia="Arial" w:cs="Arial"/>
          <w:b w:val="0"/>
          <w:bCs w:val="0"/>
          <w:sz w:val="22"/>
          <w:szCs w:val="22"/>
          <w:u w:val="single"/>
        </w:rPr>
        <w:t>art A:  Annotated Bibliography</w:t>
      </w:r>
    </w:p>
    <w:p w:rsidR="46FB969E" w:rsidP="528651E4" w:rsidRDefault="46FB969E" w14:paraId="1A87BCBC" w14:textId="36638D4E">
      <w:pPr>
        <w:spacing w:line="360" w:lineRule="auto"/>
        <w:rPr>
          <w:rFonts w:ascii="Arial" w:hAnsi="Arial" w:eastAsia="Arial" w:cs="Arial"/>
          <w:b w:val="0"/>
          <w:bCs w:val="0"/>
          <w:noProof w:val="0"/>
          <w:color w:val="auto"/>
          <w:sz w:val="22"/>
          <w:szCs w:val="22"/>
          <w:lang w:val="en-GB"/>
        </w:rPr>
      </w:pPr>
      <w:r w:rsidRPr="528651E4" w:rsidR="673B89B0">
        <w:rPr>
          <w:rFonts w:ascii="Arial" w:hAnsi="Arial" w:eastAsia="Arial" w:cs="Arial"/>
          <w:b w:val="0"/>
          <w:bCs w:val="0"/>
          <w:color w:val="auto"/>
          <w:sz w:val="22"/>
          <w:szCs w:val="22"/>
        </w:rPr>
        <w:t>Source 1:</w:t>
      </w:r>
      <w:r w:rsidRPr="528651E4" w:rsidR="31A97BB1">
        <w:rPr>
          <w:rFonts w:ascii="Arial" w:hAnsi="Arial" w:eastAsia="Arial" w:cs="Arial"/>
          <w:b w:val="0"/>
          <w:bCs w:val="0"/>
          <w:color w:val="auto"/>
          <w:sz w:val="22"/>
          <w:szCs w:val="22"/>
        </w:rPr>
        <w:t xml:space="preserve"> (</w:t>
      </w:r>
      <w:r w:rsidRPr="528651E4" w:rsidR="205FF87E">
        <w:rPr>
          <w:rFonts w:ascii="Arial" w:hAnsi="Arial" w:eastAsia="Arial" w:cs="Arial"/>
          <w:b w:val="0"/>
          <w:bCs w:val="0"/>
          <w:noProof w:val="0"/>
          <w:color w:val="auto"/>
          <w:sz w:val="22"/>
          <w:szCs w:val="22"/>
          <w:lang w:val="en-GB"/>
        </w:rPr>
        <w:t>Erikson’s Psychosocial Development Theory</w:t>
      </w:r>
      <w:r w:rsidRPr="528651E4" w:rsidR="7C6B1779">
        <w:rPr>
          <w:rFonts w:ascii="Arial" w:hAnsi="Arial" w:eastAsia="Arial" w:cs="Arial"/>
          <w:b w:val="0"/>
          <w:bCs w:val="0"/>
          <w:noProof w:val="0"/>
          <w:color w:val="auto"/>
          <w:sz w:val="22"/>
          <w:szCs w:val="22"/>
          <w:lang w:val="en-GB"/>
        </w:rPr>
        <w:t>)</w:t>
      </w:r>
    </w:p>
    <w:p w:rsidR="2929E309" w:rsidP="528651E4" w:rsidRDefault="2929E309" w14:paraId="76AC968F" w14:textId="5E1E6A31">
      <w:pPr>
        <w:pStyle w:val="Normal"/>
        <w:spacing w:line="360" w:lineRule="auto"/>
        <w:rPr>
          <w:rFonts w:ascii="Arial" w:hAnsi="Arial" w:eastAsia="Arial" w:cs="Arial"/>
          <w:noProof w:val="0"/>
          <w:sz w:val="22"/>
          <w:szCs w:val="22"/>
          <w:lang w:val="en-GB"/>
        </w:rPr>
      </w:pPr>
      <w:r w:rsidRPr="528651E4" w:rsidR="23CDD7C0">
        <w:rPr>
          <w:rFonts w:ascii="Arial" w:hAnsi="Arial" w:eastAsia="Arial" w:cs="Arial"/>
          <w:b w:val="0"/>
          <w:bCs w:val="0"/>
          <w:i w:val="0"/>
          <w:iCs w:val="0"/>
          <w:caps w:val="0"/>
          <w:smallCaps w:val="0"/>
          <w:noProof w:val="0"/>
          <w:color w:val="auto"/>
          <w:sz w:val="22"/>
          <w:szCs w:val="22"/>
          <w:lang w:val="en-GB"/>
        </w:rPr>
        <w:t>Gilleard</w:t>
      </w:r>
      <w:r w:rsidRPr="528651E4" w:rsidR="23CDD7C0">
        <w:rPr>
          <w:rFonts w:ascii="Arial" w:hAnsi="Arial" w:eastAsia="Arial" w:cs="Arial"/>
          <w:b w:val="0"/>
          <w:bCs w:val="0"/>
          <w:i w:val="0"/>
          <w:iCs w:val="0"/>
          <w:caps w:val="0"/>
          <w:smallCaps w:val="0"/>
          <w:noProof w:val="0"/>
          <w:color w:val="auto"/>
          <w:sz w:val="22"/>
          <w:szCs w:val="22"/>
          <w:lang w:val="en-GB"/>
        </w:rPr>
        <w:t xml:space="preserve">, C., 2020. The final stage of human development? Erikson's view of integrity and old age. </w:t>
      </w:r>
      <w:r w:rsidRPr="528651E4" w:rsidR="23CDD7C0">
        <w:rPr>
          <w:rFonts w:ascii="Arial" w:hAnsi="Arial" w:eastAsia="Arial" w:cs="Arial"/>
          <w:b w:val="0"/>
          <w:bCs w:val="0"/>
          <w:i w:val="1"/>
          <w:iCs w:val="1"/>
          <w:caps w:val="0"/>
          <w:smallCaps w:val="0"/>
          <w:noProof w:val="0"/>
          <w:color w:val="auto"/>
          <w:sz w:val="22"/>
          <w:szCs w:val="22"/>
          <w:lang w:val="en-GB"/>
        </w:rPr>
        <w:t>International Journal of Ageing and Later Life</w:t>
      </w:r>
      <w:r w:rsidRPr="528651E4" w:rsidR="23CDD7C0">
        <w:rPr>
          <w:rFonts w:ascii="Arial" w:hAnsi="Arial" w:eastAsia="Arial" w:cs="Arial"/>
          <w:b w:val="0"/>
          <w:bCs w:val="0"/>
          <w:i w:val="0"/>
          <w:iCs w:val="0"/>
          <w:caps w:val="0"/>
          <w:smallCaps w:val="0"/>
          <w:noProof w:val="0"/>
          <w:color w:val="auto"/>
          <w:sz w:val="22"/>
          <w:szCs w:val="22"/>
          <w:lang w:val="en-GB"/>
        </w:rPr>
        <w:t xml:space="preserve">, </w:t>
      </w:r>
      <w:r w:rsidRPr="528651E4" w:rsidR="23CDD7C0">
        <w:rPr>
          <w:rFonts w:ascii="Arial" w:hAnsi="Arial" w:eastAsia="Arial" w:cs="Arial"/>
          <w:b w:val="0"/>
          <w:bCs w:val="0"/>
          <w:i w:val="1"/>
          <w:iCs w:val="1"/>
          <w:caps w:val="0"/>
          <w:smallCaps w:val="0"/>
          <w:noProof w:val="0"/>
          <w:color w:val="auto"/>
          <w:sz w:val="22"/>
          <w:szCs w:val="22"/>
          <w:lang w:val="en-GB"/>
        </w:rPr>
        <w:t>14</w:t>
      </w:r>
      <w:r w:rsidRPr="528651E4" w:rsidR="23CDD7C0">
        <w:rPr>
          <w:rFonts w:ascii="Arial" w:hAnsi="Arial" w:eastAsia="Arial" w:cs="Arial"/>
          <w:b w:val="0"/>
          <w:bCs w:val="0"/>
          <w:i w:val="0"/>
          <w:iCs w:val="0"/>
          <w:caps w:val="0"/>
          <w:smallCaps w:val="0"/>
          <w:noProof w:val="0"/>
          <w:color w:val="auto"/>
          <w:sz w:val="22"/>
          <w:szCs w:val="22"/>
          <w:lang w:val="en-GB"/>
        </w:rPr>
        <w:t>(2), pp.139-162.</w:t>
      </w:r>
      <w:r w:rsidRPr="528651E4" w:rsidR="59F78715">
        <w:rPr>
          <w:rFonts w:ascii="Arial" w:hAnsi="Arial" w:eastAsia="Arial" w:cs="Arial"/>
          <w:b w:val="0"/>
          <w:bCs w:val="0"/>
          <w:i w:val="0"/>
          <w:iCs w:val="0"/>
          <w:caps w:val="0"/>
          <w:smallCaps w:val="0"/>
          <w:noProof w:val="0"/>
          <w:color w:val="auto"/>
          <w:sz w:val="22"/>
          <w:szCs w:val="22"/>
          <w:lang w:val="en-GB"/>
        </w:rPr>
        <w:t xml:space="preserve"> Available at:</w:t>
      </w:r>
      <w:r w:rsidRPr="528651E4" w:rsidR="59F78715">
        <w:rPr>
          <w:rFonts w:ascii="Arial" w:hAnsi="Arial" w:eastAsia="Arial" w:cs="Arial"/>
          <w:b w:val="0"/>
          <w:bCs w:val="0"/>
          <w:i w:val="0"/>
          <w:iCs w:val="0"/>
          <w:caps w:val="0"/>
          <w:smallCaps w:val="0"/>
          <w:noProof w:val="0"/>
          <w:color w:val="222222"/>
          <w:sz w:val="22"/>
          <w:szCs w:val="22"/>
          <w:lang w:val="en-GB"/>
        </w:rPr>
        <w:t xml:space="preserve"> </w:t>
      </w:r>
      <w:hyperlink r:id="R2a7670ac18654c3a">
        <w:r w:rsidRPr="528651E4" w:rsidR="59F78715">
          <w:rPr>
            <w:rStyle w:val="Hyperlink"/>
            <w:rFonts w:ascii="Arial" w:hAnsi="Arial" w:eastAsia="Arial" w:cs="Arial"/>
            <w:noProof w:val="0"/>
            <w:sz w:val="22"/>
            <w:szCs w:val="22"/>
            <w:lang w:val="en-GB"/>
          </w:rPr>
          <w:t>The final stage of human development? Erikson's view of integrity and old age | International Journal of Ageing and Later Life</w:t>
        </w:r>
      </w:hyperlink>
    </w:p>
    <w:p w:rsidR="607E3D3F" w:rsidP="528651E4" w:rsidRDefault="607E3D3F" w14:paraId="6F42C276" w14:textId="27D188CE">
      <w:pPr>
        <w:spacing w:before="240" w:beforeAutospacing="off" w:after="240" w:afterAutospacing="off" w:line="360" w:lineRule="auto"/>
      </w:pPr>
      <w:r w:rsidRPr="528651E4" w:rsidR="607E3D3F">
        <w:rPr>
          <w:rFonts w:ascii="Arial" w:hAnsi="Arial" w:eastAsia="Arial" w:cs="Arial"/>
          <w:noProof w:val="0"/>
          <w:sz w:val="22"/>
          <w:szCs w:val="22"/>
          <w:lang w:val="en-GB"/>
        </w:rPr>
        <w:t>Erik H. Erikson’s psychosocial theory suggests that human development happens across eight stages throughout life. Each stage involves a psychosocial conflict that people must resolve to develop healthily. The final stage, ego integrity versus despair, occurs in older adulthood and focuses on reflecting on life experiences.</w:t>
      </w:r>
    </w:p>
    <w:p w:rsidR="607E3D3F" w:rsidP="528651E4" w:rsidRDefault="607E3D3F" w14:paraId="3E82E65B" w14:textId="0BF7C869">
      <w:pPr>
        <w:spacing w:before="240" w:beforeAutospacing="off" w:after="240" w:afterAutospacing="off" w:line="360" w:lineRule="auto"/>
      </w:pPr>
      <w:r w:rsidRPr="528651E4" w:rsidR="607E3D3F">
        <w:rPr>
          <w:rFonts w:ascii="Arial" w:hAnsi="Arial" w:eastAsia="Arial" w:cs="Arial"/>
          <w:noProof w:val="0"/>
          <w:sz w:val="22"/>
          <w:szCs w:val="22"/>
          <w:lang w:val="en-GB"/>
        </w:rPr>
        <w:t>According to Erikson’s theory, individuals who feel their life has been meaningful develop a sense of integrity and acceptance, while those who feel regret may experience despair. Successfully resolving this stage supports emotional wellbeing, wisdom, and acceptance of ageing, with greater resilience and life satisfaction.</w:t>
      </w:r>
    </w:p>
    <w:p w:rsidR="607E3D3F" w:rsidP="528651E4" w:rsidRDefault="607E3D3F" w14:paraId="420F7B58" w14:textId="1AB2C99C">
      <w:pPr>
        <w:spacing w:before="240" w:beforeAutospacing="off" w:after="240" w:afterAutospacing="off" w:line="360" w:lineRule="auto"/>
      </w:pPr>
      <w:r w:rsidRPr="528651E4" w:rsidR="607E3D3F">
        <w:rPr>
          <w:rFonts w:ascii="Arial" w:hAnsi="Arial" w:eastAsia="Arial" w:cs="Arial"/>
          <w:noProof w:val="0"/>
          <w:sz w:val="22"/>
          <w:szCs w:val="22"/>
          <w:lang w:val="en-GB"/>
        </w:rPr>
        <w:t>This theory is relevant to health and social care settings as it highlights the importance of life reflection and identity in later life. Care professionals can support older adults through reminiscence activities, storytelling, and discussions about life experiences, helping them feel valued and maintain purpose.</w:t>
      </w:r>
    </w:p>
    <w:p w:rsidR="607E3D3F" w:rsidP="528651E4" w:rsidRDefault="607E3D3F" w14:paraId="087048A5" w14:textId="504CD3F5">
      <w:pPr>
        <w:spacing w:before="240" w:beforeAutospacing="off" w:after="240" w:afterAutospacing="off" w:line="360" w:lineRule="auto"/>
      </w:pPr>
      <w:r w:rsidRPr="528651E4" w:rsidR="607E3D3F">
        <w:rPr>
          <w:rFonts w:ascii="Arial" w:hAnsi="Arial" w:eastAsia="Arial" w:cs="Arial"/>
          <w:noProof w:val="0"/>
          <w:sz w:val="22"/>
          <w:szCs w:val="22"/>
          <w:lang w:val="en-GB"/>
        </w:rPr>
        <w:t>However, some critics argue the theory is too general and may not fully consider cultural differences or individual experiences. Despite this, it remains useful for guiding person-centred care by addressing psychological and physical needs.</w:t>
      </w:r>
    </w:p>
    <w:p w:rsidR="421D2AB3" w:rsidP="528651E4" w:rsidRDefault="421D2AB3" w14:paraId="6F3DA2C8" w14:textId="5C5ABEA5">
      <w:pPr>
        <w:spacing w:before="240" w:beforeAutospacing="off" w:after="240" w:afterAutospacing="off" w:line="360" w:lineRule="auto"/>
        <w:rPr>
          <w:rFonts w:ascii="Arial" w:hAnsi="Arial" w:eastAsia="Arial" w:cs="Arial"/>
          <w:b w:val="0"/>
          <w:bCs w:val="0"/>
          <w:noProof w:val="0"/>
          <w:sz w:val="22"/>
          <w:szCs w:val="22"/>
          <w:lang w:val="en-GB"/>
        </w:rPr>
      </w:pPr>
      <w:r w:rsidRPr="528651E4" w:rsidR="1E1DAC51">
        <w:rPr>
          <w:rFonts w:ascii="Arial" w:hAnsi="Arial" w:eastAsia="Arial" w:cs="Arial"/>
          <w:b w:val="0"/>
          <w:bCs w:val="0"/>
          <w:noProof w:val="0"/>
          <w:sz w:val="22"/>
          <w:szCs w:val="22"/>
          <w:lang w:val="en-GB"/>
        </w:rPr>
        <w:t>Source 2:</w:t>
      </w:r>
      <w:r w:rsidRPr="528651E4" w:rsidR="420980D4">
        <w:rPr>
          <w:rFonts w:ascii="Arial" w:hAnsi="Arial" w:eastAsia="Arial" w:cs="Arial"/>
          <w:b w:val="0"/>
          <w:bCs w:val="0"/>
          <w:noProof w:val="0"/>
          <w:sz w:val="22"/>
          <w:szCs w:val="22"/>
          <w:lang w:val="en-GB"/>
        </w:rPr>
        <w:t xml:space="preserve"> </w:t>
      </w:r>
      <w:r w:rsidRPr="528651E4" w:rsidR="3333A792">
        <w:rPr>
          <w:rFonts w:ascii="Arial" w:hAnsi="Arial" w:eastAsia="Arial" w:cs="Arial"/>
          <w:b w:val="0"/>
          <w:bCs w:val="0"/>
          <w:noProof w:val="0"/>
          <w:sz w:val="22"/>
          <w:szCs w:val="22"/>
          <w:lang w:val="en-GB"/>
        </w:rPr>
        <w:t>(Activity Theory)</w:t>
      </w:r>
    </w:p>
    <w:p w:rsidR="421D2AB3" w:rsidP="528651E4" w:rsidRDefault="421D2AB3" w14:paraId="27A50689" w14:textId="7452637D">
      <w:pPr>
        <w:pStyle w:val="Normal"/>
        <w:spacing w:before="240" w:beforeAutospacing="off" w:after="240" w:afterAutospacing="off" w:line="360" w:lineRule="auto"/>
        <w:rPr>
          <w:rFonts w:ascii="Arial" w:hAnsi="Arial" w:eastAsia="Arial" w:cs="Arial"/>
          <w:noProof w:val="0"/>
          <w:sz w:val="22"/>
          <w:szCs w:val="22"/>
          <w:lang w:val="en-GB"/>
        </w:rPr>
      </w:pPr>
      <w:r w:rsidRPr="528651E4" w:rsidR="420980D4">
        <w:rPr>
          <w:rFonts w:ascii="Arial" w:hAnsi="Arial" w:eastAsia="Arial" w:cs="Arial"/>
          <w:b w:val="0"/>
          <w:bCs w:val="0"/>
          <w:noProof w:val="0"/>
          <w:sz w:val="22"/>
          <w:szCs w:val="22"/>
          <w:lang w:val="en-GB"/>
        </w:rPr>
        <w:t xml:space="preserve">Robert J. Havighurst (1961) ‘Successful aging’, </w:t>
      </w:r>
      <w:r w:rsidRPr="528651E4" w:rsidR="420980D4">
        <w:rPr>
          <w:rFonts w:ascii="Arial" w:hAnsi="Arial" w:eastAsia="Arial" w:cs="Arial"/>
          <w:b w:val="0"/>
          <w:bCs w:val="0"/>
          <w:i w:val="1"/>
          <w:iCs w:val="1"/>
          <w:noProof w:val="0"/>
          <w:sz w:val="22"/>
          <w:szCs w:val="22"/>
          <w:lang w:val="en-GB"/>
        </w:rPr>
        <w:t>The Gerontologist</w:t>
      </w:r>
      <w:r w:rsidRPr="528651E4" w:rsidR="420980D4">
        <w:rPr>
          <w:rFonts w:ascii="Arial" w:hAnsi="Arial" w:eastAsia="Arial" w:cs="Arial"/>
          <w:b w:val="0"/>
          <w:bCs w:val="0"/>
          <w:noProof w:val="0"/>
          <w:sz w:val="22"/>
          <w:szCs w:val="22"/>
          <w:lang w:val="en-GB"/>
        </w:rPr>
        <w:t>, 1(1), pp. 8–13.</w:t>
      </w:r>
      <w:r w:rsidRPr="528651E4" w:rsidR="2134C544">
        <w:rPr>
          <w:rFonts w:ascii="Arial" w:hAnsi="Arial" w:eastAsia="Arial" w:cs="Arial"/>
          <w:b w:val="0"/>
          <w:bCs w:val="0"/>
          <w:noProof w:val="0"/>
          <w:sz w:val="22"/>
          <w:szCs w:val="22"/>
          <w:lang w:val="en-GB"/>
        </w:rPr>
        <w:t xml:space="preserve"> Available at: </w:t>
      </w:r>
      <w:hyperlink r:id="R75dd71175ee14939">
        <w:r w:rsidRPr="528651E4" w:rsidR="2134C544">
          <w:rPr>
            <w:rStyle w:val="Hyperlink"/>
            <w:rFonts w:ascii="Arial" w:hAnsi="Arial" w:eastAsia="Arial" w:cs="Arial"/>
            <w:noProof w:val="0"/>
            <w:sz w:val="22"/>
            <w:szCs w:val="22"/>
            <w:lang w:val="en-GB"/>
          </w:rPr>
          <w:t>Successful aging.</w:t>
        </w:r>
      </w:hyperlink>
    </w:p>
    <w:p w:rsidR="0DCB0622" w:rsidP="528651E4" w:rsidRDefault="0DCB0622" w14:paraId="7CC72E62" w14:textId="4D7A5487">
      <w:pPr>
        <w:spacing w:before="240" w:beforeAutospacing="off" w:after="240" w:afterAutospacing="off" w:line="360" w:lineRule="auto"/>
        <w:rPr>
          <w:rFonts w:ascii="Arial" w:hAnsi="Arial" w:eastAsia="Arial" w:cs="Arial"/>
          <w:b w:val="0"/>
          <w:bCs w:val="0"/>
          <w:noProof w:val="0"/>
          <w:sz w:val="22"/>
          <w:szCs w:val="22"/>
          <w:lang w:val="en-GB"/>
        </w:rPr>
      </w:pPr>
      <w:r w:rsidRPr="528651E4" w:rsidR="0DCB0622">
        <w:rPr>
          <w:rFonts w:ascii="Arial" w:hAnsi="Arial" w:eastAsia="Arial" w:cs="Arial"/>
          <w:b w:val="0"/>
          <w:bCs w:val="0"/>
          <w:noProof w:val="0"/>
          <w:sz w:val="22"/>
          <w:szCs w:val="22"/>
          <w:lang w:val="en-GB"/>
        </w:rPr>
        <w:t xml:space="preserve">This article examines successful ageing and suggests that older adults experience greater wellbeing and life satisfaction when they </w:t>
      </w:r>
      <w:r w:rsidRPr="528651E4" w:rsidR="0DCB0622">
        <w:rPr>
          <w:rFonts w:ascii="Arial" w:hAnsi="Arial" w:eastAsia="Arial" w:cs="Arial"/>
          <w:b w:val="0"/>
          <w:bCs w:val="0"/>
          <w:noProof w:val="0"/>
          <w:sz w:val="22"/>
          <w:szCs w:val="22"/>
          <w:lang w:val="en-GB"/>
        </w:rPr>
        <w:t>remain</w:t>
      </w:r>
      <w:r w:rsidRPr="528651E4" w:rsidR="0DCB0622">
        <w:rPr>
          <w:rFonts w:ascii="Arial" w:hAnsi="Arial" w:eastAsia="Arial" w:cs="Arial"/>
          <w:b w:val="0"/>
          <w:bCs w:val="0"/>
          <w:noProof w:val="0"/>
          <w:sz w:val="22"/>
          <w:szCs w:val="22"/>
          <w:lang w:val="en-GB"/>
        </w:rPr>
        <w:t xml:space="preserve"> socially and physically active. This author argues that ageing does not necessarily involve withdrawal from society, but instead </w:t>
      </w:r>
      <w:r w:rsidRPr="528651E4" w:rsidR="0DCB0622">
        <w:rPr>
          <w:rFonts w:ascii="Arial" w:hAnsi="Arial" w:eastAsia="Arial" w:cs="Arial"/>
          <w:b w:val="0"/>
          <w:bCs w:val="0"/>
          <w:noProof w:val="0"/>
          <w:sz w:val="22"/>
          <w:szCs w:val="22"/>
          <w:lang w:val="en-GB"/>
        </w:rPr>
        <w:t>benefits</w:t>
      </w:r>
      <w:r w:rsidRPr="528651E4" w:rsidR="0DCB0622">
        <w:rPr>
          <w:rFonts w:ascii="Arial" w:hAnsi="Arial" w:eastAsia="Arial" w:cs="Arial"/>
          <w:b w:val="0"/>
          <w:bCs w:val="0"/>
          <w:noProof w:val="0"/>
          <w:sz w:val="22"/>
          <w:szCs w:val="22"/>
          <w:lang w:val="en-GB"/>
        </w:rPr>
        <w:t xml:space="preserve"> from </w:t>
      </w:r>
      <w:r w:rsidRPr="528651E4" w:rsidR="0DCB0622">
        <w:rPr>
          <w:rFonts w:ascii="Arial" w:hAnsi="Arial" w:eastAsia="Arial" w:cs="Arial"/>
          <w:b w:val="0"/>
          <w:bCs w:val="0"/>
          <w:noProof w:val="0"/>
          <w:sz w:val="22"/>
          <w:szCs w:val="22"/>
          <w:lang w:val="en-GB"/>
        </w:rPr>
        <w:t>maintaining</w:t>
      </w:r>
      <w:r w:rsidRPr="528651E4" w:rsidR="0DCB0622">
        <w:rPr>
          <w:rFonts w:ascii="Arial" w:hAnsi="Arial" w:eastAsia="Arial" w:cs="Arial"/>
          <w:b w:val="0"/>
          <w:bCs w:val="0"/>
          <w:noProof w:val="0"/>
          <w:sz w:val="22"/>
          <w:szCs w:val="22"/>
          <w:lang w:val="en-GB"/>
        </w:rPr>
        <w:t xml:space="preserve"> roles, </w:t>
      </w:r>
      <w:r w:rsidRPr="528651E4" w:rsidR="0DCB0622">
        <w:rPr>
          <w:rFonts w:ascii="Arial" w:hAnsi="Arial" w:eastAsia="Arial" w:cs="Arial"/>
          <w:b w:val="0"/>
          <w:bCs w:val="0"/>
          <w:noProof w:val="0"/>
          <w:sz w:val="22"/>
          <w:szCs w:val="22"/>
          <w:lang w:val="en-GB"/>
        </w:rPr>
        <w:t>relationships</w:t>
      </w:r>
      <w:r w:rsidRPr="528651E4" w:rsidR="0DCB0622">
        <w:rPr>
          <w:rFonts w:ascii="Arial" w:hAnsi="Arial" w:eastAsia="Arial" w:cs="Arial"/>
          <w:b w:val="0"/>
          <w:bCs w:val="0"/>
          <w:noProof w:val="0"/>
          <w:sz w:val="22"/>
          <w:szCs w:val="22"/>
          <w:lang w:val="en-GB"/>
        </w:rPr>
        <w:t xml:space="preserve"> and meaningful activities.</w:t>
      </w:r>
    </w:p>
    <w:p w:rsidR="0DCB0622" w:rsidP="528651E4" w:rsidRDefault="0DCB0622" w14:paraId="6D05FD32" w14:textId="4DA35470">
      <w:pPr>
        <w:spacing w:before="240" w:beforeAutospacing="off" w:after="240" w:afterAutospacing="off" w:line="360" w:lineRule="auto"/>
        <w:rPr>
          <w:rFonts w:ascii="Arial" w:hAnsi="Arial" w:eastAsia="Arial" w:cs="Arial"/>
          <w:b w:val="0"/>
          <w:bCs w:val="0"/>
          <w:noProof w:val="0"/>
          <w:sz w:val="22"/>
          <w:szCs w:val="22"/>
          <w:lang w:val="en-GB"/>
        </w:rPr>
      </w:pPr>
      <w:r w:rsidRPr="528651E4" w:rsidR="0DCB0622">
        <w:rPr>
          <w:rFonts w:ascii="Arial" w:hAnsi="Arial" w:eastAsia="Arial" w:cs="Arial"/>
          <w:b w:val="0"/>
          <w:bCs w:val="0"/>
          <w:noProof w:val="0"/>
          <w:sz w:val="22"/>
          <w:szCs w:val="22"/>
          <w:lang w:val="en-GB"/>
        </w:rPr>
        <w:t xml:space="preserve">This author explains that participation in hobbies, community activities and social interaction helps </w:t>
      </w:r>
      <w:r w:rsidRPr="528651E4" w:rsidR="0DCB0622">
        <w:rPr>
          <w:rFonts w:ascii="Arial" w:hAnsi="Arial" w:eastAsia="Arial" w:cs="Arial"/>
          <w:b w:val="0"/>
          <w:bCs w:val="0"/>
          <w:noProof w:val="0"/>
          <w:sz w:val="22"/>
          <w:szCs w:val="22"/>
          <w:lang w:val="en-GB"/>
        </w:rPr>
        <w:t>maintain</w:t>
      </w:r>
      <w:r w:rsidRPr="528651E4" w:rsidR="0DCB0622">
        <w:rPr>
          <w:rFonts w:ascii="Arial" w:hAnsi="Arial" w:eastAsia="Arial" w:cs="Arial"/>
          <w:b w:val="0"/>
          <w:bCs w:val="0"/>
          <w:noProof w:val="0"/>
          <w:sz w:val="22"/>
          <w:szCs w:val="22"/>
          <w:lang w:val="en-GB"/>
        </w:rPr>
        <w:t xml:space="preserve"> identity and mental health, with active older adults more likely to report higher levels of happiness, </w:t>
      </w:r>
      <w:r w:rsidRPr="528651E4" w:rsidR="0DCB0622">
        <w:rPr>
          <w:rFonts w:ascii="Arial" w:hAnsi="Arial" w:eastAsia="Arial" w:cs="Arial"/>
          <w:b w:val="0"/>
          <w:bCs w:val="0"/>
          <w:noProof w:val="0"/>
          <w:sz w:val="22"/>
          <w:szCs w:val="22"/>
          <w:lang w:val="en-GB"/>
        </w:rPr>
        <w:t>self-esteem</w:t>
      </w:r>
      <w:r w:rsidRPr="528651E4" w:rsidR="0DCB0622">
        <w:rPr>
          <w:rFonts w:ascii="Arial" w:hAnsi="Arial" w:eastAsia="Arial" w:cs="Arial"/>
          <w:b w:val="0"/>
          <w:bCs w:val="0"/>
          <w:noProof w:val="0"/>
          <w:sz w:val="22"/>
          <w:szCs w:val="22"/>
          <w:lang w:val="en-GB"/>
        </w:rPr>
        <w:t xml:space="preserve"> and cognitive functioning.</w:t>
      </w:r>
    </w:p>
    <w:p w:rsidR="0DCB0622" w:rsidP="528651E4" w:rsidRDefault="0DCB0622" w14:paraId="04A74E43" w14:textId="4771F2B5">
      <w:pPr>
        <w:spacing w:before="240" w:beforeAutospacing="off" w:after="240" w:afterAutospacing="off" w:line="360" w:lineRule="auto"/>
        <w:rPr>
          <w:rFonts w:ascii="Arial" w:hAnsi="Arial" w:eastAsia="Arial" w:cs="Arial"/>
          <w:b w:val="0"/>
          <w:bCs w:val="0"/>
          <w:noProof w:val="0"/>
          <w:sz w:val="22"/>
          <w:szCs w:val="22"/>
          <w:lang w:val="en-GB"/>
        </w:rPr>
      </w:pPr>
      <w:r w:rsidRPr="528651E4" w:rsidR="0DCB0622">
        <w:rPr>
          <w:rFonts w:ascii="Arial" w:hAnsi="Arial" w:eastAsia="Arial" w:cs="Arial"/>
          <w:b w:val="0"/>
          <w:bCs w:val="0"/>
          <w:noProof w:val="0"/>
          <w:sz w:val="22"/>
          <w:szCs w:val="22"/>
          <w:lang w:val="en-GB"/>
        </w:rPr>
        <w:t>This article is relevant to residential care settings, where residents may be at risk of isolation and reduced independence. Health and social care professionals can apply this theory by organising social programmes, group activities and enc</w:t>
      </w:r>
      <w:r w:rsidRPr="528651E4" w:rsidR="0DCB0622">
        <w:rPr>
          <w:rFonts w:ascii="Arial" w:hAnsi="Arial" w:eastAsia="Arial" w:cs="Arial"/>
          <w:b w:val="0"/>
          <w:bCs w:val="0"/>
          <w:noProof w:val="0"/>
          <w:sz w:val="22"/>
          <w:szCs w:val="22"/>
          <w:lang w:val="en-GB"/>
        </w:rPr>
        <w:t>ouraging</w:t>
      </w:r>
      <w:r w:rsidRPr="528651E4" w:rsidR="0DCB0622">
        <w:rPr>
          <w:rFonts w:ascii="Arial" w:hAnsi="Arial" w:eastAsia="Arial" w:cs="Arial"/>
          <w:b w:val="0"/>
          <w:bCs w:val="0"/>
          <w:noProof w:val="0"/>
          <w:sz w:val="22"/>
          <w:szCs w:val="22"/>
          <w:lang w:val="en-GB"/>
        </w:rPr>
        <w:t xml:space="preserve"> involvement in decision-making.</w:t>
      </w:r>
    </w:p>
    <w:p w:rsidR="0DCB0622" w:rsidP="528651E4" w:rsidRDefault="0DCB0622" w14:paraId="4FADB64D" w14:textId="08DF7E09">
      <w:pPr>
        <w:spacing w:before="240" w:beforeAutospacing="off" w:after="240" w:afterAutospacing="off" w:line="360" w:lineRule="auto"/>
        <w:rPr>
          <w:rFonts w:ascii="Arial" w:hAnsi="Arial" w:eastAsia="Arial" w:cs="Arial"/>
          <w:b w:val="0"/>
          <w:bCs w:val="0"/>
          <w:noProof w:val="0"/>
          <w:sz w:val="22"/>
          <w:szCs w:val="22"/>
          <w:lang w:val="en-GB"/>
        </w:rPr>
      </w:pPr>
      <w:r w:rsidRPr="528651E4" w:rsidR="0DCB0622">
        <w:rPr>
          <w:rFonts w:ascii="Arial" w:hAnsi="Arial" w:eastAsia="Arial" w:cs="Arial"/>
          <w:b w:val="0"/>
          <w:bCs w:val="0"/>
          <w:noProof w:val="0"/>
          <w:sz w:val="22"/>
          <w:szCs w:val="22"/>
          <w:lang w:val="en-GB"/>
        </w:rPr>
        <w:t xml:space="preserve">However, the theory assumes that all older adults </w:t>
      </w:r>
      <w:r w:rsidRPr="528651E4" w:rsidR="0DCB0622">
        <w:rPr>
          <w:rFonts w:ascii="Arial" w:hAnsi="Arial" w:eastAsia="Arial" w:cs="Arial"/>
          <w:b w:val="0"/>
          <w:bCs w:val="0"/>
          <w:noProof w:val="0"/>
          <w:sz w:val="22"/>
          <w:szCs w:val="22"/>
          <w:lang w:val="en-GB"/>
        </w:rPr>
        <w:t>are able to</w:t>
      </w:r>
      <w:r w:rsidRPr="528651E4" w:rsidR="0DCB0622">
        <w:rPr>
          <w:rFonts w:ascii="Arial" w:hAnsi="Arial" w:eastAsia="Arial" w:cs="Arial"/>
          <w:b w:val="0"/>
          <w:bCs w:val="0"/>
          <w:noProof w:val="0"/>
          <w:sz w:val="22"/>
          <w:szCs w:val="22"/>
          <w:lang w:val="en-GB"/>
        </w:rPr>
        <w:t xml:space="preserve"> remain active, which may not always be the case. Some individuals may experience illness or disability that limits participation, so activities should be adapted to support inclusive, person-centred care.</w:t>
      </w:r>
    </w:p>
    <w:p w:rsidR="161C5187" w:rsidP="528651E4" w:rsidRDefault="161C5187" w14:paraId="76CC8381" w14:textId="2DC692C6">
      <w:pPr>
        <w:spacing w:before="240" w:beforeAutospacing="off" w:after="240" w:afterAutospacing="off" w:line="360" w:lineRule="auto"/>
        <w:rPr>
          <w:rFonts w:ascii="Arial" w:hAnsi="Arial" w:eastAsia="Arial" w:cs="Arial"/>
          <w:b w:val="0"/>
          <w:bCs w:val="0"/>
          <w:noProof w:val="0"/>
          <w:color w:val="auto"/>
          <w:sz w:val="22"/>
          <w:szCs w:val="22"/>
          <w:lang w:val="en-GB"/>
        </w:rPr>
      </w:pPr>
      <w:r w:rsidRPr="528651E4" w:rsidR="670FCED1">
        <w:rPr>
          <w:rFonts w:ascii="Arial" w:hAnsi="Arial" w:eastAsia="Arial" w:cs="Arial"/>
          <w:b w:val="0"/>
          <w:bCs w:val="0"/>
          <w:noProof w:val="0"/>
          <w:color w:val="auto"/>
          <w:sz w:val="22"/>
          <w:szCs w:val="22"/>
          <w:lang w:val="en-GB"/>
        </w:rPr>
        <w:t>Source 3:</w:t>
      </w:r>
      <w:r w:rsidRPr="528651E4" w:rsidR="4B3612F5">
        <w:rPr>
          <w:rFonts w:ascii="Arial" w:hAnsi="Arial" w:eastAsia="Arial" w:cs="Arial"/>
          <w:b w:val="0"/>
          <w:bCs w:val="0"/>
          <w:noProof w:val="0"/>
          <w:color w:val="auto"/>
          <w:sz w:val="22"/>
          <w:szCs w:val="22"/>
          <w:lang w:val="en-GB"/>
        </w:rPr>
        <w:t xml:space="preserve"> </w:t>
      </w:r>
      <w:r w:rsidRPr="528651E4" w:rsidR="3AC9FA91">
        <w:rPr>
          <w:rFonts w:ascii="Arial" w:hAnsi="Arial" w:eastAsia="Arial" w:cs="Arial"/>
          <w:b w:val="0"/>
          <w:bCs w:val="0"/>
          <w:noProof w:val="0"/>
          <w:color w:val="auto"/>
          <w:sz w:val="22"/>
          <w:szCs w:val="22"/>
          <w:lang w:val="en-GB"/>
        </w:rPr>
        <w:t>(</w:t>
      </w:r>
      <w:r w:rsidRPr="528651E4" w:rsidR="60B7DCB4">
        <w:rPr>
          <w:rFonts w:ascii="Arial" w:hAnsi="Arial" w:eastAsia="Arial" w:cs="Arial"/>
          <w:b w:val="0"/>
          <w:bCs w:val="0"/>
          <w:noProof w:val="0"/>
          <w:color w:val="auto"/>
          <w:sz w:val="22"/>
          <w:szCs w:val="22"/>
          <w:lang w:val="en-GB"/>
        </w:rPr>
        <w:t xml:space="preserve">Bowlby’s </w:t>
      </w:r>
      <w:r w:rsidRPr="528651E4" w:rsidR="4B3612F5">
        <w:rPr>
          <w:rFonts w:ascii="Arial" w:hAnsi="Arial" w:eastAsia="Arial" w:cs="Arial"/>
          <w:b w:val="0"/>
          <w:bCs w:val="0"/>
          <w:noProof w:val="0"/>
          <w:color w:val="auto"/>
          <w:sz w:val="22"/>
          <w:szCs w:val="22"/>
          <w:lang w:val="en-GB"/>
        </w:rPr>
        <w:t>Attachment Th</w:t>
      </w:r>
      <w:r w:rsidRPr="528651E4" w:rsidR="77541931">
        <w:rPr>
          <w:rFonts w:ascii="Arial" w:hAnsi="Arial" w:eastAsia="Arial" w:cs="Arial"/>
          <w:b w:val="0"/>
          <w:bCs w:val="0"/>
          <w:noProof w:val="0"/>
          <w:color w:val="auto"/>
          <w:sz w:val="22"/>
          <w:szCs w:val="22"/>
          <w:lang w:val="en-GB"/>
        </w:rPr>
        <w:t>eory</w:t>
      </w:r>
      <w:r w:rsidRPr="528651E4" w:rsidR="70576B9F">
        <w:rPr>
          <w:rFonts w:ascii="Arial" w:hAnsi="Arial" w:eastAsia="Arial" w:cs="Arial"/>
          <w:b w:val="0"/>
          <w:bCs w:val="0"/>
          <w:noProof w:val="0"/>
          <w:color w:val="auto"/>
          <w:sz w:val="22"/>
          <w:szCs w:val="22"/>
          <w:lang w:val="en-GB"/>
        </w:rPr>
        <w:t>)</w:t>
      </w:r>
      <w:r w:rsidRPr="528651E4" w:rsidR="77541931">
        <w:rPr>
          <w:rFonts w:ascii="Arial" w:hAnsi="Arial" w:eastAsia="Arial" w:cs="Arial"/>
          <w:b w:val="0"/>
          <w:bCs w:val="0"/>
          <w:noProof w:val="0"/>
          <w:color w:val="auto"/>
          <w:sz w:val="22"/>
          <w:szCs w:val="22"/>
          <w:lang w:val="en-GB"/>
        </w:rPr>
        <w:t xml:space="preserve"> </w:t>
      </w:r>
    </w:p>
    <w:p w:rsidR="49655F79" w:rsidP="528651E4" w:rsidRDefault="49655F79" w14:paraId="01ADAA25" w14:textId="3AFAC2B0">
      <w:pPr>
        <w:pStyle w:val="Normal"/>
        <w:spacing w:before="240" w:beforeAutospacing="off" w:after="240" w:afterAutospacing="off" w:line="360" w:lineRule="auto"/>
        <w:rPr>
          <w:rFonts w:ascii="Arial" w:hAnsi="Arial" w:eastAsia="Arial" w:cs="Arial"/>
          <w:noProof w:val="0"/>
          <w:sz w:val="22"/>
          <w:szCs w:val="22"/>
          <w:lang w:val="en-GB"/>
        </w:rPr>
      </w:pPr>
      <w:r w:rsidRPr="528651E4" w:rsidR="49655F79">
        <w:rPr>
          <w:rFonts w:ascii="Arial" w:hAnsi="Arial" w:eastAsia="Arial" w:cs="Arial"/>
          <w:b w:val="0"/>
          <w:bCs w:val="0"/>
          <w:noProof w:val="0"/>
          <w:color w:val="auto"/>
          <w:sz w:val="22"/>
          <w:szCs w:val="22"/>
          <w:lang w:val="en-GB"/>
        </w:rPr>
        <w:t xml:space="preserve">Source: </w:t>
      </w:r>
      <w:r w:rsidRPr="528651E4" w:rsidR="1F06C56F">
        <w:rPr>
          <w:rFonts w:ascii="Arial" w:hAnsi="Arial" w:eastAsia="Arial" w:cs="Arial"/>
          <w:b w:val="0"/>
          <w:bCs w:val="0"/>
          <w:i w:val="0"/>
          <w:iCs w:val="0"/>
          <w:caps w:val="0"/>
          <w:smallCaps w:val="0"/>
          <w:noProof w:val="0"/>
          <w:color w:val="auto"/>
          <w:sz w:val="22"/>
          <w:szCs w:val="22"/>
          <w:lang w:val="en-GB"/>
        </w:rPr>
        <w:t xml:space="preserve">Browne, C.J. and </w:t>
      </w:r>
      <w:r w:rsidRPr="528651E4" w:rsidR="1F06C56F">
        <w:rPr>
          <w:rFonts w:ascii="Arial" w:hAnsi="Arial" w:eastAsia="Arial" w:cs="Arial"/>
          <w:b w:val="0"/>
          <w:bCs w:val="0"/>
          <w:i w:val="0"/>
          <w:iCs w:val="0"/>
          <w:caps w:val="0"/>
          <w:smallCaps w:val="0"/>
          <w:noProof w:val="0"/>
          <w:color w:val="auto"/>
          <w:sz w:val="22"/>
          <w:szCs w:val="22"/>
          <w:lang w:val="en-GB"/>
        </w:rPr>
        <w:t>Shlosberg</w:t>
      </w:r>
      <w:r w:rsidRPr="528651E4" w:rsidR="1F06C56F">
        <w:rPr>
          <w:rFonts w:ascii="Arial" w:hAnsi="Arial" w:eastAsia="Arial" w:cs="Arial"/>
          <w:b w:val="0"/>
          <w:bCs w:val="0"/>
          <w:i w:val="0"/>
          <w:iCs w:val="0"/>
          <w:caps w:val="0"/>
          <w:smallCaps w:val="0"/>
          <w:noProof w:val="0"/>
          <w:color w:val="auto"/>
          <w:sz w:val="22"/>
          <w:szCs w:val="22"/>
          <w:lang w:val="en-GB"/>
        </w:rPr>
        <w:t xml:space="preserve">, E., 2006. Attachment theory, </w:t>
      </w:r>
      <w:r w:rsidRPr="528651E4" w:rsidR="1F06C56F">
        <w:rPr>
          <w:rFonts w:ascii="Arial" w:hAnsi="Arial" w:eastAsia="Arial" w:cs="Arial"/>
          <w:b w:val="0"/>
          <w:bCs w:val="0"/>
          <w:i w:val="0"/>
          <w:iCs w:val="0"/>
          <w:caps w:val="0"/>
          <w:smallCaps w:val="0"/>
          <w:noProof w:val="0"/>
          <w:color w:val="auto"/>
          <w:sz w:val="22"/>
          <w:szCs w:val="22"/>
          <w:lang w:val="en-GB"/>
        </w:rPr>
        <w:t>ageing</w:t>
      </w:r>
      <w:r w:rsidRPr="528651E4" w:rsidR="1F06C56F">
        <w:rPr>
          <w:rFonts w:ascii="Arial" w:hAnsi="Arial" w:eastAsia="Arial" w:cs="Arial"/>
          <w:b w:val="0"/>
          <w:bCs w:val="0"/>
          <w:i w:val="0"/>
          <w:iCs w:val="0"/>
          <w:caps w:val="0"/>
          <w:smallCaps w:val="0"/>
          <w:noProof w:val="0"/>
          <w:color w:val="auto"/>
          <w:sz w:val="22"/>
          <w:szCs w:val="22"/>
          <w:lang w:val="en-GB"/>
        </w:rPr>
        <w:t xml:space="preserve"> and dementia: A review of the literature. </w:t>
      </w:r>
      <w:r w:rsidRPr="528651E4" w:rsidR="1F06C56F">
        <w:rPr>
          <w:rFonts w:ascii="Arial" w:hAnsi="Arial" w:eastAsia="Arial" w:cs="Arial"/>
          <w:b w:val="0"/>
          <w:bCs w:val="0"/>
          <w:i w:val="1"/>
          <w:iCs w:val="1"/>
          <w:caps w:val="0"/>
          <w:smallCaps w:val="0"/>
          <w:noProof w:val="0"/>
          <w:color w:val="auto"/>
          <w:sz w:val="22"/>
          <w:szCs w:val="22"/>
          <w:lang w:val="en-GB"/>
        </w:rPr>
        <w:t>Aging and Mental Health</w:t>
      </w:r>
      <w:r w:rsidRPr="528651E4" w:rsidR="1F06C56F">
        <w:rPr>
          <w:rFonts w:ascii="Arial" w:hAnsi="Arial" w:eastAsia="Arial" w:cs="Arial"/>
          <w:b w:val="0"/>
          <w:bCs w:val="0"/>
          <w:i w:val="0"/>
          <w:iCs w:val="0"/>
          <w:caps w:val="0"/>
          <w:smallCaps w:val="0"/>
          <w:noProof w:val="0"/>
          <w:color w:val="auto"/>
          <w:sz w:val="22"/>
          <w:szCs w:val="22"/>
          <w:lang w:val="en-GB"/>
        </w:rPr>
        <w:t xml:space="preserve">, </w:t>
      </w:r>
      <w:r w:rsidRPr="528651E4" w:rsidR="1F06C56F">
        <w:rPr>
          <w:rFonts w:ascii="Arial" w:hAnsi="Arial" w:eastAsia="Arial" w:cs="Arial"/>
          <w:b w:val="0"/>
          <w:bCs w:val="0"/>
          <w:i w:val="1"/>
          <w:iCs w:val="1"/>
          <w:caps w:val="0"/>
          <w:smallCaps w:val="0"/>
          <w:noProof w:val="0"/>
          <w:color w:val="auto"/>
          <w:sz w:val="22"/>
          <w:szCs w:val="22"/>
          <w:lang w:val="en-GB"/>
        </w:rPr>
        <w:t>10</w:t>
      </w:r>
      <w:r w:rsidRPr="528651E4" w:rsidR="1F06C56F">
        <w:rPr>
          <w:rFonts w:ascii="Arial" w:hAnsi="Arial" w:eastAsia="Arial" w:cs="Arial"/>
          <w:b w:val="0"/>
          <w:bCs w:val="0"/>
          <w:i w:val="0"/>
          <w:iCs w:val="0"/>
          <w:caps w:val="0"/>
          <w:smallCaps w:val="0"/>
          <w:noProof w:val="0"/>
          <w:color w:val="auto"/>
          <w:sz w:val="22"/>
          <w:szCs w:val="22"/>
          <w:lang w:val="en-GB"/>
        </w:rPr>
        <w:t>(2), pp.134-142. Available at:</w:t>
      </w:r>
      <w:r w:rsidRPr="528651E4" w:rsidR="1F06C56F">
        <w:rPr>
          <w:rFonts w:ascii="Arial" w:hAnsi="Arial" w:eastAsia="Arial" w:cs="Arial"/>
          <w:b w:val="0"/>
          <w:bCs w:val="0"/>
          <w:i w:val="0"/>
          <w:iCs w:val="0"/>
          <w:caps w:val="0"/>
          <w:smallCaps w:val="0"/>
          <w:noProof w:val="0"/>
          <w:color w:val="222222"/>
          <w:sz w:val="22"/>
          <w:szCs w:val="22"/>
          <w:lang w:val="en-GB"/>
        </w:rPr>
        <w:t xml:space="preserve"> </w:t>
      </w:r>
      <w:hyperlink r:id="R6fdd6ecb613649eb">
        <w:r w:rsidRPr="528651E4" w:rsidR="1F06C56F">
          <w:rPr>
            <w:rStyle w:val="Hyperlink"/>
            <w:rFonts w:ascii="Arial" w:hAnsi="Arial" w:eastAsia="Arial" w:cs="Arial"/>
            <w:noProof w:val="0"/>
            <w:sz w:val="22"/>
            <w:szCs w:val="22"/>
            <w:lang w:val="en-GB"/>
          </w:rPr>
          <w:t>Attachment theory, ageing and dementia: A review of the literature: Aging &amp; Mental Health: Vol 10, No 2</w:t>
        </w:r>
      </w:hyperlink>
    </w:p>
    <w:p w:rsidR="02C5F392" w:rsidP="528651E4" w:rsidRDefault="02C5F392" w14:paraId="3301E682" w14:textId="6059D070">
      <w:pPr>
        <w:spacing w:before="240" w:beforeAutospacing="off" w:after="240" w:afterAutospacing="off" w:line="360" w:lineRule="auto"/>
        <w:rPr>
          <w:rFonts w:ascii="Arial" w:hAnsi="Arial" w:eastAsia="Arial" w:cs="Arial"/>
          <w:b w:val="0"/>
          <w:bCs w:val="0"/>
          <w:noProof w:val="0"/>
          <w:sz w:val="22"/>
          <w:szCs w:val="22"/>
          <w:lang w:val="en-GB"/>
        </w:rPr>
      </w:pPr>
      <w:r w:rsidRPr="528651E4" w:rsidR="49655F79">
        <w:rPr>
          <w:rFonts w:ascii="Arial" w:hAnsi="Arial" w:eastAsia="Arial" w:cs="Arial"/>
          <w:b w:val="0"/>
          <w:bCs w:val="0"/>
          <w:noProof w:val="0"/>
          <w:sz w:val="22"/>
          <w:szCs w:val="22"/>
          <w:lang w:val="en-GB"/>
        </w:rPr>
        <w:t>Attachment theory suggests that early relationships with caregivers influence emotional development and shape how individuals form relationship</w:t>
      </w:r>
      <w:r w:rsidRPr="528651E4" w:rsidR="49655F79">
        <w:rPr>
          <w:rFonts w:ascii="Arial" w:hAnsi="Arial" w:eastAsia="Arial" w:cs="Arial"/>
          <w:b w:val="0"/>
          <w:bCs w:val="0"/>
          <w:noProof w:val="0"/>
          <w:sz w:val="22"/>
          <w:szCs w:val="22"/>
          <w:lang w:val="en-GB"/>
        </w:rPr>
        <w:t xml:space="preserve">s throughout life. Bowlby argued that people have a basic need for secure emotional bonds that provide safety, </w:t>
      </w:r>
      <w:r w:rsidRPr="528651E4" w:rsidR="49655F79">
        <w:rPr>
          <w:rFonts w:ascii="Arial" w:hAnsi="Arial" w:eastAsia="Arial" w:cs="Arial"/>
          <w:b w:val="0"/>
          <w:bCs w:val="0"/>
          <w:noProof w:val="0"/>
          <w:sz w:val="22"/>
          <w:szCs w:val="22"/>
          <w:lang w:val="en-GB"/>
        </w:rPr>
        <w:t>comfort</w:t>
      </w:r>
      <w:r w:rsidRPr="528651E4" w:rsidR="49655F79">
        <w:rPr>
          <w:rFonts w:ascii="Arial" w:hAnsi="Arial" w:eastAsia="Arial" w:cs="Arial"/>
          <w:b w:val="0"/>
          <w:bCs w:val="0"/>
          <w:noProof w:val="0"/>
          <w:sz w:val="22"/>
          <w:szCs w:val="22"/>
          <w:lang w:val="en-GB"/>
        </w:rPr>
        <w:t xml:space="preserve"> and support.</w:t>
      </w:r>
    </w:p>
    <w:p w:rsidR="75636B71" w:rsidP="528651E4" w:rsidRDefault="75636B71" w14:paraId="7E7CD72F" w14:textId="713F587E">
      <w:pPr>
        <w:spacing w:before="240" w:beforeAutospacing="off" w:after="240" w:afterAutospacing="off" w:line="360" w:lineRule="auto"/>
      </w:pPr>
      <w:r w:rsidRPr="528651E4" w:rsidR="75636B71">
        <w:rPr>
          <w:rFonts w:ascii="Arial" w:hAnsi="Arial" w:eastAsia="Arial" w:cs="Arial"/>
          <w:noProof w:val="0"/>
          <w:sz w:val="22"/>
          <w:szCs w:val="22"/>
          <w:lang w:val="en-GB"/>
        </w:rPr>
        <w:t xml:space="preserve">Although the theory originally focused on childhood, later research shows that attachment needs continue throughout adulthood and older age. Older adults may depend on attachment relationships with family members, </w:t>
      </w:r>
      <w:r w:rsidRPr="528651E4" w:rsidR="75636B71">
        <w:rPr>
          <w:rFonts w:ascii="Arial" w:hAnsi="Arial" w:eastAsia="Arial" w:cs="Arial"/>
          <w:noProof w:val="0"/>
          <w:sz w:val="22"/>
          <w:szCs w:val="22"/>
          <w:lang w:val="en-GB"/>
        </w:rPr>
        <w:t>caregivers</w:t>
      </w:r>
      <w:r w:rsidRPr="528651E4" w:rsidR="75636B71">
        <w:rPr>
          <w:rFonts w:ascii="Arial" w:hAnsi="Arial" w:eastAsia="Arial" w:cs="Arial"/>
          <w:noProof w:val="0"/>
          <w:sz w:val="22"/>
          <w:szCs w:val="22"/>
          <w:lang w:val="en-GB"/>
        </w:rPr>
        <w:t xml:space="preserve"> and close friends to </w:t>
      </w:r>
      <w:r w:rsidRPr="528651E4" w:rsidR="75636B71">
        <w:rPr>
          <w:rFonts w:ascii="Arial" w:hAnsi="Arial" w:eastAsia="Arial" w:cs="Arial"/>
          <w:noProof w:val="0"/>
          <w:sz w:val="22"/>
          <w:szCs w:val="22"/>
          <w:lang w:val="en-GB"/>
        </w:rPr>
        <w:t>maintain</w:t>
      </w:r>
      <w:r w:rsidRPr="528651E4" w:rsidR="75636B71">
        <w:rPr>
          <w:rFonts w:ascii="Arial" w:hAnsi="Arial" w:eastAsia="Arial" w:cs="Arial"/>
          <w:noProof w:val="0"/>
          <w:sz w:val="22"/>
          <w:szCs w:val="22"/>
          <w:lang w:val="en-GB"/>
        </w:rPr>
        <w:t xml:space="preserve"> emotional security and cope with life changes such as illness, bereavement or moving into care homes.</w:t>
      </w:r>
    </w:p>
    <w:p w:rsidR="75636B71" w:rsidP="528651E4" w:rsidRDefault="75636B71" w14:paraId="73F6498B" w14:textId="2E53ABE3">
      <w:pPr>
        <w:spacing w:before="240" w:beforeAutospacing="off" w:after="240" w:afterAutospacing="off" w:line="360" w:lineRule="auto"/>
      </w:pPr>
      <w:r w:rsidRPr="528651E4" w:rsidR="75636B71">
        <w:rPr>
          <w:rFonts w:ascii="Arial" w:hAnsi="Arial" w:eastAsia="Arial" w:cs="Arial"/>
          <w:noProof w:val="0"/>
          <w:sz w:val="22"/>
          <w:szCs w:val="22"/>
          <w:lang w:val="en-GB"/>
        </w:rPr>
        <w:t xml:space="preserve">Attachment theory helps explain the emotional adjustment of older adults in care homes. Moving into residential care can create feelings of loss, </w:t>
      </w:r>
      <w:r w:rsidRPr="528651E4" w:rsidR="75636B71">
        <w:rPr>
          <w:rFonts w:ascii="Arial" w:hAnsi="Arial" w:eastAsia="Arial" w:cs="Arial"/>
          <w:noProof w:val="0"/>
          <w:sz w:val="22"/>
          <w:szCs w:val="22"/>
          <w:lang w:val="en-GB"/>
        </w:rPr>
        <w:t>anxiety</w:t>
      </w:r>
      <w:r w:rsidRPr="528651E4" w:rsidR="75636B71">
        <w:rPr>
          <w:rFonts w:ascii="Arial" w:hAnsi="Arial" w:eastAsia="Arial" w:cs="Arial"/>
          <w:noProof w:val="0"/>
          <w:sz w:val="22"/>
          <w:szCs w:val="22"/>
          <w:lang w:val="en-GB"/>
        </w:rPr>
        <w:t xml:space="preserve"> and separation from familiar surroundings. Building consistent, trusting relationships with staff can help residents feel safe and supported.</w:t>
      </w:r>
    </w:p>
    <w:p w:rsidR="528651E4" w:rsidP="528651E4" w:rsidRDefault="528651E4" w14:paraId="56B804E2" w14:textId="0EFB3A40">
      <w:pPr>
        <w:spacing w:before="240" w:beforeAutospacing="off" w:after="240" w:afterAutospacing="off" w:line="360" w:lineRule="auto"/>
        <w:rPr>
          <w:rFonts w:ascii="Arial" w:hAnsi="Arial" w:eastAsia="Arial" w:cs="Arial"/>
          <w:b w:val="0"/>
          <w:bCs w:val="0"/>
          <w:noProof w:val="0"/>
          <w:sz w:val="22"/>
          <w:szCs w:val="22"/>
          <w:lang w:val="en-GB"/>
        </w:rPr>
      </w:pPr>
    </w:p>
    <w:p w:rsidR="02C5F392" w:rsidP="528651E4" w:rsidRDefault="02C5F392" w14:paraId="0F1C148E" w14:textId="5D0A7108">
      <w:pPr>
        <w:spacing w:before="240" w:beforeAutospacing="off" w:after="240" w:afterAutospacing="off" w:line="360" w:lineRule="auto"/>
        <w:rPr>
          <w:rFonts w:ascii="Arial" w:hAnsi="Arial" w:eastAsia="Arial" w:cs="Arial"/>
          <w:b w:val="0"/>
          <w:bCs w:val="0"/>
          <w:noProof w:val="0"/>
          <w:sz w:val="22"/>
          <w:szCs w:val="22"/>
          <w:lang w:val="en-GB"/>
        </w:rPr>
      </w:pPr>
      <w:r w:rsidRPr="528651E4" w:rsidR="49655F79">
        <w:rPr>
          <w:rFonts w:ascii="Arial" w:hAnsi="Arial" w:eastAsia="Arial" w:cs="Arial"/>
          <w:b w:val="0"/>
          <w:bCs w:val="0"/>
          <w:noProof w:val="0"/>
          <w:sz w:val="22"/>
          <w:szCs w:val="22"/>
          <w:lang w:val="en-GB"/>
        </w:rPr>
        <w:t xml:space="preserve">However, the theory has been criticised for focusing heavily on early childhood experiences and giving less attention to the impact of later life events. Despite this limitation, the idea of secure and supportive relationships </w:t>
      </w:r>
      <w:r w:rsidRPr="528651E4" w:rsidR="49655F79">
        <w:rPr>
          <w:rFonts w:ascii="Arial" w:hAnsi="Arial" w:eastAsia="Arial" w:cs="Arial"/>
          <w:b w:val="0"/>
          <w:bCs w:val="0"/>
          <w:noProof w:val="0"/>
          <w:sz w:val="22"/>
          <w:szCs w:val="22"/>
          <w:lang w:val="en-GB"/>
        </w:rPr>
        <w:t>remains</w:t>
      </w:r>
      <w:r w:rsidRPr="528651E4" w:rsidR="49655F79">
        <w:rPr>
          <w:rFonts w:ascii="Arial" w:hAnsi="Arial" w:eastAsia="Arial" w:cs="Arial"/>
          <w:b w:val="0"/>
          <w:bCs w:val="0"/>
          <w:noProof w:val="0"/>
          <w:sz w:val="22"/>
          <w:szCs w:val="22"/>
          <w:lang w:val="en-GB"/>
        </w:rPr>
        <w:t xml:space="preserve"> </w:t>
      </w:r>
      <w:r w:rsidRPr="528651E4" w:rsidR="49655F79">
        <w:rPr>
          <w:rFonts w:ascii="Arial" w:hAnsi="Arial" w:eastAsia="Arial" w:cs="Arial"/>
          <w:b w:val="0"/>
          <w:bCs w:val="0"/>
          <w:noProof w:val="0"/>
          <w:sz w:val="22"/>
          <w:szCs w:val="22"/>
          <w:lang w:val="en-GB"/>
        </w:rPr>
        <w:t>very important</w:t>
      </w:r>
      <w:r w:rsidRPr="528651E4" w:rsidR="49655F79">
        <w:rPr>
          <w:rFonts w:ascii="Arial" w:hAnsi="Arial" w:eastAsia="Arial" w:cs="Arial"/>
          <w:b w:val="0"/>
          <w:bCs w:val="0"/>
          <w:noProof w:val="0"/>
          <w:sz w:val="22"/>
          <w:szCs w:val="22"/>
          <w:lang w:val="en-GB"/>
        </w:rPr>
        <w:t xml:space="preserve"> for promoting emotional wellbeing in health and social care settings.</w:t>
      </w:r>
    </w:p>
    <w:p w:rsidR="2C76C681" w:rsidP="528651E4" w:rsidRDefault="2C76C681" w14:paraId="33F57876" w14:textId="6FB1ED07">
      <w:pPr>
        <w:spacing w:before="240" w:beforeAutospacing="off" w:after="240" w:afterAutospacing="off" w:line="360" w:lineRule="auto"/>
        <w:rPr>
          <w:rFonts w:ascii="Arial" w:hAnsi="Arial" w:eastAsia="Arial" w:cs="Arial"/>
          <w:b w:val="0"/>
          <w:bCs w:val="0"/>
          <w:noProof w:val="0"/>
          <w:sz w:val="22"/>
          <w:szCs w:val="22"/>
          <w:lang w:val="en-GB"/>
        </w:rPr>
      </w:pPr>
      <w:r w:rsidRPr="528651E4" w:rsidR="2C76C681">
        <w:rPr>
          <w:rFonts w:ascii="Arial" w:hAnsi="Arial" w:eastAsia="Arial" w:cs="Arial"/>
          <w:b w:val="0"/>
          <w:bCs w:val="0"/>
          <w:noProof w:val="0"/>
          <w:sz w:val="22"/>
          <w:szCs w:val="22"/>
          <w:lang w:val="en-GB"/>
        </w:rPr>
        <w:t>Source 4: (</w:t>
      </w:r>
      <w:r w:rsidRPr="528651E4" w:rsidR="2C76C681">
        <w:rPr>
          <w:rFonts w:ascii="Arial" w:hAnsi="Arial" w:eastAsia="Arial" w:cs="Arial"/>
          <w:b w:val="0"/>
          <w:bCs w:val="0"/>
          <w:noProof w:val="0"/>
          <w:sz w:val="22"/>
          <w:szCs w:val="22"/>
          <w:lang w:val="en-GB"/>
        </w:rPr>
        <w:t>Pos</w:t>
      </w:r>
      <w:r w:rsidRPr="528651E4" w:rsidR="184ACF07">
        <w:rPr>
          <w:rFonts w:ascii="Arial" w:hAnsi="Arial" w:eastAsia="Arial" w:cs="Arial"/>
          <w:b w:val="0"/>
          <w:bCs w:val="0"/>
          <w:noProof w:val="0"/>
          <w:sz w:val="22"/>
          <w:szCs w:val="22"/>
          <w:lang w:val="en-GB"/>
        </w:rPr>
        <w:t>i</w:t>
      </w:r>
      <w:r w:rsidRPr="528651E4" w:rsidR="2C76C681">
        <w:rPr>
          <w:rFonts w:ascii="Arial" w:hAnsi="Arial" w:eastAsia="Arial" w:cs="Arial"/>
          <w:b w:val="0"/>
          <w:bCs w:val="0"/>
          <w:noProof w:val="0"/>
          <w:sz w:val="22"/>
          <w:szCs w:val="22"/>
          <w:lang w:val="en-GB"/>
        </w:rPr>
        <w:t>tive</w:t>
      </w:r>
      <w:r w:rsidRPr="528651E4" w:rsidR="2C76C681">
        <w:rPr>
          <w:rFonts w:ascii="Arial" w:hAnsi="Arial" w:eastAsia="Arial" w:cs="Arial"/>
          <w:b w:val="0"/>
          <w:bCs w:val="0"/>
          <w:noProof w:val="0"/>
          <w:sz w:val="22"/>
          <w:szCs w:val="22"/>
          <w:lang w:val="en-GB"/>
        </w:rPr>
        <w:t xml:space="preserve"> Pyychology)</w:t>
      </w:r>
    </w:p>
    <w:p w:rsidR="18DCEF1B" w:rsidP="528651E4" w:rsidRDefault="18DCEF1B" w14:paraId="06874246" w14:textId="16F48E46">
      <w:pPr>
        <w:pStyle w:val="Normal"/>
        <w:spacing w:before="240" w:beforeAutospacing="off" w:after="240" w:afterAutospacing="off" w:line="360" w:lineRule="auto"/>
        <w:rPr>
          <w:rFonts w:ascii="Arial" w:hAnsi="Arial" w:eastAsia="Arial" w:cs="Arial"/>
          <w:b w:val="0"/>
          <w:bCs w:val="0"/>
          <w:noProof w:val="0"/>
          <w:sz w:val="22"/>
          <w:szCs w:val="22"/>
          <w:lang w:val="en-GB"/>
        </w:rPr>
      </w:pPr>
      <w:r w:rsidRPr="528651E4" w:rsidR="18DCEF1B">
        <w:rPr>
          <w:rFonts w:ascii="Arial" w:hAnsi="Arial" w:eastAsia="Arial" w:cs="Arial"/>
          <w:b w:val="0"/>
          <w:bCs w:val="0"/>
          <w:i w:val="0"/>
          <w:iCs w:val="0"/>
          <w:caps w:val="0"/>
          <w:smallCaps w:val="0"/>
          <w:noProof w:val="0"/>
          <w:color w:val="auto"/>
          <w:sz w:val="22"/>
          <w:szCs w:val="22"/>
          <w:lang w:val="en-GB"/>
        </w:rPr>
        <w:t xml:space="preserve">Seligman, M.E., 2008. Applied psychology: an international review. </w:t>
      </w:r>
      <w:r w:rsidRPr="528651E4" w:rsidR="18DCEF1B">
        <w:rPr>
          <w:rFonts w:ascii="Arial" w:hAnsi="Arial" w:eastAsia="Arial" w:cs="Arial"/>
          <w:b w:val="0"/>
          <w:bCs w:val="0"/>
          <w:i w:val="1"/>
          <w:iCs w:val="1"/>
          <w:caps w:val="0"/>
          <w:smallCaps w:val="0"/>
          <w:noProof w:val="0"/>
          <w:color w:val="auto"/>
          <w:sz w:val="22"/>
          <w:szCs w:val="22"/>
          <w:lang w:val="en-GB"/>
        </w:rPr>
        <w:t>Positive Health</w:t>
      </w:r>
      <w:r w:rsidRPr="528651E4" w:rsidR="18DCEF1B">
        <w:rPr>
          <w:rFonts w:ascii="Arial" w:hAnsi="Arial" w:eastAsia="Arial" w:cs="Arial"/>
          <w:b w:val="0"/>
          <w:bCs w:val="0"/>
          <w:i w:val="0"/>
          <w:iCs w:val="0"/>
          <w:caps w:val="0"/>
          <w:smallCaps w:val="0"/>
          <w:noProof w:val="0"/>
          <w:color w:val="auto"/>
          <w:sz w:val="22"/>
          <w:szCs w:val="22"/>
          <w:lang w:val="en-GB"/>
        </w:rPr>
        <w:t xml:space="preserve">, </w:t>
      </w:r>
      <w:r w:rsidRPr="528651E4" w:rsidR="18DCEF1B">
        <w:rPr>
          <w:rFonts w:ascii="Arial" w:hAnsi="Arial" w:eastAsia="Arial" w:cs="Arial"/>
          <w:b w:val="0"/>
          <w:bCs w:val="0"/>
          <w:i w:val="1"/>
          <w:iCs w:val="1"/>
          <w:caps w:val="0"/>
          <w:smallCaps w:val="0"/>
          <w:noProof w:val="0"/>
          <w:color w:val="auto"/>
          <w:sz w:val="22"/>
          <w:szCs w:val="22"/>
          <w:lang w:val="en-GB"/>
        </w:rPr>
        <w:t>57</w:t>
      </w:r>
      <w:r w:rsidRPr="528651E4" w:rsidR="18DCEF1B">
        <w:rPr>
          <w:rFonts w:ascii="Arial" w:hAnsi="Arial" w:eastAsia="Arial" w:cs="Arial"/>
          <w:b w:val="0"/>
          <w:bCs w:val="0"/>
          <w:i w:val="0"/>
          <w:iCs w:val="0"/>
          <w:caps w:val="0"/>
          <w:smallCaps w:val="0"/>
          <w:noProof w:val="0"/>
          <w:color w:val="auto"/>
          <w:sz w:val="22"/>
          <w:szCs w:val="22"/>
          <w:lang w:val="en-GB"/>
        </w:rPr>
        <w:t>, pp.3-18. Available at:</w:t>
      </w:r>
      <w:r w:rsidRPr="528651E4" w:rsidR="18DCEF1B">
        <w:rPr>
          <w:rFonts w:ascii="Arial" w:hAnsi="Arial" w:eastAsia="Arial" w:cs="Arial"/>
          <w:b w:val="0"/>
          <w:bCs w:val="0"/>
          <w:i w:val="0"/>
          <w:iCs w:val="0"/>
          <w:caps w:val="0"/>
          <w:smallCaps w:val="0"/>
          <w:noProof w:val="0"/>
          <w:color w:val="222222"/>
          <w:sz w:val="22"/>
          <w:szCs w:val="22"/>
          <w:lang w:val="en-GB"/>
        </w:rPr>
        <w:t xml:space="preserve"> </w:t>
      </w:r>
      <w:hyperlink r:id="Rf16744b9bd144c17">
        <w:r w:rsidRPr="528651E4" w:rsidR="18DCEF1B">
          <w:rPr>
            <w:rStyle w:val="Hyperlink"/>
            <w:rFonts w:ascii="Arial" w:hAnsi="Arial" w:eastAsia="Arial" w:cs="Arial"/>
            <w:b w:val="0"/>
            <w:bCs w:val="0"/>
            <w:noProof w:val="0"/>
            <w:sz w:val="22"/>
            <w:szCs w:val="22"/>
            <w:lang w:val="en-GB"/>
          </w:rPr>
          <w:t>Positive Health - Seligman - 2008 - Applied Psychology - Wiley Online Library</w:t>
        </w:r>
      </w:hyperlink>
    </w:p>
    <w:p w:rsidR="06096BB1" w:rsidP="528651E4" w:rsidRDefault="06096BB1" w14:paraId="258D8FBD" w14:textId="0D3FB056">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This article examines the concept of positive psychology and explores key factors that support wellbeing and overall human functioning. Martin E. P. Seligman explains that wellbeing is shaped by positive emotion, engagement, relationships, </w:t>
      </w:r>
      <w:r w:rsidRPr="528651E4" w:rsidR="06096BB1">
        <w:rPr>
          <w:rFonts w:ascii="Arial" w:hAnsi="Arial" w:eastAsia="Arial" w:cs="Arial"/>
          <w:noProof w:val="0"/>
          <w:sz w:val="22"/>
          <w:szCs w:val="22"/>
          <w:lang w:val="en-GB"/>
        </w:rPr>
        <w:t>meaning</w:t>
      </w:r>
      <w:r w:rsidRPr="528651E4" w:rsidR="06096BB1">
        <w:rPr>
          <w:rFonts w:ascii="Arial" w:hAnsi="Arial" w:eastAsia="Arial" w:cs="Arial"/>
          <w:noProof w:val="0"/>
          <w:sz w:val="22"/>
          <w:szCs w:val="22"/>
          <w:lang w:val="en-GB"/>
        </w:rPr>
        <w:t xml:space="preserve"> and achievement. This framework, known as the PERMA model, </w:t>
      </w:r>
      <w:r w:rsidRPr="528651E4" w:rsidR="06096BB1">
        <w:rPr>
          <w:rFonts w:ascii="Arial" w:hAnsi="Arial" w:eastAsia="Arial" w:cs="Arial"/>
          <w:noProof w:val="0"/>
          <w:sz w:val="22"/>
          <w:szCs w:val="22"/>
          <w:lang w:val="en-GB"/>
        </w:rPr>
        <w:t>identifies</w:t>
      </w:r>
      <w:r w:rsidRPr="528651E4" w:rsidR="06096BB1">
        <w:rPr>
          <w:rFonts w:ascii="Arial" w:hAnsi="Arial" w:eastAsia="Arial" w:cs="Arial"/>
          <w:noProof w:val="0"/>
          <w:sz w:val="22"/>
          <w:szCs w:val="22"/>
          <w:lang w:val="en-GB"/>
        </w:rPr>
        <w:t xml:space="preserve"> five core elements that contribute to overall wellbeing.</w:t>
      </w:r>
    </w:p>
    <w:p w:rsidR="06096BB1" w:rsidP="528651E4" w:rsidRDefault="06096BB1" w14:paraId="1F35A674" w14:textId="48D6AF17">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Research suggests that older adults can experience </w:t>
      </w:r>
      <w:r w:rsidRPr="528651E4" w:rsidR="06096BB1">
        <w:rPr>
          <w:rFonts w:ascii="Arial" w:hAnsi="Arial" w:eastAsia="Arial" w:cs="Arial"/>
          <w:noProof w:val="0"/>
          <w:sz w:val="22"/>
          <w:szCs w:val="22"/>
          <w:lang w:val="en-GB"/>
        </w:rPr>
        <w:t>high levels</w:t>
      </w:r>
      <w:r w:rsidRPr="528651E4" w:rsidR="06096BB1">
        <w:rPr>
          <w:rFonts w:ascii="Arial" w:hAnsi="Arial" w:eastAsia="Arial" w:cs="Arial"/>
          <w:noProof w:val="0"/>
          <w:sz w:val="22"/>
          <w:szCs w:val="22"/>
          <w:lang w:val="en-GB"/>
        </w:rPr>
        <w:t xml:space="preserve"> of wellbeing when they </w:t>
      </w:r>
      <w:r w:rsidRPr="528651E4" w:rsidR="06096BB1">
        <w:rPr>
          <w:rFonts w:ascii="Arial" w:hAnsi="Arial" w:eastAsia="Arial" w:cs="Arial"/>
          <w:noProof w:val="0"/>
          <w:sz w:val="22"/>
          <w:szCs w:val="22"/>
          <w:lang w:val="en-GB"/>
        </w:rPr>
        <w:t>maintain</w:t>
      </w:r>
      <w:r w:rsidRPr="528651E4" w:rsidR="06096BB1">
        <w:rPr>
          <w:rFonts w:ascii="Arial" w:hAnsi="Arial" w:eastAsia="Arial" w:cs="Arial"/>
          <w:noProof w:val="0"/>
          <w:sz w:val="22"/>
          <w:szCs w:val="22"/>
          <w:lang w:val="en-GB"/>
        </w:rPr>
        <w:t xml:space="preserve"> positive relationships, take part in meaningful activities and feel a sense of achievement. This approach focuses on resilience and strengths rather than only negative aspects of ageing.</w:t>
      </w:r>
    </w:p>
    <w:p w:rsidR="06096BB1" w:rsidP="528651E4" w:rsidRDefault="06096BB1" w14:paraId="0354F333" w14:textId="2369B3D8">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Positive psychology offers useful strategies for improving quality of life in care homes. For example, staff can promote wellbeing by encouraging social connections, recognising </w:t>
      </w:r>
      <w:r w:rsidRPr="528651E4" w:rsidR="06096BB1">
        <w:rPr>
          <w:rFonts w:ascii="Arial" w:hAnsi="Arial" w:eastAsia="Arial" w:cs="Arial"/>
          <w:noProof w:val="0"/>
          <w:sz w:val="22"/>
          <w:szCs w:val="22"/>
          <w:lang w:val="en-GB"/>
        </w:rPr>
        <w:t>achievements</w:t>
      </w:r>
      <w:r w:rsidRPr="528651E4" w:rsidR="06096BB1">
        <w:rPr>
          <w:rFonts w:ascii="Arial" w:hAnsi="Arial" w:eastAsia="Arial" w:cs="Arial"/>
          <w:noProof w:val="0"/>
          <w:sz w:val="22"/>
          <w:szCs w:val="22"/>
          <w:lang w:val="en-GB"/>
        </w:rPr>
        <w:t xml:space="preserve"> and supporting meaningful activities such as volunteering or sharing skills.</w:t>
      </w:r>
    </w:p>
    <w:p w:rsidR="06096BB1" w:rsidP="528651E4" w:rsidRDefault="06096BB1" w14:paraId="26F4A108" w14:textId="357F185D">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However, one challenge is that this approach may overlook practical issues such as limited resources, staff </w:t>
      </w:r>
      <w:r w:rsidRPr="528651E4" w:rsidR="06096BB1">
        <w:rPr>
          <w:rFonts w:ascii="Arial" w:hAnsi="Arial" w:eastAsia="Arial" w:cs="Arial"/>
          <w:noProof w:val="0"/>
          <w:sz w:val="22"/>
          <w:szCs w:val="22"/>
          <w:lang w:val="en-GB"/>
        </w:rPr>
        <w:t>shortages</w:t>
      </w:r>
      <w:r w:rsidRPr="528651E4" w:rsidR="06096BB1">
        <w:rPr>
          <w:rFonts w:ascii="Arial" w:hAnsi="Arial" w:eastAsia="Arial" w:cs="Arial"/>
          <w:noProof w:val="0"/>
          <w:sz w:val="22"/>
          <w:szCs w:val="22"/>
          <w:lang w:val="en-GB"/>
        </w:rPr>
        <w:t xml:space="preserve"> or health conditions. Nevertheless, positive psychology provides a helpful strengths-based approach that can complement traditional care practices.</w:t>
      </w:r>
    </w:p>
    <w:p w:rsidR="528651E4" w:rsidP="528651E4" w:rsidRDefault="528651E4" w14:paraId="6496D56A" w14:textId="41C967BA">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2287A862" w14:textId="0BFECB75">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7EC87A82" w14:textId="0D16551D">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2CE98D91" w14:textId="2D8A5A83">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0312AC5C" w14:textId="71712752">
      <w:pPr>
        <w:pStyle w:val="Normal"/>
        <w:spacing w:before="240" w:beforeAutospacing="off" w:after="240" w:afterAutospacing="off" w:line="360" w:lineRule="auto"/>
        <w:rPr>
          <w:rFonts w:ascii="Arial" w:hAnsi="Arial" w:eastAsia="Arial" w:cs="Arial"/>
          <w:b w:val="0"/>
          <w:bCs w:val="0"/>
          <w:sz w:val="22"/>
          <w:szCs w:val="22"/>
          <w:u w:val="single"/>
        </w:rPr>
      </w:pPr>
    </w:p>
    <w:p w:rsidR="2AB398AE" w:rsidP="528651E4" w:rsidRDefault="2AB398AE" w14:paraId="6C509AD0" w14:textId="0153BDED">
      <w:pPr>
        <w:pStyle w:val="Normal"/>
        <w:spacing w:before="240" w:beforeAutospacing="off" w:after="240" w:afterAutospacing="off" w:line="360" w:lineRule="auto"/>
        <w:rPr>
          <w:rFonts w:ascii="Arial" w:hAnsi="Arial" w:eastAsia="Arial" w:cs="Arial"/>
          <w:b w:val="0"/>
          <w:bCs w:val="0"/>
          <w:sz w:val="22"/>
          <w:szCs w:val="22"/>
          <w:u w:val="single"/>
        </w:rPr>
      </w:pPr>
      <w:r w:rsidRPr="528651E4" w:rsidR="2AB398AE">
        <w:rPr>
          <w:rFonts w:ascii="Arial" w:hAnsi="Arial" w:eastAsia="Arial" w:cs="Arial"/>
          <w:b w:val="0"/>
          <w:bCs w:val="0"/>
          <w:sz w:val="22"/>
          <w:szCs w:val="22"/>
          <w:u w:val="single"/>
        </w:rPr>
        <w:t>Part B: Short Report</w:t>
      </w:r>
    </w:p>
    <w:p w:rsidR="04E57A9E" w:rsidP="528651E4" w:rsidRDefault="04E57A9E" w14:paraId="27E39D43" w14:textId="1908C411">
      <w:pPr>
        <w:pStyle w:val="Normal"/>
        <w:spacing w:line="360" w:lineRule="auto"/>
        <w:rPr>
          <w:rFonts w:ascii="Arial" w:hAnsi="Arial" w:eastAsia="Arial" w:cs="Arial"/>
          <w:b w:val="0"/>
          <w:bCs w:val="0"/>
          <w:sz w:val="22"/>
          <w:szCs w:val="22"/>
          <w:u w:val="none"/>
        </w:rPr>
      </w:pPr>
      <w:r w:rsidRPr="528651E4" w:rsidR="04E57A9E">
        <w:rPr>
          <w:rFonts w:ascii="Arial" w:hAnsi="Arial" w:eastAsia="Arial" w:cs="Arial"/>
          <w:b w:val="0"/>
          <w:bCs w:val="0"/>
          <w:sz w:val="22"/>
          <w:szCs w:val="22"/>
          <w:u w:val="none"/>
        </w:rPr>
        <w:t xml:space="preserve">Introduction </w:t>
      </w:r>
    </w:p>
    <w:p w:rsidR="28AE00AE" w:rsidP="528651E4" w:rsidRDefault="28AE00AE" w14:paraId="7AC70512" w14:textId="61148AE1">
      <w:pPr>
        <w:pStyle w:val="Normal"/>
        <w:spacing w:line="360" w:lineRule="auto"/>
      </w:pPr>
      <w:r w:rsidRPr="528651E4" w:rsidR="28AE00AE">
        <w:rPr>
          <w:rFonts w:ascii="Arial" w:hAnsi="Arial" w:eastAsia="Arial" w:cs="Arial"/>
          <w:noProof w:val="0"/>
          <w:sz w:val="22"/>
          <w:szCs w:val="22"/>
          <w:lang w:val="en-GB"/>
        </w:rPr>
        <w:t>The purpose of this report is to examine how Activity Theory can improve the psychological wellbeing of older adults in residential care. Older adults often experience reduced social roles, physical limitations, and isolation, which can negatively impact mental health. Activity Theory, proposed by Robert J. Havighurst, suggests that successful ageing occurs when individuals remain socially active and engaged in meaningful activities (Teles and Ribeiro, 2022). This report outlines the theory’s key principles, relevance, application, and challenges.</w:t>
      </w:r>
    </w:p>
    <w:p w:rsidR="2884EC7B" w:rsidP="528651E4" w:rsidRDefault="2884EC7B" w14:paraId="094BBEC5" w14:textId="2317E00B">
      <w:pPr>
        <w:pStyle w:val="Normal"/>
        <w:spacing w:line="360" w:lineRule="auto"/>
        <w:rPr>
          <w:rFonts w:ascii="Arial" w:hAnsi="Arial" w:eastAsia="Arial" w:cs="Arial"/>
          <w:b w:val="0"/>
          <w:bCs w:val="0"/>
          <w:noProof w:val="0"/>
          <w:sz w:val="22"/>
          <w:szCs w:val="22"/>
          <w:lang w:val="en-GB"/>
        </w:rPr>
      </w:pPr>
      <w:r w:rsidRPr="528651E4" w:rsidR="2884EC7B">
        <w:rPr>
          <w:rFonts w:ascii="Arial" w:hAnsi="Arial" w:eastAsia="Arial" w:cs="Arial"/>
          <w:b w:val="0"/>
          <w:bCs w:val="0"/>
          <w:noProof w:val="0"/>
          <w:sz w:val="22"/>
          <w:szCs w:val="22"/>
          <w:lang w:val="en-GB"/>
        </w:rPr>
        <w:t>Explanation of the Theory</w:t>
      </w:r>
    </w:p>
    <w:p w:rsidR="0316BA46" w:rsidP="528651E4" w:rsidRDefault="0316BA46" w14:paraId="07E73A76" w14:textId="17384135">
      <w:pPr>
        <w:spacing w:before="240" w:beforeAutospacing="off" w:after="240" w:afterAutospacing="off" w:line="360" w:lineRule="auto"/>
      </w:pPr>
      <w:r w:rsidRPr="528651E4" w:rsidR="0316BA46">
        <w:rPr>
          <w:rFonts w:ascii="Arial" w:hAnsi="Arial" w:eastAsia="Arial" w:cs="Arial"/>
          <w:noProof w:val="0"/>
          <w:sz w:val="22"/>
          <w:szCs w:val="22"/>
          <w:lang w:val="en-GB"/>
        </w:rPr>
        <w:t>Activity Theory proposes that older adults maintain higher levels of life satisfaction and psychological wellbeing when they remain actively engaged in meaningful activities and social roles (Havighurst, 1961). The theory challenges the idea that ageing naturally involves withdrawal and emphasises continued participation.</w:t>
      </w:r>
    </w:p>
    <w:p w:rsidR="0316BA46" w:rsidP="528651E4" w:rsidRDefault="0316BA46" w14:paraId="17511A3E" w14:textId="16949E55">
      <w:pPr>
        <w:spacing w:before="240" w:beforeAutospacing="off" w:after="240" w:afterAutospacing="off" w:line="360" w:lineRule="auto"/>
      </w:pPr>
      <w:r w:rsidRPr="528651E4" w:rsidR="0316BA46">
        <w:rPr>
          <w:rFonts w:ascii="Arial" w:hAnsi="Arial" w:eastAsia="Arial" w:cs="Arial"/>
          <w:noProof w:val="0"/>
          <w:sz w:val="22"/>
          <w:szCs w:val="22"/>
          <w:lang w:val="en-GB"/>
        </w:rPr>
        <w:t>A key concept is “active engagement,” involving social, physical, and cognitive activities, which helps maintain a sense of purpose and prevents isolation. Another concept is “role replacement.” As older adults experience role loss through retirement or bereavement, replacing these roles with meaningful activities helps preserve identity and self-worth.</w:t>
      </w:r>
    </w:p>
    <w:p w:rsidR="0316BA46" w:rsidP="528651E4" w:rsidRDefault="0316BA46" w14:paraId="7CA92184" w14:textId="381F705E">
      <w:pPr>
        <w:spacing w:before="240" w:beforeAutospacing="off" w:after="240" w:afterAutospacing="off" w:line="360" w:lineRule="auto"/>
      </w:pPr>
      <w:r w:rsidRPr="528651E4" w:rsidR="0316BA46">
        <w:rPr>
          <w:rFonts w:ascii="Arial" w:hAnsi="Arial" w:eastAsia="Arial" w:cs="Arial"/>
          <w:noProof w:val="0"/>
          <w:sz w:val="22"/>
          <w:szCs w:val="22"/>
          <w:lang w:val="en-GB"/>
        </w:rPr>
        <w:t>The theory also highlights “life satisfaction,” defined as a person’s overall sense of wellbeing and fulfilment, suggesting that maintaining activity levels contributes to this. “Social interaction” is also important, as regular contact with others supports emotional wellbeing and reduces loneliness.</w:t>
      </w:r>
    </w:p>
    <w:p w:rsidR="0316BA46" w:rsidP="528651E4" w:rsidRDefault="0316BA46" w14:paraId="6559DF66" w14:textId="78249911">
      <w:pPr>
        <w:spacing w:before="240" w:beforeAutospacing="off" w:after="240" w:afterAutospacing="off" w:line="360" w:lineRule="auto"/>
      </w:pPr>
      <w:r w:rsidRPr="528651E4" w:rsidR="0316BA46">
        <w:rPr>
          <w:rFonts w:ascii="Arial" w:hAnsi="Arial" w:eastAsia="Arial" w:cs="Arial"/>
          <w:noProof w:val="0"/>
          <w:sz w:val="22"/>
          <w:szCs w:val="22"/>
          <w:lang w:val="en-GB"/>
        </w:rPr>
        <w:t>An important aspect of Activity Theory is its focus on meaningful activity rather than simply being busy. Activities should reflect an individual’s interests, abilities, and experiences to be beneficial, supporting older adults by promoting dignity, identity, and autonomy. Research shows social and leisure activities are linked to better mental health and a lower risk of depression and cognitive decline (Adams et al., 2011), but they must suit individual abilities and preferences to be effective.</w:t>
      </w:r>
    </w:p>
    <w:p w:rsidR="528651E4" w:rsidP="528651E4" w:rsidRDefault="528651E4" w14:paraId="30A02353" w14:textId="38935B61">
      <w:pPr>
        <w:spacing w:before="240" w:beforeAutospacing="off" w:after="240" w:afterAutospacing="off" w:line="360" w:lineRule="auto"/>
        <w:rPr>
          <w:rFonts w:ascii="Arial" w:hAnsi="Arial" w:eastAsia="Arial" w:cs="Arial"/>
          <w:noProof w:val="0"/>
          <w:sz w:val="22"/>
          <w:szCs w:val="22"/>
          <w:lang w:val="en-GB"/>
        </w:rPr>
      </w:pPr>
    </w:p>
    <w:p w:rsidR="528651E4" w:rsidP="528651E4" w:rsidRDefault="528651E4" w14:paraId="4DC170C3" w14:textId="692B708D">
      <w:pPr>
        <w:spacing w:before="240" w:beforeAutospacing="off" w:after="240" w:afterAutospacing="off" w:line="360" w:lineRule="auto"/>
        <w:rPr>
          <w:rFonts w:ascii="Arial" w:hAnsi="Arial" w:eastAsia="Arial" w:cs="Arial"/>
          <w:noProof w:val="0"/>
          <w:sz w:val="22"/>
          <w:szCs w:val="22"/>
          <w:lang w:val="en-GB"/>
        </w:rPr>
      </w:pPr>
    </w:p>
    <w:p w:rsidR="2884EC7B" w:rsidP="528651E4" w:rsidRDefault="2884EC7B" w14:paraId="07536C21" w14:textId="1C3ABE11">
      <w:pPr>
        <w:pStyle w:val="Normal"/>
        <w:spacing w:line="360" w:lineRule="auto"/>
        <w:rPr>
          <w:rFonts w:ascii="Arial" w:hAnsi="Arial" w:eastAsia="Arial" w:cs="Arial"/>
          <w:b w:val="0"/>
          <w:bCs w:val="0"/>
          <w:noProof w:val="0"/>
          <w:sz w:val="22"/>
          <w:szCs w:val="22"/>
          <w:lang w:val="en-GB"/>
        </w:rPr>
      </w:pPr>
      <w:r w:rsidRPr="528651E4" w:rsidR="2884EC7B">
        <w:rPr>
          <w:rFonts w:ascii="Arial" w:hAnsi="Arial" w:eastAsia="Arial" w:cs="Arial"/>
          <w:b w:val="0"/>
          <w:bCs w:val="0"/>
          <w:noProof w:val="0"/>
          <w:sz w:val="22"/>
          <w:szCs w:val="22"/>
          <w:lang w:val="en-GB"/>
        </w:rPr>
        <w:t>Application of the Theory</w:t>
      </w:r>
    </w:p>
    <w:p w:rsidR="799B55AF" w:rsidP="528651E4" w:rsidRDefault="799B55AF" w14:paraId="58889718" w14:textId="43C02884">
      <w:pPr>
        <w:spacing w:before="240" w:beforeAutospacing="off" w:after="240" w:afterAutospacing="off" w:line="360" w:lineRule="auto"/>
      </w:pPr>
      <w:r w:rsidRPr="528651E4" w:rsidR="799B55AF">
        <w:rPr>
          <w:rFonts w:ascii="Arial" w:hAnsi="Arial" w:eastAsia="Arial" w:cs="Arial"/>
          <w:noProof w:val="0"/>
          <w:sz w:val="22"/>
          <w:szCs w:val="22"/>
          <w:lang w:val="en-GB"/>
        </w:rPr>
        <w:t xml:space="preserve">Activity Theory can be applied by health and social care professionals to improve the wellbeing of older adults in residential care. It shows that withdrawal or low mood is not simply part of ageing but may result from unmet social and psychological needs. Evidence suggests older adults who </w:t>
      </w:r>
      <w:r w:rsidRPr="528651E4" w:rsidR="799B55AF">
        <w:rPr>
          <w:rFonts w:ascii="Arial" w:hAnsi="Arial" w:eastAsia="Arial" w:cs="Arial"/>
          <w:noProof w:val="0"/>
          <w:sz w:val="22"/>
          <w:szCs w:val="22"/>
          <w:lang w:val="en-GB"/>
        </w:rPr>
        <w:t>remain</w:t>
      </w:r>
      <w:r w:rsidRPr="528651E4" w:rsidR="799B55AF">
        <w:rPr>
          <w:rFonts w:ascii="Arial" w:hAnsi="Arial" w:eastAsia="Arial" w:cs="Arial"/>
          <w:noProof w:val="0"/>
          <w:sz w:val="22"/>
          <w:szCs w:val="22"/>
          <w:lang w:val="en-GB"/>
        </w:rPr>
        <w:t xml:space="preserve"> active experience better wellbeing and overall health (</w:t>
      </w:r>
      <w:r w:rsidRPr="528651E4" w:rsidR="799B55AF">
        <w:rPr>
          <w:rFonts w:ascii="Arial" w:hAnsi="Arial" w:eastAsia="Arial" w:cs="Arial"/>
          <w:noProof w:val="0"/>
          <w:sz w:val="22"/>
          <w:szCs w:val="22"/>
          <w:lang w:val="en-GB"/>
        </w:rPr>
        <w:t>Menec</w:t>
      </w:r>
      <w:r w:rsidRPr="528651E4" w:rsidR="799B55AF">
        <w:rPr>
          <w:rFonts w:ascii="Arial" w:hAnsi="Arial" w:eastAsia="Arial" w:cs="Arial"/>
          <w:noProof w:val="0"/>
          <w:sz w:val="22"/>
          <w:szCs w:val="22"/>
          <w:lang w:val="en-GB"/>
        </w:rPr>
        <w:t>, 2003).</w:t>
      </w:r>
    </w:p>
    <w:p w:rsidR="799B55AF" w:rsidP="528651E4" w:rsidRDefault="799B55AF" w14:paraId="16E43C25" w14:textId="204F9F65">
      <w:pPr>
        <w:spacing w:before="240" w:beforeAutospacing="off" w:after="240" w:afterAutospacing="off" w:line="360" w:lineRule="auto"/>
      </w:pPr>
      <w:r w:rsidRPr="528651E4" w:rsidR="799B55AF">
        <w:rPr>
          <w:rFonts w:ascii="Arial" w:hAnsi="Arial" w:eastAsia="Arial" w:cs="Arial"/>
          <w:noProof w:val="0"/>
          <w:sz w:val="22"/>
          <w:szCs w:val="22"/>
          <w:lang w:val="en-GB"/>
        </w:rPr>
        <w:t xml:space="preserve">Professionals can apply the theory by </w:t>
      </w:r>
      <w:r w:rsidRPr="528651E4" w:rsidR="799B55AF">
        <w:rPr>
          <w:rFonts w:ascii="Arial" w:hAnsi="Arial" w:eastAsia="Arial" w:cs="Arial"/>
          <w:noProof w:val="0"/>
          <w:sz w:val="22"/>
          <w:szCs w:val="22"/>
          <w:lang w:val="en-GB"/>
        </w:rPr>
        <w:t>facilitating</w:t>
      </w:r>
      <w:r w:rsidRPr="528651E4" w:rsidR="799B55AF">
        <w:rPr>
          <w:rFonts w:ascii="Arial" w:hAnsi="Arial" w:eastAsia="Arial" w:cs="Arial"/>
          <w:noProof w:val="0"/>
          <w:sz w:val="22"/>
          <w:szCs w:val="22"/>
          <w:lang w:val="en-GB"/>
        </w:rPr>
        <w:t xml:space="preserve"> meaningful activities tailored to each resident’s preferences, abilities, and life history, including creative activities, social groups, physical exercise, or reminiscence sessions, helping residents </w:t>
      </w:r>
      <w:r w:rsidRPr="528651E4" w:rsidR="799B55AF">
        <w:rPr>
          <w:rFonts w:ascii="Arial" w:hAnsi="Arial" w:eastAsia="Arial" w:cs="Arial"/>
          <w:noProof w:val="0"/>
          <w:sz w:val="22"/>
          <w:szCs w:val="22"/>
          <w:lang w:val="en-GB"/>
        </w:rPr>
        <w:t>maintain</w:t>
      </w:r>
      <w:r w:rsidRPr="528651E4" w:rsidR="799B55AF">
        <w:rPr>
          <w:rFonts w:ascii="Arial" w:hAnsi="Arial" w:eastAsia="Arial" w:cs="Arial"/>
          <w:noProof w:val="0"/>
          <w:sz w:val="22"/>
          <w:szCs w:val="22"/>
          <w:lang w:val="en-GB"/>
        </w:rPr>
        <w:t xml:space="preserve"> purpose and identity.</w:t>
      </w:r>
    </w:p>
    <w:p w:rsidR="799B55AF" w:rsidP="528651E4" w:rsidRDefault="799B55AF" w14:paraId="7F5DF916" w14:textId="5354C2E1">
      <w:pPr>
        <w:spacing w:before="240" w:beforeAutospacing="off" w:after="240" w:afterAutospacing="off" w:line="360" w:lineRule="auto"/>
      </w:pPr>
      <w:r w:rsidRPr="528651E4" w:rsidR="799B55AF">
        <w:rPr>
          <w:rFonts w:ascii="Arial" w:hAnsi="Arial" w:eastAsia="Arial" w:cs="Arial"/>
          <w:noProof w:val="0"/>
          <w:sz w:val="22"/>
          <w:szCs w:val="22"/>
          <w:lang w:val="en-GB"/>
        </w:rPr>
        <w:t xml:space="preserve">The theory also helps professionals understand behaviours </w:t>
      </w:r>
      <w:r w:rsidRPr="528651E4" w:rsidR="799B55AF">
        <w:rPr>
          <w:rFonts w:ascii="Arial" w:hAnsi="Arial" w:eastAsia="Arial" w:cs="Arial"/>
          <w:noProof w:val="0"/>
          <w:sz w:val="22"/>
          <w:szCs w:val="22"/>
          <w:lang w:val="en-GB"/>
        </w:rPr>
        <w:t>observed</w:t>
      </w:r>
      <w:r w:rsidRPr="528651E4" w:rsidR="799B55AF">
        <w:rPr>
          <w:rFonts w:ascii="Arial" w:hAnsi="Arial" w:eastAsia="Arial" w:cs="Arial"/>
          <w:noProof w:val="0"/>
          <w:sz w:val="22"/>
          <w:szCs w:val="22"/>
          <w:lang w:val="en-GB"/>
        </w:rPr>
        <w:t xml:space="preserve"> in the workplace. For example, withdrawal or irritability may be linked to lack of engagement or loss of meaningful roles. Recognising this allows staff to respond by introducing </w:t>
      </w:r>
      <w:r w:rsidRPr="528651E4" w:rsidR="799B55AF">
        <w:rPr>
          <w:rFonts w:ascii="Arial" w:hAnsi="Arial" w:eastAsia="Arial" w:cs="Arial"/>
          <w:noProof w:val="0"/>
          <w:sz w:val="22"/>
          <w:szCs w:val="22"/>
          <w:lang w:val="en-GB"/>
        </w:rPr>
        <w:t>appropriate activities</w:t>
      </w:r>
      <w:r w:rsidRPr="528651E4" w:rsidR="799B55AF">
        <w:rPr>
          <w:rFonts w:ascii="Arial" w:hAnsi="Arial" w:eastAsia="Arial" w:cs="Arial"/>
          <w:noProof w:val="0"/>
          <w:sz w:val="22"/>
          <w:szCs w:val="22"/>
          <w:lang w:val="en-GB"/>
        </w:rPr>
        <w:t xml:space="preserve"> rather than seeing such behaviours only as symptoms of ageing or illness.</w:t>
      </w:r>
    </w:p>
    <w:p w:rsidR="799B55AF" w:rsidP="528651E4" w:rsidRDefault="799B55AF" w14:paraId="0EE4E89D" w14:textId="2C444C16">
      <w:pPr>
        <w:spacing w:before="240" w:beforeAutospacing="off" w:after="240" w:afterAutospacing="off" w:line="360" w:lineRule="auto"/>
      </w:pPr>
      <w:r w:rsidRPr="528651E4" w:rsidR="799B55AF">
        <w:rPr>
          <w:rFonts w:ascii="Arial" w:hAnsi="Arial" w:eastAsia="Arial" w:cs="Arial"/>
          <w:noProof w:val="0"/>
          <w:sz w:val="22"/>
          <w:szCs w:val="22"/>
          <w:lang w:val="en-GB"/>
        </w:rPr>
        <w:t>Activity Theory encourages professionals to adopt a holistic, proactive approach to care. Instead of focusing only on physical needs, staff also support emotional and social wellbeing, improving communication, strengthening relationships, and creating a more positive care environment.</w:t>
      </w:r>
    </w:p>
    <w:p w:rsidR="33BC2589" w:rsidP="528651E4" w:rsidRDefault="33BC2589" w14:paraId="16D5E084" w14:textId="521D6C77">
      <w:pPr>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Real World Example of Theory</w:t>
      </w:r>
      <w:r w:rsidRPr="528651E4" w:rsidR="33BC2589">
        <w:rPr>
          <w:rFonts w:ascii="Arial" w:hAnsi="Arial" w:eastAsia="Arial" w:cs="Arial"/>
          <w:b w:val="0"/>
          <w:bCs w:val="0"/>
          <w:noProof w:val="0"/>
          <w:sz w:val="22"/>
          <w:szCs w:val="22"/>
          <w:lang w:val="en-GB"/>
        </w:rPr>
        <w:t xml:space="preserve"> </w:t>
      </w:r>
    </w:p>
    <w:p w:rsidR="33BC2589" w:rsidP="528651E4" w:rsidRDefault="33BC2589" w14:paraId="2783C08D" w14:textId="4C1EFAA7">
      <w:pPr>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A realistic example of Activity Theory in practice can be seen in the case of Mr. Williams, a 78-year-old resident who recently moved into a care home following the loss of his spouse. Staff noticed that he spent long periods alone, declined invitations to group activities, and showed signs of low mood.</w:t>
      </w:r>
    </w:p>
    <w:p w:rsidR="33BC2589" w:rsidP="528651E4" w:rsidRDefault="33BC2589" w14:paraId="0292AF0A" w14:textId="20534FD1">
      <w:pPr>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After speaking with his family, staff learned that Mr. Williams had previously volunteered as a football coach and enjoyed mentoring young people. Applying Activity Theory, staff introduced a small weekly “sports discussion group” where residents could talk about matches and share memories. Mr. Williams was encouraged to take a leading role in facilitating these sessions.</w:t>
      </w:r>
    </w:p>
    <w:p w:rsidR="33BC2589" w:rsidP="528651E4" w:rsidRDefault="33BC2589" w14:paraId="2ABA2748" w14:textId="299EFAEC">
      <w:pPr>
        <w:pStyle w:val="Normal"/>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Over time, he became more engaged, began forming social connections, and showed noticeable improvements in mood and confidence.</w:t>
      </w:r>
      <w:r w:rsidRPr="528651E4" w:rsidR="51733F90">
        <w:rPr>
          <w:rFonts w:ascii="Arial" w:hAnsi="Arial" w:eastAsia="Arial" w:cs="Arial"/>
          <w:b w:val="0"/>
          <w:bCs w:val="0"/>
          <w:noProof w:val="0"/>
          <w:sz w:val="22"/>
          <w:szCs w:val="22"/>
          <w:lang w:val="en-GB"/>
        </w:rPr>
        <w:t xml:space="preserve"> This example shows how meaningful activities and active involvement can enhance wellbeing and support older adults’ health, morale, and social life </w:t>
      </w:r>
      <w:r w:rsidRPr="528651E4" w:rsidR="020A84DE">
        <w:rPr>
          <w:rFonts w:ascii="Arial" w:hAnsi="Arial" w:eastAsia="Arial" w:cs="Arial"/>
          <w:b w:val="0"/>
          <w:bCs w:val="0"/>
          <w:noProof w:val="0"/>
          <w:sz w:val="22"/>
          <w:szCs w:val="22"/>
          <w:lang w:val="en-GB"/>
        </w:rPr>
        <w:t>(Cohen et al., 2006).</w:t>
      </w:r>
    </w:p>
    <w:p w:rsidR="693458D6" w:rsidP="528651E4" w:rsidRDefault="693458D6" w14:paraId="07789615" w14:textId="11419CE2">
      <w:pPr>
        <w:pStyle w:val="Normal"/>
        <w:spacing w:line="360" w:lineRule="auto"/>
        <w:rPr>
          <w:rFonts w:ascii="Arial" w:hAnsi="Arial" w:eastAsia="Arial" w:cs="Arial"/>
          <w:b w:val="0"/>
          <w:bCs w:val="0"/>
          <w:noProof w:val="0"/>
          <w:sz w:val="22"/>
          <w:szCs w:val="22"/>
          <w:lang w:val="en-GB"/>
        </w:rPr>
      </w:pPr>
      <w:r w:rsidRPr="528651E4" w:rsidR="693458D6">
        <w:rPr>
          <w:rFonts w:ascii="Arial" w:hAnsi="Arial" w:eastAsia="Arial" w:cs="Arial"/>
          <w:b w:val="0"/>
          <w:bCs w:val="0"/>
          <w:noProof w:val="0"/>
          <w:sz w:val="22"/>
          <w:szCs w:val="22"/>
          <w:lang w:val="en-GB"/>
        </w:rPr>
        <w:t xml:space="preserve">Challenges </w:t>
      </w:r>
    </w:p>
    <w:p w:rsidR="7A46496F" w:rsidP="528651E4" w:rsidRDefault="7A46496F" w14:paraId="66C33413" w14:textId="7C603076">
      <w:pPr>
        <w:spacing w:before="240" w:beforeAutospacing="off" w:after="240" w:afterAutospacing="off" w:line="360" w:lineRule="auto"/>
      </w:pPr>
      <w:r w:rsidRPr="528651E4" w:rsidR="7A46496F">
        <w:rPr>
          <w:rFonts w:ascii="Arial" w:hAnsi="Arial" w:eastAsia="Arial" w:cs="Arial"/>
          <w:noProof w:val="0"/>
          <w:sz w:val="22"/>
          <w:szCs w:val="22"/>
          <w:lang w:val="en-GB"/>
        </w:rPr>
        <w:t xml:space="preserve">One significant challenge in applying Activity Theory in a care home setting is low motivation or disengagement among residents, particularly those experiencing depression, cognitive decline, or recent life changes such as bereavement. Even when activities are available, some individuals may be unwilling or unable to </w:t>
      </w:r>
      <w:r w:rsidRPr="528651E4" w:rsidR="7A46496F">
        <w:rPr>
          <w:rFonts w:ascii="Arial" w:hAnsi="Arial" w:eastAsia="Arial" w:cs="Arial"/>
          <w:noProof w:val="0"/>
          <w:sz w:val="22"/>
          <w:szCs w:val="22"/>
          <w:lang w:val="en-GB"/>
        </w:rPr>
        <w:t>participate</w:t>
      </w:r>
      <w:r w:rsidRPr="528651E4" w:rsidR="7A46496F">
        <w:rPr>
          <w:rFonts w:ascii="Arial" w:hAnsi="Arial" w:eastAsia="Arial" w:cs="Arial"/>
          <w:noProof w:val="0"/>
          <w:sz w:val="22"/>
          <w:szCs w:val="22"/>
          <w:lang w:val="en-GB"/>
        </w:rPr>
        <w:t>, limiting the approach’s effectiveness.</w:t>
      </w:r>
    </w:p>
    <w:p w:rsidR="7A46496F" w:rsidP="528651E4" w:rsidRDefault="7A46496F" w14:paraId="0FA0FE17" w14:textId="514F706D">
      <w:pPr>
        <w:spacing w:before="240" w:beforeAutospacing="off" w:after="240" w:afterAutospacing="off" w:line="360" w:lineRule="auto"/>
      </w:pPr>
      <w:r w:rsidRPr="528651E4" w:rsidR="7A46496F">
        <w:rPr>
          <w:rFonts w:ascii="Arial" w:hAnsi="Arial" w:eastAsia="Arial" w:cs="Arial"/>
          <w:noProof w:val="0"/>
          <w:sz w:val="22"/>
          <w:szCs w:val="22"/>
          <w:lang w:val="en-GB"/>
        </w:rPr>
        <w:t>To overcome this, professionals can use a graded engagement strategy, gradually introducing residents to activities in a supportive, non-pressurised way. Staff may begin with one-to-one interactions based on the individual’s interests before encouraging small group participation. Evidence suggests personalised, step-by-step engagement can increase motivation and participation (Adams et al., 2011). Building trusting relationships and involving family members further supports this process, making activities feel more meaningful and accessible.</w:t>
      </w:r>
    </w:p>
    <w:p w:rsidR="78C8D5A0" w:rsidP="528651E4" w:rsidRDefault="78C8D5A0" w14:paraId="542FF4F0" w14:textId="4E99EDC2">
      <w:pPr>
        <w:pStyle w:val="Normal"/>
        <w:spacing w:line="360" w:lineRule="auto"/>
        <w:rPr>
          <w:rFonts w:ascii="Arial" w:hAnsi="Arial" w:eastAsia="Arial" w:cs="Arial"/>
          <w:b w:val="0"/>
          <w:bCs w:val="0"/>
          <w:noProof w:val="0"/>
          <w:sz w:val="22"/>
          <w:szCs w:val="22"/>
          <w:lang w:val="en-GB"/>
        </w:rPr>
      </w:pPr>
      <w:r w:rsidRPr="528651E4" w:rsidR="78C8D5A0">
        <w:rPr>
          <w:rFonts w:ascii="Arial" w:hAnsi="Arial" w:eastAsia="Arial" w:cs="Arial"/>
          <w:b w:val="0"/>
          <w:bCs w:val="0"/>
          <w:noProof w:val="0"/>
          <w:sz w:val="22"/>
          <w:szCs w:val="22"/>
          <w:lang w:val="en-GB"/>
        </w:rPr>
        <w:t xml:space="preserve">Conclusion </w:t>
      </w:r>
    </w:p>
    <w:p w:rsidR="16CE47AE" w:rsidP="528651E4" w:rsidRDefault="16CE47AE" w14:paraId="5CC9194B" w14:textId="0729AF1F">
      <w:pPr>
        <w:pStyle w:val="Normal"/>
        <w:spacing w:before="240" w:beforeAutospacing="off" w:after="240" w:afterAutospacing="off" w:line="360" w:lineRule="auto"/>
        <w:rPr>
          <w:rFonts w:ascii="Arial" w:hAnsi="Arial" w:eastAsia="Arial" w:cs="Arial"/>
          <w:b w:val="0"/>
          <w:bCs w:val="0"/>
          <w:noProof w:val="0"/>
          <w:sz w:val="22"/>
          <w:szCs w:val="22"/>
          <w:lang w:val="en-GB"/>
        </w:rPr>
      </w:pPr>
      <w:r w:rsidRPr="528651E4" w:rsidR="16CE47AE">
        <w:rPr>
          <w:rFonts w:ascii="Arial" w:hAnsi="Arial" w:eastAsia="Arial" w:cs="Arial"/>
          <w:noProof w:val="0"/>
          <w:sz w:val="22"/>
          <w:szCs w:val="22"/>
          <w:lang w:val="en-GB"/>
        </w:rPr>
        <w:t>This report has shown that Activity Theory provides a practical framework for enhancing older adults’ psychological wellbeing in residential care. By encouraging meaningful engagement, social interaction, and role replacement, it helps maintain purpose, identity, and life satisfaction. When applied through person-centered activities, it can reduce loneliness, improve mood, and promote active ageing (Menec, 2003). Ultimately, Activity Theory proves a highly useful tool in health and social care, ensuring later life remains fulfilling, connected, and socially meaningful.</w:t>
      </w:r>
      <w:r w:rsidRPr="528651E4" w:rsidR="042A7529">
        <w:rPr>
          <w:rFonts w:ascii="Arial" w:hAnsi="Arial" w:eastAsia="Arial" w:cs="Arial"/>
          <w:b w:val="0"/>
          <w:bCs w:val="0"/>
          <w:noProof w:val="0"/>
          <w:sz w:val="22"/>
          <w:szCs w:val="22"/>
          <w:lang w:val="en-GB"/>
        </w:rPr>
        <w:t>.</w:t>
      </w:r>
    </w:p>
    <w:p w:rsidR="528651E4" w:rsidP="528651E4" w:rsidRDefault="528651E4" w14:paraId="42B16EC1" w14:textId="38B79A43">
      <w:pPr>
        <w:pStyle w:val="Normal"/>
        <w:spacing w:line="360" w:lineRule="auto"/>
        <w:rPr>
          <w:rFonts w:ascii="Arial" w:hAnsi="Arial" w:eastAsia="Arial" w:cs="Arial"/>
          <w:b w:val="0"/>
          <w:bCs w:val="0"/>
          <w:noProof w:val="0"/>
          <w:sz w:val="22"/>
          <w:szCs w:val="22"/>
          <w:lang w:val="en-GB"/>
        </w:rPr>
      </w:pPr>
    </w:p>
    <w:p w:rsidR="528651E4" w:rsidP="528651E4" w:rsidRDefault="528651E4" w14:paraId="35EE06F6" w14:textId="18050A17">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51D33F92" w14:textId="18E9031A">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6CB06639" w14:textId="22351147">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0123BF5C" w14:textId="0A26E0EF">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15611B08" w14:textId="2EC8B4D9">
      <w:pPr>
        <w:pStyle w:val="Normal"/>
        <w:spacing w:before="240" w:beforeAutospacing="off" w:after="240" w:afterAutospacing="off" w:line="360" w:lineRule="auto"/>
        <w:rPr>
          <w:rFonts w:ascii="Arial" w:hAnsi="Arial" w:eastAsia="Arial" w:cs="Arial"/>
          <w:b w:val="0"/>
          <w:bCs w:val="0"/>
          <w:noProof w:val="0"/>
          <w:sz w:val="22"/>
          <w:szCs w:val="22"/>
          <w:lang w:val="en-GB"/>
        </w:rPr>
      </w:pPr>
    </w:p>
    <w:p w:rsidR="60AE647D" w:rsidP="528651E4" w:rsidRDefault="60AE647D" w14:paraId="6F70E473" w14:textId="2861E3A4">
      <w:pPr>
        <w:pStyle w:val="Normal"/>
        <w:spacing w:before="240" w:beforeAutospacing="off" w:after="240" w:afterAutospacing="off" w:line="360" w:lineRule="auto"/>
        <w:rPr>
          <w:rFonts w:ascii="Arial" w:hAnsi="Arial" w:eastAsia="Arial" w:cs="Arial"/>
          <w:b w:val="0"/>
          <w:bCs w:val="0"/>
          <w:noProof w:val="0"/>
          <w:sz w:val="22"/>
          <w:szCs w:val="22"/>
          <w:lang w:val="en-GB"/>
        </w:rPr>
      </w:pPr>
      <w:r w:rsidRPr="528651E4" w:rsidR="60AE647D">
        <w:rPr>
          <w:rFonts w:ascii="Arial" w:hAnsi="Arial" w:eastAsia="Arial" w:cs="Arial"/>
          <w:b w:val="0"/>
          <w:bCs w:val="0"/>
          <w:noProof w:val="0"/>
          <w:sz w:val="22"/>
          <w:szCs w:val="22"/>
          <w:lang w:val="en-GB"/>
        </w:rPr>
        <w:t>Reference</w:t>
      </w:r>
    </w:p>
    <w:p w:rsidR="68D6079D" w:rsidP="528651E4" w:rsidRDefault="68D6079D" w14:paraId="46599FB9" w14:textId="04CDF9E5">
      <w:pPr>
        <w:pStyle w:val="Normal"/>
        <w:spacing w:before="240" w:beforeAutospacing="off" w:after="240" w:afterAutospacing="off" w:line="360" w:lineRule="auto"/>
        <w:rPr>
          <w:sz w:val="18"/>
          <w:szCs w:val="18"/>
        </w:rPr>
      </w:pPr>
      <w:r w:rsidRPr="528651E4" w:rsidR="68D6079D">
        <w:rPr>
          <w:rFonts w:ascii="Arial" w:hAnsi="Arial" w:eastAsia="Arial" w:cs="Arial"/>
          <w:b w:val="0"/>
          <w:bCs w:val="0"/>
          <w:i w:val="0"/>
          <w:iCs w:val="0"/>
          <w:caps w:val="0"/>
          <w:smallCaps w:val="0"/>
          <w:noProof w:val="0"/>
          <w:color w:val="222222"/>
          <w:sz w:val="16"/>
          <w:szCs w:val="16"/>
          <w:lang w:val="en-GB"/>
        </w:rPr>
        <w:t xml:space="preserve">Adams, K.B., Leibbrandt, S. and Moon, H., 2011. A critical review of the literature on social and leisure activity and wellbeing in later life. </w:t>
      </w:r>
      <w:r w:rsidRPr="528651E4" w:rsidR="68D6079D">
        <w:rPr>
          <w:rFonts w:ascii="Arial" w:hAnsi="Arial" w:eastAsia="Arial" w:cs="Arial"/>
          <w:b w:val="0"/>
          <w:bCs w:val="0"/>
          <w:i w:val="1"/>
          <w:iCs w:val="1"/>
          <w:caps w:val="0"/>
          <w:smallCaps w:val="0"/>
          <w:noProof w:val="0"/>
          <w:color w:val="222222"/>
          <w:sz w:val="16"/>
          <w:szCs w:val="16"/>
          <w:lang w:val="en-GB"/>
        </w:rPr>
        <w:t>Ageing &amp; Society</w:t>
      </w:r>
      <w:r w:rsidRPr="528651E4" w:rsidR="68D6079D">
        <w:rPr>
          <w:rFonts w:ascii="Arial" w:hAnsi="Arial" w:eastAsia="Arial" w:cs="Arial"/>
          <w:b w:val="0"/>
          <w:bCs w:val="0"/>
          <w:i w:val="0"/>
          <w:iCs w:val="0"/>
          <w:caps w:val="0"/>
          <w:smallCaps w:val="0"/>
          <w:noProof w:val="0"/>
          <w:color w:val="222222"/>
          <w:sz w:val="16"/>
          <w:szCs w:val="16"/>
          <w:lang w:val="en-GB"/>
        </w:rPr>
        <w:t xml:space="preserve">, </w:t>
      </w:r>
      <w:r w:rsidRPr="528651E4" w:rsidR="68D6079D">
        <w:rPr>
          <w:rFonts w:ascii="Arial" w:hAnsi="Arial" w:eastAsia="Arial" w:cs="Arial"/>
          <w:b w:val="0"/>
          <w:bCs w:val="0"/>
          <w:i w:val="1"/>
          <w:iCs w:val="1"/>
          <w:caps w:val="0"/>
          <w:smallCaps w:val="0"/>
          <w:noProof w:val="0"/>
          <w:color w:val="222222"/>
          <w:sz w:val="16"/>
          <w:szCs w:val="16"/>
          <w:lang w:val="en-GB"/>
        </w:rPr>
        <w:t>31</w:t>
      </w:r>
      <w:r w:rsidRPr="528651E4" w:rsidR="68D6079D">
        <w:rPr>
          <w:rFonts w:ascii="Arial" w:hAnsi="Arial" w:eastAsia="Arial" w:cs="Arial"/>
          <w:b w:val="0"/>
          <w:bCs w:val="0"/>
          <w:i w:val="0"/>
          <w:iCs w:val="0"/>
          <w:caps w:val="0"/>
          <w:smallCaps w:val="0"/>
          <w:noProof w:val="0"/>
          <w:color w:val="222222"/>
          <w:sz w:val="16"/>
          <w:szCs w:val="16"/>
          <w:lang w:val="en-GB"/>
        </w:rPr>
        <w:t xml:space="preserve">(4), pp.683-712. Available at: </w:t>
      </w:r>
      <w:hyperlink r:id="Rda2300b26a2c4c21">
        <w:r w:rsidRPr="528651E4" w:rsidR="68D6079D">
          <w:rPr>
            <w:rStyle w:val="Hyperlink"/>
            <w:rFonts w:ascii="Arial" w:hAnsi="Arial" w:eastAsia="Arial" w:cs="Arial"/>
            <w:b w:val="0"/>
            <w:bCs w:val="0"/>
            <w:noProof w:val="0"/>
            <w:sz w:val="16"/>
            <w:szCs w:val="16"/>
            <w:lang w:val="en-GB"/>
          </w:rPr>
          <w:t>A critical review of the literature on social and leisure activity and wellbeing in later life | Ageing &amp; Society | Cambridge Core</w:t>
        </w:r>
      </w:hyperlink>
    </w:p>
    <w:p w:rsidR="68D6079D" w:rsidP="528651E4" w:rsidRDefault="68D6079D" w14:paraId="263860DA" w14:textId="3434C84A">
      <w:pPr>
        <w:pStyle w:val="Normal"/>
        <w:spacing w:before="240" w:beforeAutospacing="off" w:after="240" w:afterAutospacing="off" w:line="360" w:lineRule="auto"/>
        <w:rPr>
          <w:sz w:val="18"/>
          <w:szCs w:val="18"/>
        </w:rPr>
      </w:pPr>
      <w:r w:rsidRPr="528651E4" w:rsidR="68D6079D">
        <w:rPr>
          <w:rFonts w:ascii="Arial" w:hAnsi="Arial" w:eastAsia="Arial" w:cs="Arial"/>
          <w:b w:val="0"/>
          <w:bCs w:val="0"/>
          <w:i w:val="0"/>
          <w:iCs w:val="0"/>
          <w:caps w:val="0"/>
          <w:smallCaps w:val="0"/>
          <w:noProof w:val="0"/>
          <w:color w:val="222222"/>
          <w:sz w:val="16"/>
          <w:szCs w:val="16"/>
          <w:lang w:val="en-GB"/>
        </w:rPr>
        <w:t xml:space="preserve">Cohen, G.D., Perlstein, S., Chapline, J., Kelly, J., Firth, K.M. and Simmens, S., 2006. The impact of professionally conducted cultural programs on the physical health, mental health, and social functioning of older adults. </w:t>
      </w:r>
      <w:r w:rsidRPr="528651E4" w:rsidR="68D6079D">
        <w:rPr>
          <w:rFonts w:ascii="Arial" w:hAnsi="Arial" w:eastAsia="Arial" w:cs="Arial"/>
          <w:b w:val="0"/>
          <w:bCs w:val="0"/>
          <w:i w:val="1"/>
          <w:iCs w:val="1"/>
          <w:caps w:val="0"/>
          <w:smallCaps w:val="0"/>
          <w:noProof w:val="0"/>
          <w:color w:val="222222"/>
          <w:sz w:val="16"/>
          <w:szCs w:val="16"/>
          <w:lang w:val="en-GB"/>
        </w:rPr>
        <w:t>The Gerontologist</w:t>
      </w:r>
      <w:r w:rsidRPr="528651E4" w:rsidR="68D6079D">
        <w:rPr>
          <w:rFonts w:ascii="Arial" w:hAnsi="Arial" w:eastAsia="Arial" w:cs="Arial"/>
          <w:b w:val="0"/>
          <w:bCs w:val="0"/>
          <w:i w:val="0"/>
          <w:iCs w:val="0"/>
          <w:caps w:val="0"/>
          <w:smallCaps w:val="0"/>
          <w:noProof w:val="0"/>
          <w:color w:val="222222"/>
          <w:sz w:val="16"/>
          <w:szCs w:val="16"/>
          <w:lang w:val="en-GB"/>
        </w:rPr>
        <w:t xml:space="preserve">, </w:t>
      </w:r>
      <w:r w:rsidRPr="528651E4" w:rsidR="68D6079D">
        <w:rPr>
          <w:rFonts w:ascii="Arial" w:hAnsi="Arial" w:eastAsia="Arial" w:cs="Arial"/>
          <w:b w:val="0"/>
          <w:bCs w:val="0"/>
          <w:i w:val="1"/>
          <w:iCs w:val="1"/>
          <w:caps w:val="0"/>
          <w:smallCaps w:val="0"/>
          <w:noProof w:val="0"/>
          <w:color w:val="222222"/>
          <w:sz w:val="16"/>
          <w:szCs w:val="16"/>
          <w:lang w:val="en-GB"/>
        </w:rPr>
        <w:t>46</w:t>
      </w:r>
      <w:r w:rsidRPr="528651E4" w:rsidR="68D6079D">
        <w:rPr>
          <w:rFonts w:ascii="Arial" w:hAnsi="Arial" w:eastAsia="Arial" w:cs="Arial"/>
          <w:b w:val="0"/>
          <w:bCs w:val="0"/>
          <w:i w:val="0"/>
          <w:iCs w:val="0"/>
          <w:caps w:val="0"/>
          <w:smallCaps w:val="0"/>
          <w:noProof w:val="0"/>
          <w:color w:val="222222"/>
          <w:sz w:val="16"/>
          <w:szCs w:val="16"/>
          <w:lang w:val="en-GB"/>
        </w:rPr>
        <w:t xml:space="preserve">(6), pp.726-734. Available at: </w:t>
      </w:r>
      <w:hyperlink r:id="Re10ca6d33abd48b7">
        <w:r w:rsidRPr="528651E4" w:rsidR="68D6079D">
          <w:rPr>
            <w:rStyle w:val="Hyperlink"/>
            <w:rFonts w:ascii="Arial" w:hAnsi="Arial" w:eastAsia="Arial" w:cs="Arial"/>
            <w:b w:val="0"/>
            <w:bCs w:val="0"/>
            <w:noProof w:val="0"/>
            <w:sz w:val="16"/>
            <w:szCs w:val="16"/>
            <w:lang w:val="en-GB"/>
          </w:rPr>
          <w:t>Impact of Professionally Conducted Cultural Programs on the Physical Health, Mental Health, and Social Functioning of Older Adults | The Gerontologist | Oxford Academic</w:t>
        </w:r>
      </w:hyperlink>
    </w:p>
    <w:p w:rsidR="68D6079D" w:rsidP="528651E4" w:rsidRDefault="68D6079D" w14:paraId="58B64212" w14:textId="5E1E6A31">
      <w:pPr>
        <w:pStyle w:val="Normal"/>
        <w:spacing w:line="360" w:lineRule="auto"/>
        <w:rPr>
          <w:rFonts w:ascii="Arial" w:hAnsi="Arial" w:eastAsia="Arial" w:cs="Arial"/>
          <w:noProof w:val="0"/>
          <w:sz w:val="16"/>
          <w:szCs w:val="16"/>
          <w:lang w:val="en-GB"/>
        </w:rPr>
      </w:pPr>
      <w:r w:rsidRPr="528651E4" w:rsidR="68D6079D">
        <w:rPr>
          <w:rFonts w:ascii="Arial" w:hAnsi="Arial" w:eastAsia="Arial" w:cs="Arial"/>
          <w:b w:val="0"/>
          <w:bCs w:val="0"/>
          <w:i w:val="0"/>
          <w:iCs w:val="0"/>
          <w:caps w:val="0"/>
          <w:smallCaps w:val="0"/>
          <w:noProof w:val="0"/>
          <w:color w:val="222222"/>
          <w:sz w:val="16"/>
          <w:szCs w:val="16"/>
          <w:lang w:val="en-GB"/>
        </w:rPr>
        <w:t>Gilleard</w:t>
      </w:r>
      <w:r w:rsidRPr="528651E4" w:rsidR="68D6079D">
        <w:rPr>
          <w:rFonts w:ascii="Arial" w:hAnsi="Arial" w:eastAsia="Arial" w:cs="Arial"/>
          <w:b w:val="0"/>
          <w:bCs w:val="0"/>
          <w:i w:val="0"/>
          <w:iCs w:val="0"/>
          <w:caps w:val="0"/>
          <w:smallCaps w:val="0"/>
          <w:noProof w:val="0"/>
          <w:color w:val="222222"/>
          <w:sz w:val="16"/>
          <w:szCs w:val="16"/>
          <w:lang w:val="en-GB"/>
        </w:rPr>
        <w:t xml:space="preserve">, C., 2020. The final stage of human development? Erikson's view of integrity and old age. </w:t>
      </w:r>
      <w:r w:rsidRPr="528651E4" w:rsidR="68D6079D">
        <w:rPr>
          <w:rFonts w:ascii="Arial" w:hAnsi="Arial" w:eastAsia="Arial" w:cs="Arial"/>
          <w:b w:val="0"/>
          <w:bCs w:val="0"/>
          <w:i w:val="1"/>
          <w:iCs w:val="1"/>
          <w:caps w:val="0"/>
          <w:smallCaps w:val="0"/>
          <w:noProof w:val="0"/>
          <w:color w:val="222222"/>
          <w:sz w:val="16"/>
          <w:szCs w:val="16"/>
          <w:lang w:val="en-GB"/>
        </w:rPr>
        <w:t>International Journal of Ageing and Later Life</w:t>
      </w:r>
      <w:r w:rsidRPr="528651E4" w:rsidR="68D6079D">
        <w:rPr>
          <w:rFonts w:ascii="Arial" w:hAnsi="Arial" w:eastAsia="Arial" w:cs="Arial"/>
          <w:b w:val="0"/>
          <w:bCs w:val="0"/>
          <w:i w:val="0"/>
          <w:iCs w:val="0"/>
          <w:caps w:val="0"/>
          <w:smallCaps w:val="0"/>
          <w:noProof w:val="0"/>
          <w:color w:val="222222"/>
          <w:sz w:val="16"/>
          <w:szCs w:val="16"/>
          <w:lang w:val="en-GB"/>
        </w:rPr>
        <w:t xml:space="preserve">, </w:t>
      </w:r>
      <w:r w:rsidRPr="528651E4" w:rsidR="68D6079D">
        <w:rPr>
          <w:rFonts w:ascii="Arial" w:hAnsi="Arial" w:eastAsia="Arial" w:cs="Arial"/>
          <w:b w:val="0"/>
          <w:bCs w:val="0"/>
          <w:i w:val="1"/>
          <w:iCs w:val="1"/>
          <w:caps w:val="0"/>
          <w:smallCaps w:val="0"/>
          <w:noProof w:val="0"/>
          <w:color w:val="222222"/>
          <w:sz w:val="16"/>
          <w:szCs w:val="16"/>
          <w:lang w:val="en-GB"/>
        </w:rPr>
        <w:t>14</w:t>
      </w:r>
      <w:r w:rsidRPr="528651E4" w:rsidR="68D6079D">
        <w:rPr>
          <w:rFonts w:ascii="Arial" w:hAnsi="Arial" w:eastAsia="Arial" w:cs="Arial"/>
          <w:b w:val="0"/>
          <w:bCs w:val="0"/>
          <w:i w:val="0"/>
          <w:iCs w:val="0"/>
          <w:caps w:val="0"/>
          <w:smallCaps w:val="0"/>
          <w:noProof w:val="0"/>
          <w:color w:val="222222"/>
          <w:sz w:val="16"/>
          <w:szCs w:val="16"/>
          <w:lang w:val="en-GB"/>
        </w:rPr>
        <w:t xml:space="preserve">(2), pp.139-162. Available at: </w:t>
      </w:r>
      <w:hyperlink r:id="Rfb27d1df1ef448c0">
        <w:r w:rsidRPr="528651E4" w:rsidR="68D6079D">
          <w:rPr>
            <w:rStyle w:val="Hyperlink"/>
            <w:rFonts w:ascii="Arial" w:hAnsi="Arial" w:eastAsia="Arial" w:cs="Arial"/>
            <w:noProof w:val="0"/>
            <w:sz w:val="16"/>
            <w:szCs w:val="16"/>
            <w:lang w:val="en-GB"/>
          </w:rPr>
          <w:t>The final stage of human development? Erikson's view of integrity and old age | International Journal of Ageing and Later Life</w:t>
        </w:r>
      </w:hyperlink>
    </w:p>
    <w:p w:rsidR="765C9B7E" w:rsidP="528651E4" w:rsidRDefault="765C9B7E" w14:paraId="075339E5" w14:textId="1DE596F2">
      <w:pPr>
        <w:pStyle w:val="Normal"/>
        <w:spacing w:before="240" w:beforeAutospacing="off" w:after="240" w:afterAutospacing="off" w:line="360" w:lineRule="auto"/>
        <w:rPr>
          <w:b w:val="0"/>
          <w:bCs w:val="0"/>
          <w:sz w:val="16"/>
          <w:szCs w:val="16"/>
        </w:rPr>
      </w:pPr>
      <w:r w:rsidRPr="528651E4" w:rsidR="765C9B7E">
        <w:rPr>
          <w:rFonts w:ascii="Arial" w:hAnsi="Arial" w:eastAsia="Arial" w:cs="Arial"/>
          <w:b w:val="0"/>
          <w:bCs w:val="0"/>
          <w:i w:val="0"/>
          <w:iCs w:val="0"/>
          <w:caps w:val="0"/>
          <w:smallCaps w:val="0"/>
          <w:noProof w:val="0"/>
          <w:color w:val="222222"/>
          <w:sz w:val="16"/>
          <w:szCs w:val="16"/>
          <w:lang w:val="en-GB"/>
        </w:rPr>
        <w:t xml:space="preserve">Havighurst, R.J., 1961. Successful aging. </w:t>
      </w:r>
      <w:r w:rsidRPr="528651E4" w:rsidR="765C9B7E">
        <w:rPr>
          <w:rFonts w:ascii="Arial" w:hAnsi="Arial" w:eastAsia="Arial" w:cs="Arial"/>
          <w:b w:val="0"/>
          <w:bCs w:val="0"/>
          <w:i w:val="1"/>
          <w:iCs w:val="1"/>
          <w:caps w:val="0"/>
          <w:smallCaps w:val="0"/>
          <w:noProof w:val="0"/>
          <w:color w:val="222222"/>
          <w:sz w:val="16"/>
          <w:szCs w:val="16"/>
          <w:lang w:val="en-GB"/>
        </w:rPr>
        <w:t>The gerontologist</w:t>
      </w:r>
      <w:r w:rsidRPr="528651E4" w:rsidR="765C9B7E">
        <w:rPr>
          <w:rFonts w:ascii="Arial" w:hAnsi="Arial" w:eastAsia="Arial" w:cs="Arial"/>
          <w:b w:val="0"/>
          <w:bCs w:val="0"/>
          <w:i w:val="0"/>
          <w:iCs w:val="0"/>
          <w:caps w:val="0"/>
          <w:smallCaps w:val="0"/>
          <w:noProof w:val="0"/>
          <w:color w:val="222222"/>
          <w:sz w:val="16"/>
          <w:szCs w:val="16"/>
          <w:lang w:val="en-GB"/>
        </w:rPr>
        <w:t xml:space="preserve">. Available at: </w:t>
      </w:r>
      <w:hyperlink r:id="Re0773114032c4e41">
        <w:r w:rsidRPr="528651E4" w:rsidR="765C9B7E">
          <w:rPr>
            <w:rStyle w:val="Hyperlink"/>
            <w:rFonts w:ascii="Arial" w:hAnsi="Arial" w:eastAsia="Arial" w:cs="Arial"/>
            <w:b w:val="0"/>
            <w:bCs w:val="0"/>
            <w:noProof w:val="0"/>
            <w:sz w:val="16"/>
            <w:szCs w:val="16"/>
            <w:lang w:val="en-GB"/>
          </w:rPr>
          <w:t>Successful aging.</w:t>
        </w:r>
      </w:hyperlink>
    </w:p>
    <w:p w:rsidR="545263E2" w:rsidP="528651E4" w:rsidRDefault="545263E2" w14:paraId="6AFBB856" w14:textId="02B53F3C">
      <w:pPr>
        <w:pStyle w:val="Normal"/>
        <w:spacing w:before="240" w:beforeAutospacing="off" w:after="240" w:afterAutospacing="off" w:line="360" w:lineRule="auto"/>
        <w:rPr>
          <w:rFonts w:ascii="Arial" w:hAnsi="Arial" w:eastAsia="Arial" w:cs="Arial"/>
          <w:b w:val="0"/>
          <w:bCs w:val="0"/>
          <w:noProof w:val="0"/>
          <w:sz w:val="16"/>
          <w:szCs w:val="16"/>
          <w:lang w:val="en-GB"/>
        </w:rPr>
      </w:pPr>
      <w:r w:rsidRPr="528651E4" w:rsidR="545263E2">
        <w:rPr>
          <w:rFonts w:ascii="Arial" w:hAnsi="Arial" w:eastAsia="Arial" w:cs="Arial"/>
          <w:b w:val="0"/>
          <w:bCs w:val="0"/>
          <w:i w:val="0"/>
          <w:iCs w:val="0"/>
          <w:caps w:val="0"/>
          <w:smallCaps w:val="0"/>
          <w:noProof w:val="0"/>
          <w:color w:val="222222"/>
          <w:sz w:val="16"/>
          <w:szCs w:val="16"/>
          <w:lang w:val="en-GB"/>
        </w:rPr>
        <w:t>Menec</w:t>
      </w:r>
      <w:r w:rsidRPr="528651E4" w:rsidR="545263E2">
        <w:rPr>
          <w:rFonts w:ascii="Arial" w:hAnsi="Arial" w:eastAsia="Arial" w:cs="Arial"/>
          <w:b w:val="0"/>
          <w:bCs w:val="0"/>
          <w:i w:val="0"/>
          <w:iCs w:val="0"/>
          <w:caps w:val="0"/>
          <w:smallCaps w:val="0"/>
          <w:noProof w:val="0"/>
          <w:color w:val="222222"/>
          <w:sz w:val="16"/>
          <w:szCs w:val="16"/>
          <w:lang w:val="en-GB"/>
        </w:rPr>
        <w:t xml:space="preserve">, V.H., 2003. The relation between everyday activities and successful aging: A 6-year longitudinal study. </w:t>
      </w:r>
      <w:r w:rsidRPr="528651E4" w:rsidR="545263E2">
        <w:rPr>
          <w:rFonts w:ascii="Arial" w:hAnsi="Arial" w:eastAsia="Arial" w:cs="Arial"/>
          <w:b w:val="0"/>
          <w:bCs w:val="0"/>
          <w:i w:val="1"/>
          <w:iCs w:val="1"/>
          <w:caps w:val="0"/>
          <w:smallCaps w:val="0"/>
          <w:noProof w:val="0"/>
          <w:color w:val="222222"/>
          <w:sz w:val="16"/>
          <w:szCs w:val="16"/>
          <w:lang w:val="en-GB"/>
        </w:rPr>
        <w:t>The Journals of Gerontology Series B: Psychological Sciences and Social Sciences</w:t>
      </w:r>
      <w:r w:rsidRPr="528651E4" w:rsidR="545263E2">
        <w:rPr>
          <w:rFonts w:ascii="Arial" w:hAnsi="Arial" w:eastAsia="Arial" w:cs="Arial"/>
          <w:b w:val="0"/>
          <w:bCs w:val="0"/>
          <w:i w:val="0"/>
          <w:iCs w:val="0"/>
          <w:caps w:val="0"/>
          <w:smallCaps w:val="0"/>
          <w:noProof w:val="0"/>
          <w:color w:val="222222"/>
          <w:sz w:val="16"/>
          <w:szCs w:val="16"/>
          <w:lang w:val="en-GB"/>
        </w:rPr>
        <w:t xml:space="preserve">, </w:t>
      </w:r>
      <w:r w:rsidRPr="528651E4" w:rsidR="545263E2">
        <w:rPr>
          <w:rFonts w:ascii="Arial" w:hAnsi="Arial" w:eastAsia="Arial" w:cs="Arial"/>
          <w:b w:val="0"/>
          <w:bCs w:val="0"/>
          <w:i w:val="1"/>
          <w:iCs w:val="1"/>
          <w:caps w:val="0"/>
          <w:smallCaps w:val="0"/>
          <w:noProof w:val="0"/>
          <w:color w:val="222222"/>
          <w:sz w:val="16"/>
          <w:szCs w:val="16"/>
          <w:lang w:val="en-GB"/>
        </w:rPr>
        <w:t>58</w:t>
      </w:r>
      <w:r w:rsidRPr="528651E4" w:rsidR="545263E2">
        <w:rPr>
          <w:rFonts w:ascii="Arial" w:hAnsi="Arial" w:eastAsia="Arial" w:cs="Arial"/>
          <w:b w:val="0"/>
          <w:bCs w:val="0"/>
          <w:i w:val="0"/>
          <w:iCs w:val="0"/>
          <w:caps w:val="0"/>
          <w:smallCaps w:val="0"/>
          <w:noProof w:val="0"/>
          <w:color w:val="222222"/>
          <w:sz w:val="16"/>
          <w:szCs w:val="16"/>
          <w:lang w:val="en-GB"/>
        </w:rPr>
        <w:t xml:space="preserve">(2), </w:t>
      </w:r>
      <w:r w:rsidRPr="528651E4" w:rsidR="545263E2">
        <w:rPr>
          <w:rFonts w:ascii="Arial" w:hAnsi="Arial" w:eastAsia="Arial" w:cs="Arial"/>
          <w:b w:val="0"/>
          <w:bCs w:val="0"/>
          <w:i w:val="0"/>
          <w:iCs w:val="0"/>
          <w:caps w:val="0"/>
          <w:smallCaps w:val="0"/>
          <w:noProof w:val="0"/>
          <w:color w:val="222222"/>
          <w:sz w:val="16"/>
          <w:szCs w:val="16"/>
          <w:lang w:val="en-GB"/>
        </w:rPr>
        <w:t>pp.S</w:t>
      </w:r>
      <w:r w:rsidRPr="528651E4" w:rsidR="545263E2">
        <w:rPr>
          <w:rFonts w:ascii="Arial" w:hAnsi="Arial" w:eastAsia="Arial" w:cs="Arial"/>
          <w:b w:val="0"/>
          <w:bCs w:val="0"/>
          <w:i w:val="0"/>
          <w:iCs w:val="0"/>
          <w:caps w:val="0"/>
          <w:smallCaps w:val="0"/>
          <w:noProof w:val="0"/>
          <w:color w:val="222222"/>
          <w:sz w:val="16"/>
          <w:szCs w:val="16"/>
          <w:lang w:val="en-GB"/>
        </w:rPr>
        <w:t xml:space="preserve">74-S82. Available at: </w:t>
      </w:r>
      <w:hyperlink r:id="Rfa0a7b2714e54bae">
        <w:r w:rsidRPr="528651E4" w:rsidR="545263E2">
          <w:rPr>
            <w:rStyle w:val="Hyperlink"/>
            <w:rFonts w:ascii="Arial" w:hAnsi="Arial" w:eastAsia="Arial" w:cs="Arial"/>
            <w:b w:val="0"/>
            <w:bCs w:val="0"/>
            <w:noProof w:val="0"/>
            <w:sz w:val="16"/>
            <w:szCs w:val="16"/>
            <w:lang w:val="en-GB"/>
          </w:rPr>
          <w:t>The relation between everyday activities and successful aging: a 6-year longitudinal study - PubMed</w:t>
        </w:r>
      </w:hyperlink>
    </w:p>
    <w:p w:rsidR="14852A8A" w:rsidP="528651E4" w:rsidRDefault="14852A8A" w14:paraId="79679AF1" w14:textId="7452637D">
      <w:pPr>
        <w:pStyle w:val="Normal"/>
        <w:spacing w:before="240" w:beforeAutospacing="off" w:after="240" w:afterAutospacing="off" w:line="360" w:lineRule="auto"/>
        <w:rPr>
          <w:rFonts w:ascii="Arial" w:hAnsi="Arial" w:eastAsia="Arial" w:cs="Arial"/>
          <w:noProof w:val="0"/>
          <w:sz w:val="16"/>
          <w:szCs w:val="16"/>
          <w:lang w:val="en-GB"/>
        </w:rPr>
      </w:pPr>
      <w:r w:rsidRPr="528651E4" w:rsidR="14852A8A">
        <w:rPr>
          <w:rFonts w:ascii="Arial" w:hAnsi="Arial" w:eastAsia="Arial" w:cs="Arial"/>
          <w:b w:val="0"/>
          <w:bCs w:val="0"/>
          <w:noProof w:val="0"/>
          <w:sz w:val="16"/>
          <w:szCs w:val="16"/>
          <w:lang w:val="en-GB"/>
        </w:rPr>
        <w:t xml:space="preserve">Robert J. Havighurst (1961) ‘Successful aging’, </w:t>
      </w:r>
      <w:r w:rsidRPr="528651E4" w:rsidR="14852A8A">
        <w:rPr>
          <w:rFonts w:ascii="Arial" w:hAnsi="Arial" w:eastAsia="Arial" w:cs="Arial"/>
          <w:b w:val="0"/>
          <w:bCs w:val="0"/>
          <w:i w:val="1"/>
          <w:iCs w:val="1"/>
          <w:noProof w:val="0"/>
          <w:sz w:val="16"/>
          <w:szCs w:val="16"/>
          <w:lang w:val="en-GB"/>
        </w:rPr>
        <w:t>The Gerontologist</w:t>
      </w:r>
      <w:r w:rsidRPr="528651E4" w:rsidR="14852A8A">
        <w:rPr>
          <w:rFonts w:ascii="Arial" w:hAnsi="Arial" w:eastAsia="Arial" w:cs="Arial"/>
          <w:b w:val="0"/>
          <w:bCs w:val="0"/>
          <w:noProof w:val="0"/>
          <w:sz w:val="16"/>
          <w:szCs w:val="16"/>
          <w:lang w:val="en-GB"/>
        </w:rPr>
        <w:t xml:space="preserve">, 1(1), pp. 8–13. Available at: </w:t>
      </w:r>
      <w:hyperlink r:id="R83a0919fe1134093">
        <w:r w:rsidRPr="528651E4" w:rsidR="14852A8A">
          <w:rPr>
            <w:rStyle w:val="Hyperlink"/>
            <w:rFonts w:ascii="Arial" w:hAnsi="Arial" w:eastAsia="Arial" w:cs="Arial"/>
            <w:noProof w:val="0"/>
            <w:sz w:val="16"/>
            <w:szCs w:val="16"/>
            <w:lang w:val="en-GB"/>
          </w:rPr>
          <w:t>Successful aging.</w:t>
        </w:r>
      </w:hyperlink>
    </w:p>
    <w:p w:rsidR="60AE647D" w:rsidP="528651E4" w:rsidRDefault="60AE647D" w14:paraId="6A2701C2" w14:textId="16F48E46">
      <w:pPr>
        <w:pStyle w:val="Normal"/>
        <w:spacing w:before="240" w:beforeAutospacing="off" w:after="240" w:afterAutospacing="off" w:line="360" w:lineRule="auto"/>
        <w:rPr>
          <w:sz w:val="18"/>
          <w:szCs w:val="18"/>
        </w:rPr>
      </w:pPr>
      <w:r w:rsidRPr="528651E4" w:rsidR="60AE647D">
        <w:rPr>
          <w:rFonts w:ascii="Arial" w:hAnsi="Arial" w:eastAsia="Arial" w:cs="Arial"/>
          <w:b w:val="0"/>
          <w:bCs w:val="0"/>
          <w:i w:val="0"/>
          <w:iCs w:val="0"/>
          <w:caps w:val="0"/>
          <w:smallCaps w:val="0"/>
          <w:noProof w:val="0"/>
          <w:color w:val="222222"/>
          <w:sz w:val="16"/>
          <w:szCs w:val="16"/>
          <w:lang w:val="en-GB"/>
        </w:rPr>
        <w:t xml:space="preserve">Seligman, M.E., 2008. Applied psychology: an international review. </w:t>
      </w:r>
      <w:r w:rsidRPr="528651E4" w:rsidR="60AE647D">
        <w:rPr>
          <w:rFonts w:ascii="Arial" w:hAnsi="Arial" w:eastAsia="Arial" w:cs="Arial"/>
          <w:b w:val="0"/>
          <w:bCs w:val="0"/>
          <w:i w:val="1"/>
          <w:iCs w:val="1"/>
          <w:caps w:val="0"/>
          <w:smallCaps w:val="0"/>
          <w:noProof w:val="0"/>
          <w:color w:val="222222"/>
          <w:sz w:val="16"/>
          <w:szCs w:val="16"/>
          <w:lang w:val="en-GB"/>
        </w:rPr>
        <w:t>Positive Health</w:t>
      </w:r>
      <w:r w:rsidRPr="528651E4" w:rsidR="60AE647D">
        <w:rPr>
          <w:rFonts w:ascii="Arial" w:hAnsi="Arial" w:eastAsia="Arial" w:cs="Arial"/>
          <w:b w:val="0"/>
          <w:bCs w:val="0"/>
          <w:i w:val="0"/>
          <w:iCs w:val="0"/>
          <w:caps w:val="0"/>
          <w:smallCaps w:val="0"/>
          <w:noProof w:val="0"/>
          <w:color w:val="222222"/>
          <w:sz w:val="16"/>
          <w:szCs w:val="16"/>
          <w:lang w:val="en-GB"/>
        </w:rPr>
        <w:t xml:space="preserve">, </w:t>
      </w:r>
      <w:r w:rsidRPr="528651E4" w:rsidR="60AE647D">
        <w:rPr>
          <w:rFonts w:ascii="Arial" w:hAnsi="Arial" w:eastAsia="Arial" w:cs="Arial"/>
          <w:b w:val="0"/>
          <w:bCs w:val="0"/>
          <w:i w:val="1"/>
          <w:iCs w:val="1"/>
          <w:caps w:val="0"/>
          <w:smallCaps w:val="0"/>
          <w:noProof w:val="0"/>
          <w:color w:val="222222"/>
          <w:sz w:val="16"/>
          <w:szCs w:val="16"/>
          <w:lang w:val="en-GB"/>
        </w:rPr>
        <w:t>57</w:t>
      </w:r>
      <w:r w:rsidRPr="528651E4" w:rsidR="60AE647D">
        <w:rPr>
          <w:rFonts w:ascii="Arial" w:hAnsi="Arial" w:eastAsia="Arial" w:cs="Arial"/>
          <w:b w:val="0"/>
          <w:bCs w:val="0"/>
          <w:i w:val="0"/>
          <w:iCs w:val="0"/>
          <w:caps w:val="0"/>
          <w:smallCaps w:val="0"/>
          <w:noProof w:val="0"/>
          <w:color w:val="222222"/>
          <w:sz w:val="16"/>
          <w:szCs w:val="16"/>
          <w:lang w:val="en-GB"/>
        </w:rPr>
        <w:t xml:space="preserve">, pp.3-18. Available at: </w:t>
      </w:r>
      <w:hyperlink r:id="R9f88353d4c31446b">
        <w:r w:rsidRPr="528651E4" w:rsidR="60AE647D">
          <w:rPr>
            <w:rStyle w:val="Hyperlink"/>
            <w:rFonts w:ascii="Arial" w:hAnsi="Arial" w:eastAsia="Arial" w:cs="Arial"/>
            <w:b w:val="0"/>
            <w:bCs w:val="0"/>
            <w:noProof w:val="0"/>
            <w:sz w:val="16"/>
            <w:szCs w:val="16"/>
            <w:lang w:val="en-GB"/>
          </w:rPr>
          <w:t>Positive Health - Seligman - 2008 - Applied Psychology - Wiley Online Library</w:t>
        </w:r>
      </w:hyperlink>
    </w:p>
    <w:p w:rsidR="3B5007F5" w:rsidP="528651E4" w:rsidRDefault="3B5007F5" w14:paraId="75EA2A21" w14:textId="044CA4CA">
      <w:pPr>
        <w:pStyle w:val="Normal"/>
        <w:spacing w:line="360" w:lineRule="auto"/>
        <w:rPr>
          <w:b w:val="0"/>
          <w:bCs w:val="0"/>
          <w:sz w:val="16"/>
          <w:szCs w:val="16"/>
        </w:rPr>
      </w:pPr>
      <w:r w:rsidRPr="528651E4" w:rsidR="3B5007F5">
        <w:rPr>
          <w:rFonts w:ascii="Arial" w:hAnsi="Arial" w:eastAsia="Arial" w:cs="Arial"/>
          <w:b w:val="0"/>
          <w:bCs w:val="0"/>
          <w:i w:val="0"/>
          <w:iCs w:val="0"/>
          <w:caps w:val="0"/>
          <w:smallCaps w:val="0"/>
          <w:noProof w:val="0"/>
          <w:color w:val="222222"/>
          <w:sz w:val="16"/>
          <w:szCs w:val="16"/>
          <w:lang w:val="en-GB"/>
        </w:rPr>
        <w:t xml:space="preserve">Teles, S. and Ribeiro, O., 2022. Activity theory. In </w:t>
      </w:r>
      <w:r w:rsidRPr="528651E4" w:rsidR="3B5007F5">
        <w:rPr>
          <w:rFonts w:ascii="Arial" w:hAnsi="Arial" w:eastAsia="Arial" w:cs="Arial"/>
          <w:b w:val="0"/>
          <w:bCs w:val="0"/>
          <w:i w:val="1"/>
          <w:iCs w:val="1"/>
          <w:caps w:val="0"/>
          <w:smallCaps w:val="0"/>
          <w:noProof w:val="0"/>
          <w:color w:val="222222"/>
          <w:sz w:val="16"/>
          <w:szCs w:val="16"/>
          <w:lang w:val="en-GB"/>
        </w:rPr>
        <w:t>Encyclopedia</w:t>
      </w:r>
      <w:r w:rsidRPr="528651E4" w:rsidR="3B5007F5">
        <w:rPr>
          <w:rFonts w:ascii="Arial" w:hAnsi="Arial" w:eastAsia="Arial" w:cs="Arial"/>
          <w:b w:val="0"/>
          <w:bCs w:val="0"/>
          <w:i w:val="1"/>
          <w:iCs w:val="1"/>
          <w:caps w:val="0"/>
          <w:smallCaps w:val="0"/>
          <w:noProof w:val="0"/>
          <w:color w:val="222222"/>
          <w:sz w:val="16"/>
          <w:szCs w:val="16"/>
          <w:lang w:val="en-GB"/>
        </w:rPr>
        <w:t xml:space="preserve"> of gerontology and population aging</w:t>
      </w:r>
      <w:r w:rsidRPr="528651E4" w:rsidR="3B5007F5">
        <w:rPr>
          <w:rFonts w:ascii="Arial" w:hAnsi="Arial" w:eastAsia="Arial" w:cs="Arial"/>
          <w:b w:val="0"/>
          <w:bCs w:val="0"/>
          <w:i w:val="0"/>
          <w:iCs w:val="0"/>
          <w:caps w:val="0"/>
          <w:smallCaps w:val="0"/>
          <w:noProof w:val="0"/>
          <w:color w:val="222222"/>
          <w:sz w:val="16"/>
          <w:szCs w:val="16"/>
          <w:lang w:val="en-GB"/>
        </w:rPr>
        <w:t xml:space="preserve"> (pp. 36-44). Cham: Springer International Publishing. Available at: </w:t>
      </w:r>
      <w:hyperlink r:id="Rce047eba41184b1b">
        <w:r w:rsidRPr="528651E4" w:rsidR="3B5007F5">
          <w:rPr>
            <w:rStyle w:val="Hyperlink"/>
            <w:rFonts w:ascii="Arial" w:hAnsi="Arial" w:eastAsia="Arial" w:cs="Arial"/>
            <w:b w:val="0"/>
            <w:bCs w:val="0"/>
            <w:noProof w:val="0"/>
            <w:sz w:val="16"/>
            <w:szCs w:val="16"/>
            <w:lang w:val="en-GB"/>
          </w:rPr>
          <w:t>Activity Theory | Springer Nature Link</w:t>
        </w:r>
      </w:hyperlink>
    </w:p>
    <w:p w:rsidR="528651E4" w:rsidP="528651E4" w:rsidRDefault="528651E4" w14:paraId="48103394" w14:textId="1E599C30">
      <w:pPr>
        <w:pStyle w:val="Normal"/>
        <w:spacing w:line="360" w:lineRule="auto"/>
        <w:rPr>
          <w:rFonts w:ascii="Arial" w:hAnsi="Arial" w:eastAsia="Arial" w:cs="Arial"/>
          <w:noProof w:val="0"/>
          <w:sz w:val="22"/>
          <w:szCs w:val="22"/>
          <w:lang w:val="en-GB"/>
        </w:rPr>
      </w:pPr>
    </w:p>
    <w:p w:rsidR="528651E4" w:rsidP="528651E4" w:rsidRDefault="528651E4" w14:paraId="7F6F0959" w14:textId="327D2536">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3A11C986" w14:textId="7158FFDF">
      <w:pPr>
        <w:pStyle w:val="Normal"/>
        <w:spacing w:before="240" w:beforeAutospacing="off" w:after="240" w:afterAutospacing="off" w:line="360" w:lineRule="auto"/>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a9e0d84fd87145d6"/>
      <w:footerReference w:type="default" r:id="R9937ce732cae47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8651E4" w:rsidTr="528651E4" w14:paraId="5A1B8AAD">
      <w:trPr>
        <w:trHeight w:val="300"/>
      </w:trPr>
      <w:tc>
        <w:tcPr>
          <w:tcW w:w="3005" w:type="dxa"/>
          <w:tcMar/>
        </w:tcPr>
        <w:p w:rsidR="528651E4" w:rsidP="528651E4" w:rsidRDefault="528651E4" w14:paraId="3D4462B9" w14:textId="6C10B816">
          <w:pPr>
            <w:pStyle w:val="Header"/>
            <w:bidi w:val="0"/>
            <w:ind w:left="-115"/>
            <w:jc w:val="left"/>
          </w:pPr>
        </w:p>
      </w:tc>
      <w:tc>
        <w:tcPr>
          <w:tcW w:w="3005" w:type="dxa"/>
          <w:tcMar/>
        </w:tcPr>
        <w:p w:rsidR="528651E4" w:rsidP="528651E4" w:rsidRDefault="528651E4" w14:paraId="2916D779" w14:textId="4730058D">
          <w:pPr>
            <w:pStyle w:val="Header"/>
            <w:bidi w:val="0"/>
            <w:jc w:val="center"/>
          </w:pPr>
          <w:r>
            <w:fldChar w:fldCharType="begin"/>
          </w:r>
          <w:r>
            <w:instrText xml:space="preserve">PAGE</w:instrText>
          </w:r>
          <w:r>
            <w:fldChar w:fldCharType="separate"/>
          </w:r>
          <w:r>
            <w:fldChar w:fldCharType="end"/>
          </w:r>
        </w:p>
      </w:tc>
      <w:tc>
        <w:tcPr>
          <w:tcW w:w="3005" w:type="dxa"/>
          <w:tcMar/>
        </w:tcPr>
        <w:p w:rsidR="528651E4" w:rsidP="528651E4" w:rsidRDefault="528651E4" w14:paraId="70280108" w14:textId="5EEFFCB6">
          <w:pPr>
            <w:pStyle w:val="Header"/>
            <w:bidi w:val="0"/>
            <w:ind w:right="-115"/>
            <w:jc w:val="right"/>
          </w:pPr>
        </w:p>
      </w:tc>
    </w:tr>
  </w:tbl>
  <w:p w:rsidR="528651E4" w:rsidP="528651E4" w:rsidRDefault="528651E4" w14:paraId="38475416" w14:textId="4F85FA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8651E4" w:rsidTr="528651E4" w14:paraId="39FE759B">
      <w:trPr>
        <w:trHeight w:val="300"/>
      </w:trPr>
      <w:tc>
        <w:tcPr>
          <w:tcW w:w="3005" w:type="dxa"/>
          <w:tcMar/>
        </w:tcPr>
        <w:p w:rsidR="528651E4" w:rsidP="528651E4" w:rsidRDefault="528651E4" w14:paraId="37580AB3" w14:textId="1271AE3A">
          <w:pPr>
            <w:pStyle w:val="Header"/>
            <w:bidi w:val="0"/>
            <w:ind w:left="-115"/>
            <w:jc w:val="left"/>
          </w:pPr>
        </w:p>
      </w:tc>
      <w:tc>
        <w:tcPr>
          <w:tcW w:w="3005" w:type="dxa"/>
          <w:tcMar/>
        </w:tcPr>
        <w:p w:rsidR="528651E4" w:rsidP="528651E4" w:rsidRDefault="528651E4" w14:paraId="366F20DE" w14:textId="3A9BF88D">
          <w:pPr>
            <w:pStyle w:val="Header"/>
            <w:bidi w:val="0"/>
            <w:jc w:val="center"/>
          </w:pPr>
        </w:p>
      </w:tc>
      <w:tc>
        <w:tcPr>
          <w:tcW w:w="3005" w:type="dxa"/>
          <w:tcMar/>
        </w:tcPr>
        <w:p w:rsidR="528651E4" w:rsidP="528651E4" w:rsidRDefault="528651E4" w14:paraId="1C562483" w14:textId="15FB97DC">
          <w:pPr>
            <w:pStyle w:val="Header"/>
            <w:bidi w:val="0"/>
            <w:ind w:right="-115"/>
            <w:jc w:val="right"/>
          </w:pPr>
        </w:p>
      </w:tc>
    </w:tr>
  </w:tbl>
  <w:p w:rsidR="528651E4" w:rsidP="528651E4" w:rsidRDefault="528651E4" w14:paraId="57306992" w14:textId="37AA56D5">
    <w:pPr>
      <w:pStyle w:val="Header"/>
      <w:bidi w:val="0"/>
    </w:pPr>
  </w:p>
</w:hdr>
</file>

<file path=word/numbering.xml><?xml version="1.0" encoding="utf-8"?>
<w:numbering xmlns:w="http://schemas.openxmlformats.org/wordprocessingml/2006/main">
  <w:abstractNum xmlns:w="http://schemas.openxmlformats.org/wordprocessingml/2006/main" w:abstractNumId="1">
    <w:nsid w:val="60114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A58860"/>
    <w:rsid w:val="017E95AC"/>
    <w:rsid w:val="020A84DE"/>
    <w:rsid w:val="02C5F392"/>
    <w:rsid w:val="0316BA46"/>
    <w:rsid w:val="03508155"/>
    <w:rsid w:val="042A7529"/>
    <w:rsid w:val="04E57A9E"/>
    <w:rsid w:val="0605D167"/>
    <w:rsid w:val="06096BB1"/>
    <w:rsid w:val="07CF8ED0"/>
    <w:rsid w:val="09A5B875"/>
    <w:rsid w:val="09FCBA79"/>
    <w:rsid w:val="0A83A744"/>
    <w:rsid w:val="0BAF0D58"/>
    <w:rsid w:val="0C532BC4"/>
    <w:rsid w:val="0DCB0622"/>
    <w:rsid w:val="0DF800F5"/>
    <w:rsid w:val="0E11E825"/>
    <w:rsid w:val="0E431F6F"/>
    <w:rsid w:val="10ED93ED"/>
    <w:rsid w:val="113635B1"/>
    <w:rsid w:val="11ABD5E1"/>
    <w:rsid w:val="11BB1EB5"/>
    <w:rsid w:val="120D099B"/>
    <w:rsid w:val="12627675"/>
    <w:rsid w:val="1378F53C"/>
    <w:rsid w:val="14852A8A"/>
    <w:rsid w:val="152AFC68"/>
    <w:rsid w:val="161C5187"/>
    <w:rsid w:val="16CE47AE"/>
    <w:rsid w:val="170D15B9"/>
    <w:rsid w:val="1723B199"/>
    <w:rsid w:val="1753BC5D"/>
    <w:rsid w:val="184ACF07"/>
    <w:rsid w:val="18D8970B"/>
    <w:rsid w:val="18DCEF1B"/>
    <w:rsid w:val="1B737C58"/>
    <w:rsid w:val="1C049678"/>
    <w:rsid w:val="1DA0E579"/>
    <w:rsid w:val="1E1DAC51"/>
    <w:rsid w:val="1E360F1D"/>
    <w:rsid w:val="1F06C56F"/>
    <w:rsid w:val="1F3217C7"/>
    <w:rsid w:val="1F821809"/>
    <w:rsid w:val="2046C6B4"/>
    <w:rsid w:val="205FF87E"/>
    <w:rsid w:val="2134C544"/>
    <w:rsid w:val="21773C93"/>
    <w:rsid w:val="23CDD7C0"/>
    <w:rsid w:val="23F288CA"/>
    <w:rsid w:val="2467C345"/>
    <w:rsid w:val="270DE3B9"/>
    <w:rsid w:val="280316AF"/>
    <w:rsid w:val="282B2B23"/>
    <w:rsid w:val="286C8D06"/>
    <w:rsid w:val="2884EC7B"/>
    <w:rsid w:val="28AE00AE"/>
    <w:rsid w:val="2929E309"/>
    <w:rsid w:val="29A64B5A"/>
    <w:rsid w:val="2A52C044"/>
    <w:rsid w:val="2A8712C1"/>
    <w:rsid w:val="2AB398AE"/>
    <w:rsid w:val="2AF85138"/>
    <w:rsid w:val="2C76C681"/>
    <w:rsid w:val="2CF356E3"/>
    <w:rsid w:val="2E159D67"/>
    <w:rsid w:val="2F0C00CA"/>
    <w:rsid w:val="2FF10488"/>
    <w:rsid w:val="30C58E12"/>
    <w:rsid w:val="30D1FC7C"/>
    <w:rsid w:val="31A97BB1"/>
    <w:rsid w:val="32386089"/>
    <w:rsid w:val="325020C3"/>
    <w:rsid w:val="332BE9FA"/>
    <w:rsid w:val="332F46F5"/>
    <w:rsid w:val="3333A792"/>
    <w:rsid w:val="33990FB2"/>
    <w:rsid w:val="33BC2589"/>
    <w:rsid w:val="33C5FDE0"/>
    <w:rsid w:val="3477137E"/>
    <w:rsid w:val="359CAF0C"/>
    <w:rsid w:val="37952ECA"/>
    <w:rsid w:val="3834C443"/>
    <w:rsid w:val="394AC4EA"/>
    <w:rsid w:val="39B3F721"/>
    <w:rsid w:val="39B79E22"/>
    <w:rsid w:val="39DAA7BD"/>
    <w:rsid w:val="3ABDFDBE"/>
    <w:rsid w:val="3AC38D23"/>
    <w:rsid w:val="3AC9FA91"/>
    <w:rsid w:val="3B5007F5"/>
    <w:rsid w:val="3C83B105"/>
    <w:rsid w:val="3ED4F11D"/>
    <w:rsid w:val="3FE4D329"/>
    <w:rsid w:val="4160CD81"/>
    <w:rsid w:val="4166C460"/>
    <w:rsid w:val="41E450AD"/>
    <w:rsid w:val="420980D4"/>
    <w:rsid w:val="421D2AB3"/>
    <w:rsid w:val="424B2DF0"/>
    <w:rsid w:val="42CF8AF1"/>
    <w:rsid w:val="46FB969E"/>
    <w:rsid w:val="47A8B984"/>
    <w:rsid w:val="47FACB4D"/>
    <w:rsid w:val="4953D187"/>
    <w:rsid w:val="49655F79"/>
    <w:rsid w:val="4A61A7AF"/>
    <w:rsid w:val="4B311C89"/>
    <w:rsid w:val="4B3612F5"/>
    <w:rsid w:val="4BF096D0"/>
    <w:rsid w:val="4C6F7045"/>
    <w:rsid w:val="4F43833E"/>
    <w:rsid w:val="4FBD9892"/>
    <w:rsid w:val="5010E56E"/>
    <w:rsid w:val="5070703A"/>
    <w:rsid w:val="51659D13"/>
    <w:rsid w:val="51733F90"/>
    <w:rsid w:val="5206BFC4"/>
    <w:rsid w:val="523AD891"/>
    <w:rsid w:val="528651E4"/>
    <w:rsid w:val="5305C32E"/>
    <w:rsid w:val="53537248"/>
    <w:rsid w:val="53AF2B52"/>
    <w:rsid w:val="540688A8"/>
    <w:rsid w:val="545263E2"/>
    <w:rsid w:val="56142ADB"/>
    <w:rsid w:val="574AF0D7"/>
    <w:rsid w:val="57B60132"/>
    <w:rsid w:val="57CB5A1C"/>
    <w:rsid w:val="582BB10D"/>
    <w:rsid w:val="5926320F"/>
    <w:rsid w:val="593AFDC0"/>
    <w:rsid w:val="59F78715"/>
    <w:rsid w:val="5C18E97F"/>
    <w:rsid w:val="5E878028"/>
    <w:rsid w:val="5F0452D8"/>
    <w:rsid w:val="5F6D5CB2"/>
    <w:rsid w:val="5F7381FD"/>
    <w:rsid w:val="6061E921"/>
    <w:rsid w:val="607E3D3F"/>
    <w:rsid w:val="60AE647D"/>
    <w:rsid w:val="60B7DCB4"/>
    <w:rsid w:val="619502D3"/>
    <w:rsid w:val="6288A62A"/>
    <w:rsid w:val="63E11376"/>
    <w:rsid w:val="64D01704"/>
    <w:rsid w:val="6569FDBF"/>
    <w:rsid w:val="670FCED1"/>
    <w:rsid w:val="673B89B0"/>
    <w:rsid w:val="68D6079D"/>
    <w:rsid w:val="68DCB7CE"/>
    <w:rsid w:val="693458D6"/>
    <w:rsid w:val="6D1EFECE"/>
    <w:rsid w:val="6DAC01EC"/>
    <w:rsid w:val="6DF30168"/>
    <w:rsid w:val="6F585081"/>
    <w:rsid w:val="6FB71729"/>
    <w:rsid w:val="70576B9F"/>
    <w:rsid w:val="7189BF0B"/>
    <w:rsid w:val="749ABEDB"/>
    <w:rsid w:val="74A58860"/>
    <w:rsid w:val="75636B71"/>
    <w:rsid w:val="75A8B776"/>
    <w:rsid w:val="75E73029"/>
    <w:rsid w:val="765C9B7E"/>
    <w:rsid w:val="771C5DC9"/>
    <w:rsid w:val="77541931"/>
    <w:rsid w:val="77CBDB50"/>
    <w:rsid w:val="77D36BFF"/>
    <w:rsid w:val="78C8D5A0"/>
    <w:rsid w:val="79020C8F"/>
    <w:rsid w:val="799B55AF"/>
    <w:rsid w:val="79F9D0E6"/>
    <w:rsid w:val="7A46496F"/>
    <w:rsid w:val="7A851057"/>
    <w:rsid w:val="7AE7EAFA"/>
    <w:rsid w:val="7BAE51B5"/>
    <w:rsid w:val="7BB9F4D5"/>
    <w:rsid w:val="7C5E0D20"/>
    <w:rsid w:val="7C6B1779"/>
    <w:rsid w:val="7D5C3B65"/>
    <w:rsid w:val="7D919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58860"/>
  <w15:chartTrackingRefBased/>
  <w15:docId w15:val="{8CA2C31F-7D65-411F-96BE-A433F6B190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40688A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40688A8"/>
    <w:pPr>
      <w:spacing/>
      <w:ind w:left="720"/>
      <w:contextualSpacing/>
    </w:pPr>
  </w:style>
  <w:style w:type="paragraph" w:styleId="Heading2">
    <w:uiPriority w:val="9"/>
    <w:name w:val="heading 2"/>
    <w:basedOn w:val="Normal"/>
    <w:next w:val="Normal"/>
    <w:unhideWhenUsed/>
    <w:qFormat/>
    <w:rsid w:val="540688A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28651E4"/>
    <w:rPr>
      <w:color w:val="467886"/>
      <w:u w:val="single"/>
    </w:rPr>
  </w:style>
  <w:style w:type="paragraph" w:styleId="Header">
    <w:uiPriority w:val="99"/>
    <w:name w:val="header"/>
    <w:basedOn w:val="Normal"/>
    <w:unhideWhenUsed/>
    <w:rsid w:val="528651E4"/>
    <w:pPr>
      <w:tabs>
        <w:tab w:val="center" w:leader="none" w:pos="4680"/>
        <w:tab w:val="right" w:leader="none" w:pos="9360"/>
      </w:tabs>
      <w:spacing w:after="0" w:line="240" w:lineRule="auto"/>
    </w:pPr>
  </w:style>
  <w:style w:type="paragraph" w:styleId="Footer">
    <w:uiPriority w:val="99"/>
    <w:name w:val="footer"/>
    <w:basedOn w:val="Normal"/>
    <w:unhideWhenUsed/>
    <w:rsid w:val="528651E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495c565240b473b" /><Relationship Type="http://schemas.openxmlformats.org/officeDocument/2006/relationships/hyperlink" Target="https://ijal.se/article/view/1471" TargetMode="External" Id="R2a7670ac18654c3a" /><Relationship Type="http://schemas.openxmlformats.org/officeDocument/2006/relationships/hyperlink" Target="https://psycnet.apa.org/record/1962-00847-001" TargetMode="External" Id="R75dd71175ee14939" /><Relationship Type="http://schemas.openxmlformats.org/officeDocument/2006/relationships/hyperlink" Target="https://www.tandfonline.com/doi/abs/10.1080/13607860500312118" TargetMode="External" Id="R6fdd6ecb613649eb" /><Relationship Type="http://schemas.openxmlformats.org/officeDocument/2006/relationships/hyperlink" Target="https://iaap-journals.onlinelibrary.wiley.com/doi/full/10.1111/j.1464-0597.2008.00351.x" TargetMode="External" Id="Rf16744b9bd144c17" /><Relationship Type="http://schemas.openxmlformats.org/officeDocument/2006/relationships/hyperlink" Target="https://www.cambridge.org/core/journals/ageing-and-society/article/critical-review-of-the-literature-on-social-and-leisure-activity-and-wellbeing-in-later-life/2F2A22FDE0F28D435F56D6E69B25FF9E" TargetMode="External" Id="Rda2300b26a2c4c21" /><Relationship Type="http://schemas.openxmlformats.org/officeDocument/2006/relationships/hyperlink" Target="https://academic.oup.com/gerontologist/article-abstract/46/6/726/584645?login=false" TargetMode="External" Id="Re10ca6d33abd48b7" /><Relationship Type="http://schemas.openxmlformats.org/officeDocument/2006/relationships/hyperlink" Target="https://ijal.se/article/view/1471" TargetMode="External" Id="Rfb27d1df1ef448c0" /><Relationship Type="http://schemas.openxmlformats.org/officeDocument/2006/relationships/hyperlink" Target="https://psycnet.apa.org/record/1962-00847-001" TargetMode="External" Id="Re0773114032c4e41" /><Relationship Type="http://schemas.openxmlformats.org/officeDocument/2006/relationships/hyperlink" Target="https://pubmed.ncbi.nlm.nih.gov/12646596/" TargetMode="External" Id="Rfa0a7b2714e54bae" /><Relationship Type="http://schemas.openxmlformats.org/officeDocument/2006/relationships/hyperlink" Target="https://psycnet.apa.org/record/1962-00847-001" TargetMode="External" Id="R83a0919fe1134093" /><Relationship Type="http://schemas.openxmlformats.org/officeDocument/2006/relationships/hyperlink" Target="https://iaap-journals.onlinelibrary.wiley.com/doi/full/10.1111/j.1464-0597.2008.00351.x" TargetMode="External" Id="R9f88353d4c31446b" /><Relationship Type="http://schemas.openxmlformats.org/officeDocument/2006/relationships/hyperlink" Target="https://link.springer.com/rwe/10.1007/978-3-030-22009-9_748" TargetMode="External" Id="Rce047eba41184b1b" /><Relationship Type="http://schemas.openxmlformats.org/officeDocument/2006/relationships/header" Target="/word/header.xml" Id="Ra9e0d84fd87145d6" /><Relationship Type="http://schemas.openxmlformats.org/officeDocument/2006/relationships/footer" Target="/word/footer.xml" Id="R9937ce732cae47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3</revision>
  <dcterms:created xsi:type="dcterms:W3CDTF">2026-03-05T14:47:09.6948373Z</dcterms:created>
  <dcterms:modified xsi:type="dcterms:W3CDTF">2026-03-25T22:10:01.9528945Z</dcterms:modified>
</coreProperties>
</file>