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7F092" w14:textId="6D3183EE" w:rsidR="00397734" w:rsidRDefault="004F02BB" w:rsidP="00214F7C">
      <w:pPr>
        <w:jc w:val="center"/>
        <w:rPr>
          <w:b/>
          <w:bCs/>
          <w:i/>
          <w:iCs/>
          <w:sz w:val="30"/>
          <w:szCs w:val="30"/>
          <w:u w:val="single"/>
          <w:lang w:val="en-US"/>
        </w:rPr>
      </w:pPr>
      <w:r w:rsidRPr="004F02BB">
        <w:rPr>
          <w:b/>
          <w:bCs/>
          <w:i/>
          <w:iCs/>
          <w:sz w:val="30"/>
          <w:szCs w:val="30"/>
          <w:u w:val="single"/>
          <w:lang w:val="en-US"/>
        </w:rPr>
        <w:t xml:space="preserve">Does the existence of evil provide compelling evidence to support the claim: ‘God </w:t>
      </w:r>
      <w:r w:rsidR="00214F7C">
        <w:rPr>
          <w:b/>
          <w:bCs/>
          <w:i/>
          <w:iCs/>
          <w:sz w:val="30"/>
          <w:szCs w:val="30"/>
          <w:u w:val="single"/>
          <w:lang w:val="en-US"/>
        </w:rPr>
        <w:t>D</w:t>
      </w:r>
      <w:r w:rsidRPr="004F02BB">
        <w:rPr>
          <w:b/>
          <w:bCs/>
          <w:i/>
          <w:iCs/>
          <w:sz w:val="30"/>
          <w:szCs w:val="30"/>
          <w:u w:val="single"/>
          <w:lang w:val="en-US"/>
        </w:rPr>
        <w:t xml:space="preserve">oesn’t </w:t>
      </w:r>
      <w:r w:rsidR="00214F7C">
        <w:rPr>
          <w:b/>
          <w:bCs/>
          <w:i/>
          <w:iCs/>
          <w:sz w:val="30"/>
          <w:szCs w:val="30"/>
          <w:u w:val="single"/>
          <w:lang w:val="en-US"/>
        </w:rPr>
        <w:t>E</w:t>
      </w:r>
      <w:r w:rsidRPr="004F02BB">
        <w:rPr>
          <w:b/>
          <w:bCs/>
          <w:i/>
          <w:iCs/>
          <w:sz w:val="30"/>
          <w:szCs w:val="30"/>
          <w:u w:val="single"/>
          <w:lang w:val="en-US"/>
        </w:rPr>
        <w:t>xist’?</w:t>
      </w:r>
    </w:p>
    <w:p w14:paraId="16421E53" w14:textId="01922475" w:rsidR="004F02BB" w:rsidRDefault="004F02BB" w:rsidP="004F02BB">
      <w:pPr>
        <w:jc w:val="center"/>
        <w:rPr>
          <w:b/>
          <w:bCs/>
          <w:i/>
          <w:iCs/>
          <w:sz w:val="30"/>
          <w:szCs w:val="30"/>
          <w:u w:val="single"/>
          <w:lang w:val="en-US"/>
        </w:rPr>
      </w:pPr>
    </w:p>
    <w:p w14:paraId="3B4594A2" w14:textId="430F7853" w:rsidR="00A066AA" w:rsidRDefault="00A066AA" w:rsidP="004F02BB">
      <w:pPr>
        <w:rPr>
          <w:sz w:val="24"/>
          <w:szCs w:val="24"/>
          <w:lang w:val="en-US"/>
        </w:rPr>
      </w:pPr>
      <w:r>
        <w:rPr>
          <w:sz w:val="24"/>
          <w:szCs w:val="24"/>
          <w:lang w:val="en-US"/>
        </w:rPr>
        <w:t xml:space="preserve">Every day, evil acts seemingly take place. Evil differs from </w:t>
      </w:r>
      <w:r w:rsidR="00A7697C">
        <w:rPr>
          <w:sz w:val="24"/>
          <w:szCs w:val="24"/>
          <w:lang w:val="en-US"/>
        </w:rPr>
        <w:t>terms such as bad</w:t>
      </w:r>
      <w:r w:rsidR="00B62E55">
        <w:rPr>
          <w:sz w:val="24"/>
          <w:szCs w:val="24"/>
          <w:lang w:val="en-US"/>
        </w:rPr>
        <w:t xml:space="preserve"> and </w:t>
      </w:r>
      <w:r w:rsidR="00A7697C">
        <w:rPr>
          <w:sz w:val="24"/>
          <w:szCs w:val="24"/>
          <w:lang w:val="en-US"/>
        </w:rPr>
        <w:t>suffering</w:t>
      </w:r>
      <w:r w:rsidR="00B62E55">
        <w:rPr>
          <w:sz w:val="24"/>
          <w:szCs w:val="24"/>
          <w:lang w:val="en-US"/>
        </w:rPr>
        <w:t>,</w:t>
      </w:r>
      <w:r w:rsidR="00A7697C">
        <w:rPr>
          <w:sz w:val="24"/>
          <w:szCs w:val="24"/>
          <w:lang w:val="en-US"/>
        </w:rPr>
        <w:t xml:space="preserve"> as evil denotes a form of </w:t>
      </w:r>
      <w:r w:rsidR="00B62E55" w:rsidRPr="00B62E55">
        <w:rPr>
          <w:i/>
          <w:iCs/>
          <w:sz w:val="24"/>
          <w:szCs w:val="24"/>
          <w:lang w:val="en-US"/>
        </w:rPr>
        <w:t>purposeful</w:t>
      </w:r>
      <w:r w:rsidR="00B62E55">
        <w:rPr>
          <w:sz w:val="24"/>
          <w:szCs w:val="24"/>
          <w:lang w:val="en-US"/>
        </w:rPr>
        <w:t xml:space="preserve"> malice or an </w:t>
      </w:r>
      <w:r w:rsidR="00B62E55" w:rsidRPr="00B62E55">
        <w:rPr>
          <w:i/>
          <w:iCs/>
          <w:sz w:val="24"/>
          <w:szCs w:val="24"/>
          <w:lang w:val="en-US"/>
        </w:rPr>
        <w:t>intentional</w:t>
      </w:r>
      <w:r w:rsidR="00B62E55">
        <w:rPr>
          <w:sz w:val="24"/>
          <w:szCs w:val="24"/>
          <w:lang w:val="en-US"/>
        </w:rPr>
        <w:t xml:space="preserve"> cause of suffering</w:t>
      </w:r>
      <w:r w:rsidR="00B62E55">
        <w:rPr>
          <w:rStyle w:val="FootnoteReference"/>
          <w:sz w:val="24"/>
          <w:szCs w:val="24"/>
          <w:lang w:val="en-US"/>
        </w:rPr>
        <w:footnoteReference w:id="1"/>
      </w:r>
      <w:r w:rsidR="00A7697C">
        <w:rPr>
          <w:sz w:val="24"/>
          <w:szCs w:val="24"/>
          <w:lang w:val="en-US"/>
        </w:rPr>
        <w:t xml:space="preserve">. Irreligious and religious alike will invoke questions concerning God’s incompatibility with evil and other forms of suffering and wickedness. Going forward I will attempt to tackle the </w:t>
      </w:r>
      <w:r w:rsidR="00214F7C">
        <w:rPr>
          <w:sz w:val="24"/>
          <w:szCs w:val="24"/>
          <w:lang w:val="en-US"/>
        </w:rPr>
        <w:t xml:space="preserve">question by considering religious scripture </w:t>
      </w:r>
      <w:r w:rsidR="00BF2A31">
        <w:rPr>
          <w:sz w:val="24"/>
          <w:szCs w:val="24"/>
          <w:lang w:val="en-US"/>
        </w:rPr>
        <w:t xml:space="preserve">drawing </w:t>
      </w:r>
      <w:r w:rsidR="00214F7C">
        <w:rPr>
          <w:sz w:val="24"/>
          <w:szCs w:val="24"/>
          <w:lang w:val="en-US"/>
        </w:rPr>
        <w:t xml:space="preserve">on narratives within the Tanakh (Old Testament). I will attempt to </w:t>
      </w:r>
      <w:r w:rsidR="00BF2A31">
        <w:rPr>
          <w:sz w:val="24"/>
          <w:szCs w:val="24"/>
          <w:lang w:val="en-US"/>
        </w:rPr>
        <w:t>highlight the difficulty in asking and answering such a question rather than taken a fixed position.</w:t>
      </w:r>
    </w:p>
    <w:p w14:paraId="4ABCD4D7" w14:textId="77777777" w:rsidR="00A066AA" w:rsidRDefault="00A066AA" w:rsidP="004F02BB">
      <w:pPr>
        <w:rPr>
          <w:sz w:val="24"/>
          <w:szCs w:val="24"/>
          <w:lang w:val="en-US"/>
        </w:rPr>
      </w:pPr>
    </w:p>
    <w:p w14:paraId="5E8D48DC" w14:textId="7763CD03" w:rsidR="004F02BB" w:rsidRDefault="004F02BB" w:rsidP="004F02BB">
      <w:pPr>
        <w:rPr>
          <w:sz w:val="24"/>
          <w:szCs w:val="24"/>
          <w:lang w:val="en-US"/>
        </w:rPr>
      </w:pPr>
      <w:r>
        <w:rPr>
          <w:sz w:val="24"/>
          <w:szCs w:val="24"/>
          <w:lang w:val="en-US"/>
        </w:rPr>
        <w:t>To whom this question concerns will help provide us with a valid approach in answering. My immediate intuition is that the question would mainly be of interest to the following 2 general groups:</w:t>
      </w:r>
    </w:p>
    <w:p w14:paraId="02A768A3" w14:textId="2CD7D82A" w:rsidR="004F02BB" w:rsidRDefault="004F02BB" w:rsidP="004F02BB">
      <w:pPr>
        <w:pStyle w:val="ListParagraph"/>
        <w:numPr>
          <w:ilvl w:val="0"/>
          <w:numId w:val="2"/>
        </w:numPr>
        <w:rPr>
          <w:sz w:val="24"/>
          <w:szCs w:val="24"/>
          <w:lang w:val="en-US"/>
        </w:rPr>
      </w:pPr>
      <w:r>
        <w:rPr>
          <w:sz w:val="24"/>
          <w:szCs w:val="24"/>
          <w:lang w:val="en-US"/>
        </w:rPr>
        <w:t xml:space="preserve">Irreligious people trying to disprove the existence of a literal God </w:t>
      </w:r>
    </w:p>
    <w:p w14:paraId="6F8C8D0F" w14:textId="1F129766" w:rsidR="00FD42E6" w:rsidRDefault="00FD42E6" w:rsidP="004F02BB">
      <w:pPr>
        <w:pStyle w:val="ListParagraph"/>
        <w:numPr>
          <w:ilvl w:val="0"/>
          <w:numId w:val="2"/>
        </w:numPr>
        <w:rPr>
          <w:sz w:val="24"/>
          <w:szCs w:val="24"/>
          <w:lang w:val="en-US"/>
        </w:rPr>
      </w:pPr>
      <w:r>
        <w:rPr>
          <w:sz w:val="24"/>
          <w:szCs w:val="24"/>
          <w:lang w:val="en-US"/>
        </w:rPr>
        <w:t>Religious considering questions of Theodicy</w:t>
      </w:r>
      <w:r>
        <w:rPr>
          <w:rStyle w:val="FootnoteReference"/>
          <w:sz w:val="24"/>
          <w:szCs w:val="24"/>
          <w:lang w:val="en-US"/>
        </w:rPr>
        <w:footnoteReference w:id="2"/>
      </w:r>
      <w:r>
        <w:rPr>
          <w:sz w:val="24"/>
          <w:szCs w:val="24"/>
          <w:lang w:val="en-US"/>
        </w:rPr>
        <w:t xml:space="preserve"> and how evil can be interpreted symbolically.</w:t>
      </w:r>
    </w:p>
    <w:p w14:paraId="7F2C8046" w14:textId="1BE7A498" w:rsidR="00C22827" w:rsidRDefault="00FD42E6" w:rsidP="00FD42E6">
      <w:pPr>
        <w:rPr>
          <w:sz w:val="24"/>
          <w:szCs w:val="24"/>
          <w:lang w:val="en-US"/>
        </w:rPr>
      </w:pPr>
      <w:r>
        <w:rPr>
          <w:sz w:val="24"/>
          <w:szCs w:val="24"/>
          <w:lang w:val="en-US"/>
        </w:rPr>
        <w:t>I consider it vital to make this distinction regarding different foundational perspectives</w:t>
      </w:r>
      <w:r w:rsidR="00C22827">
        <w:rPr>
          <w:sz w:val="24"/>
          <w:szCs w:val="24"/>
          <w:lang w:val="en-US"/>
        </w:rPr>
        <w:t xml:space="preserve">. The scope of this essay can only be taken as a preliminary consideration of a very difficult question. I must therefore narrow my scope of inquiry in a manner that will </w:t>
      </w:r>
      <w:r w:rsidR="007675F0">
        <w:rPr>
          <w:sz w:val="24"/>
          <w:szCs w:val="24"/>
          <w:lang w:val="en-US"/>
        </w:rPr>
        <w:t xml:space="preserve">aid </w:t>
      </w:r>
      <w:r w:rsidR="00C22827">
        <w:rPr>
          <w:sz w:val="24"/>
          <w:szCs w:val="24"/>
          <w:lang w:val="en-US"/>
        </w:rPr>
        <w:t>in answering the question.</w:t>
      </w:r>
      <w:r w:rsidR="007675F0">
        <w:rPr>
          <w:sz w:val="24"/>
          <w:szCs w:val="24"/>
          <w:lang w:val="en-US"/>
        </w:rPr>
        <w:t xml:space="preserve"> Another important feature of this essay is that we will be focusing on the Abrahamic religions.</w:t>
      </w:r>
      <w:r w:rsidR="007675F0">
        <w:rPr>
          <w:rStyle w:val="FootnoteReference"/>
          <w:sz w:val="24"/>
          <w:szCs w:val="24"/>
          <w:lang w:val="en-US"/>
        </w:rPr>
        <w:footnoteReference w:id="3"/>
      </w:r>
      <w:r w:rsidR="007675F0">
        <w:rPr>
          <w:sz w:val="24"/>
          <w:szCs w:val="24"/>
          <w:lang w:val="en-US"/>
        </w:rPr>
        <w:t xml:space="preserve"> The primary reason for doing so is that this is what the question implicitly alludes to. My argument is less a defense of the existence of God but more a criticism of certain arguments trying to point to evil as evidence against God’s existence.</w:t>
      </w:r>
    </w:p>
    <w:p w14:paraId="4BD6D5D0" w14:textId="3B2ACC74" w:rsidR="007675F0" w:rsidRDefault="007675F0" w:rsidP="00FD42E6">
      <w:pPr>
        <w:rPr>
          <w:sz w:val="24"/>
          <w:szCs w:val="24"/>
          <w:lang w:val="en-US"/>
        </w:rPr>
      </w:pPr>
      <w:r>
        <w:rPr>
          <w:sz w:val="24"/>
          <w:szCs w:val="24"/>
          <w:lang w:val="en-US"/>
        </w:rPr>
        <w:t>Concerning the first group of people, I</w:t>
      </w:r>
      <w:r w:rsidR="000762A9">
        <w:rPr>
          <w:sz w:val="24"/>
          <w:szCs w:val="24"/>
          <w:lang w:val="en-US"/>
        </w:rPr>
        <w:t xml:space="preserve"> suspect they are misplaced in the answer they are trying to find</w:t>
      </w:r>
      <w:r>
        <w:rPr>
          <w:sz w:val="24"/>
          <w:szCs w:val="24"/>
          <w:lang w:val="en-US"/>
        </w:rPr>
        <w:t xml:space="preserve">. They are trying to argue the relevance and significance of the term God with what I consider to be a completely misplaced methodology. </w:t>
      </w:r>
      <w:r w:rsidR="000762A9">
        <w:rPr>
          <w:sz w:val="24"/>
          <w:szCs w:val="24"/>
          <w:lang w:val="en-US"/>
        </w:rPr>
        <w:t xml:space="preserve">God is not something to be proved or disproved in the sense of a mathematical equation or an empirical observation. At least this is not how </w:t>
      </w:r>
      <w:r w:rsidR="00AD7F33">
        <w:rPr>
          <w:sz w:val="24"/>
          <w:szCs w:val="24"/>
          <w:lang w:val="en-US"/>
        </w:rPr>
        <w:t xml:space="preserve">I interpret </w:t>
      </w:r>
      <w:r w:rsidR="000762A9">
        <w:rPr>
          <w:sz w:val="24"/>
          <w:szCs w:val="24"/>
          <w:lang w:val="en-US"/>
        </w:rPr>
        <w:t>early religious texts are meant to be read.</w:t>
      </w:r>
      <w:r w:rsidR="00AD7F33">
        <w:rPr>
          <w:sz w:val="24"/>
          <w:szCs w:val="24"/>
          <w:lang w:val="en-US"/>
        </w:rPr>
        <w:t xml:space="preserve"> The nature of Abrahamic religious texts are murky, inconsistent, and obscure. Therefore, canonical texts cannot be taken as positive statements claiming to be factually correct in a contemporary view. They hint at phenomena. Religion is something personal almost by nature. Although interreligious people share iconography and symbolism, they each hold a separate relationship to what they might consider as divine. </w:t>
      </w:r>
      <w:r w:rsidR="000E407E">
        <w:rPr>
          <w:sz w:val="24"/>
          <w:szCs w:val="24"/>
          <w:lang w:val="en-US"/>
        </w:rPr>
        <w:t>Questioning explicitly God’s existence will remain unsatisfactory because.</w:t>
      </w:r>
    </w:p>
    <w:p w14:paraId="4A879F01" w14:textId="5F009E9D" w:rsidR="000E407E" w:rsidRDefault="000E407E" w:rsidP="000E407E">
      <w:pPr>
        <w:pStyle w:val="ListParagraph"/>
        <w:numPr>
          <w:ilvl w:val="0"/>
          <w:numId w:val="3"/>
        </w:numPr>
        <w:rPr>
          <w:sz w:val="24"/>
          <w:szCs w:val="24"/>
          <w:lang w:val="en-US"/>
        </w:rPr>
      </w:pPr>
      <w:r>
        <w:rPr>
          <w:sz w:val="24"/>
          <w:szCs w:val="24"/>
          <w:lang w:val="en-US"/>
        </w:rPr>
        <w:lastRenderedPageBreak/>
        <w:t xml:space="preserve">Without a full comprehension and agreement of the concept described as God, a secondary phenomenon, Evil, would be fully insufficient in proving or disproving the existence of God, rendering it insufficient as an answer. </w:t>
      </w:r>
    </w:p>
    <w:p w14:paraId="35D1D928" w14:textId="3CDD153A" w:rsidR="000E407E" w:rsidRPr="000E407E" w:rsidRDefault="000E407E" w:rsidP="000E407E">
      <w:pPr>
        <w:pStyle w:val="ListParagraph"/>
        <w:numPr>
          <w:ilvl w:val="0"/>
          <w:numId w:val="3"/>
        </w:numPr>
        <w:rPr>
          <w:sz w:val="24"/>
          <w:szCs w:val="24"/>
          <w:lang w:val="en-US"/>
        </w:rPr>
      </w:pPr>
      <w:r>
        <w:rPr>
          <w:sz w:val="24"/>
          <w:szCs w:val="24"/>
          <w:lang w:val="en-US"/>
        </w:rPr>
        <w:t>Even u</w:t>
      </w:r>
      <w:r w:rsidR="006375DD">
        <w:rPr>
          <w:sz w:val="24"/>
          <w:szCs w:val="24"/>
          <w:lang w:val="en-US"/>
        </w:rPr>
        <w:t xml:space="preserve">pon agreement of an </w:t>
      </w:r>
      <w:r w:rsidR="006375DD" w:rsidRPr="006375DD">
        <w:rPr>
          <w:i/>
          <w:iCs/>
          <w:sz w:val="24"/>
          <w:szCs w:val="24"/>
          <w:lang w:val="en-US"/>
        </w:rPr>
        <w:t xml:space="preserve">explicit </w:t>
      </w:r>
      <w:r w:rsidRPr="006375DD">
        <w:rPr>
          <w:i/>
          <w:iCs/>
          <w:sz w:val="24"/>
          <w:szCs w:val="24"/>
          <w:lang w:val="en-US"/>
        </w:rPr>
        <w:t>definition</w:t>
      </w:r>
      <w:r>
        <w:rPr>
          <w:sz w:val="24"/>
          <w:szCs w:val="24"/>
          <w:lang w:val="en-US"/>
        </w:rPr>
        <w:t xml:space="preserve"> for God, </w:t>
      </w:r>
      <w:r w:rsidR="006375DD">
        <w:rPr>
          <w:sz w:val="24"/>
          <w:szCs w:val="24"/>
          <w:lang w:val="en-US"/>
        </w:rPr>
        <w:t>evil</w:t>
      </w:r>
      <w:r>
        <w:rPr>
          <w:sz w:val="24"/>
          <w:szCs w:val="24"/>
          <w:lang w:val="en-US"/>
        </w:rPr>
        <w:t xml:space="preserve"> would not be ‘compelling evidence’ </w:t>
      </w:r>
      <w:r w:rsidR="006375DD">
        <w:rPr>
          <w:sz w:val="24"/>
          <w:szCs w:val="24"/>
          <w:lang w:val="en-US"/>
        </w:rPr>
        <w:t xml:space="preserve">as an agreement of definition does not guarantee a satisfactory view of whatever God is or represents. Therefore, looking for logical discrepancies between evil in the world and canonical texts is not compelling evidence against existence. The truth/existence of phenomena is not a straightforward question than can necessarily be answered by way of deductive logic. </w:t>
      </w:r>
    </w:p>
    <w:p w14:paraId="45BC99CB" w14:textId="77777777" w:rsidR="006375DD" w:rsidRDefault="006375DD" w:rsidP="00FD42E6">
      <w:pPr>
        <w:rPr>
          <w:sz w:val="24"/>
          <w:szCs w:val="24"/>
          <w:lang w:val="en-US"/>
        </w:rPr>
      </w:pPr>
    </w:p>
    <w:p w14:paraId="0CA3ACD6" w14:textId="77777777" w:rsidR="006375DD" w:rsidRDefault="006375DD" w:rsidP="00FD42E6">
      <w:pPr>
        <w:rPr>
          <w:sz w:val="24"/>
          <w:szCs w:val="24"/>
          <w:lang w:val="en-US"/>
        </w:rPr>
      </w:pPr>
      <w:r>
        <w:rPr>
          <w:sz w:val="24"/>
          <w:szCs w:val="24"/>
          <w:lang w:val="en-US"/>
        </w:rPr>
        <w:t>Considering point B) above:</w:t>
      </w:r>
    </w:p>
    <w:p w14:paraId="051A881D" w14:textId="0ACA2BAB" w:rsidR="006375DD" w:rsidRDefault="00C22827" w:rsidP="00FD42E6">
      <w:pPr>
        <w:rPr>
          <w:sz w:val="24"/>
          <w:szCs w:val="24"/>
          <w:lang w:val="en-US"/>
        </w:rPr>
      </w:pPr>
      <w:r>
        <w:rPr>
          <w:sz w:val="24"/>
          <w:szCs w:val="24"/>
          <w:lang w:val="en-US"/>
        </w:rPr>
        <w:t>it</w:t>
      </w:r>
      <w:r w:rsidR="005B40BA">
        <w:rPr>
          <w:sz w:val="24"/>
          <w:szCs w:val="24"/>
          <w:lang w:val="en-US"/>
        </w:rPr>
        <w:t xml:space="preserve"> is</w:t>
      </w:r>
      <w:r w:rsidR="006A5DAA">
        <w:rPr>
          <w:sz w:val="24"/>
          <w:szCs w:val="24"/>
          <w:lang w:val="en-US"/>
        </w:rPr>
        <w:t xml:space="preserve"> difficult to explicate exactly what is meant when asking if something exists or if something is true. This is particularly pertinent to religious scripture but perennial to literature generally. What are we asking if something is true?</w:t>
      </w:r>
      <w:r w:rsidR="006A5DAA">
        <w:rPr>
          <w:rStyle w:val="FootnoteReference"/>
          <w:sz w:val="24"/>
          <w:szCs w:val="24"/>
          <w:lang w:val="en-US"/>
        </w:rPr>
        <w:footnoteReference w:id="4"/>
      </w:r>
      <w:r w:rsidR="006A5DAA">
        <w:rPr>
          <w:sz w:val="24"/>
          <w:szCs w:val="24"/>
          <w:lang w:val="en-US"/>
        </w:rPr>
        <w:t xml:space="preserve"> Consider an example, </w:t>
      </w:r>
      <w:r w:rsidR="006A5DAA" w:rsidRPr="00C22827">
        <w:rPr>
          <w:i/>
          <w:iCs/>
          <w:sz w:val="24"/>
          <w:szCs w:val="24"/>
          <w:lang w:val="en-US"/>
        </w:rPr>
        <w:t>The Boy Who Cried Wolf</w:t>
      </w:r>
      <w:r>
        <w:rPr>
          <w:sz w:val="24"/>
          <w:szCs w:val="24"/>
          <w:lang w:val="en-US"/>
        </w:rPr>
        <w:t xml:space="preserve">. We are generally not concerned whether the events in the story are in fact historical events or not. But we do in fact recognize the existence and truth in the characters and narrative because they show something that we all knew implicitly; How you use words are important, and if you </w:t>
      </w:r>
      <w:r w:rsidR="00AD7F33">
        <w:rPr>
          <w:sz w:val="24"/>
          <w:szCs w:val="24"/>
          <w:lang w:val="en-US"/>
        </w:rPr>
        <w:t>express them carelessly,</w:t>
      </w:r>
      <w:r>
        <w:rPr>
          <w:sz w:val="24"/>
          <w:szCs w:val="24"/>
          <w:lang w:val="en-US"/>
        </w:rPr>
        <w:t xml:space="preserve"> they will lose all meaning to oth</w:t>
      </w:r>
      <w:r w:rsidR="00AD7F33">
        <w:rPr>
          <w:sz w:val="24"/>
          <w:szCs w:val="24"/>
          <w:lang w:val="en-US"/>
        </w:rPr>
        <w:t>ers along with an overall mistrust</w:t>
      </w:r>
      <w:r>
        <w:rPr>
          <w:sz w:val="24"/>
          <w:szCs w:val="24"/>
          <w:lang w:val="en-US"/>
        </w:rPr>
        <w:t xml:space="preserve">. </w:t>
      </w:r>
      <w:r w:rsidR="006375DD">
        <w:rPr>
          <w:sz w:val="24"/>
          <w:szCs w:val="24"/>
          <w:lang w:val="en-US"/>
        </w:rPr>
        <w:t>What can we extrapolate from this example?</w:t>
      </w:r>
    </w:p>
    <w:p w14:paraId="08F9EBA2" w14:textId="0C31EFE8" w:rsidR="006375DD" w:rsidRDefault="006375DD" w:rsidP="00FD42E6">
      <w:pPr>
        <w:rPr>
          <w:sz w:val="24"/>
          <w:szCs w:val="24"/>
          <w:lang w:val="en-US"/>
        </w:rPr>
      </w:pPr>
      <w:r>
        <w:rPr>
          <w:sz w:val="24"/>
          <w:szCs w:val="24"/>
          <w:lang w:val="en-US"/>
        </w:rPr>
        <w:t xml:space="preserve">There are phenomena in the world that are not wholly understood by humans. </w:t>
      </w:r>
      <w:r w:rsidR="0067704C">
        <w:rPr>
          <w:sz w:val="24"/>
          <w:szCs w:val="24"/>
          <w:lang w:val="en-US"/>
        </w:rPr>
        <w:t xml:space="preserve">Phenomena relating to science such as dark matter, Philosophy in the way of platonic forms and problems generally relating to the human physiology and condition. As of now, there is a lack of vocabulary or conceptual model to discuss many of these phenomena. Nonetheless we know many of these things are present in some sense and find it important to attempt to expose them in a tangible way. </w:t>
      </w:r>
    </w:p>
    <w:p w14:paraId="16224ECC" w14:textId="77777777" w:rsidR="00BF2A31" w:rsidRDefault="0067704C" w:rsidP="0067704C">
      <w:pPr>
        <w:jc w:val="both"/>
        <w:rPr>
          <w:sz w:val="24"/>
          <w:szCs w:val="24"/>
          <w:lang w:val="en-US"/>
        </w:rPr>
      </w:pPr>
      <w:r>
        <w:rPr>
          <w:sz w:val="24"/>
          <w:szCs w:val="24"/>
          <w:lang w:val="en-US"/>
        </w:rPr>
        <w:t>We do not fully understand dark matter or love, but we recognize they are true and exist in a way that others comprehend as well. The vocabulary used to describe love compared to dark matter will be starkly different. But if asked to prove if either exists or doesn’t exist, how would you answer? Love cannot be proven or disproven as it is not something we can talk about with full understanding. But we still act as if love exists.</w:t>
      </w:r>
      <w:r w:rsidR="00BF2A31">
        <w:rPr>
          <w:sz w:val="24"/>
          <w:szCs w:val="24"/>
          <w:lang w:val="en-US"/>
        </w:rPr>
        <w:t xml:space="preserve"> To relate this to the question, I would compare the discourse on love to the discourse on God.</w:t>
      </w:r>
    </w:p>
    <w:p w14:paraId="12717B46" w14:textId="4387EFC7" w:rsidR="00BF2A31" w:rsidRDefault="00BF2A31" w:rsidP="0067704C">
      <w:pPr>
        <w:jc w:val="both"/>
        <w:rPr>
          <w:sz w:val="24"/>
          <w:szCs w:val="24"/>
          <w:lang w:val="en-US"/>
        </w:rPr>
      </w:pPr>
      <w:r>
        <w:rPr>
          <w:sz w:val="24"/>
          <w:szCs w:val="24"/>
          <w:lang w:val="en-US"/>
        </w:rPr>
        <w:t>I postulate that when people were writing early religious texts, they were writing about some experience of the divine. Various accounts of a sense of the divine, shared, and personal build up into an oral tradition that can eventually be catalogued into a narrative. This collection of texts was useful for people in interpreting difficult questions of ontology and psychology.</w:t>
      </w:r>
    </w:p>
    <w:p w14:paraId="081A05C9" w14:textId="65711F81" w:rsidR="002900AF" w:rsidRDefault="00BF2A31" w:rsidP="0067704C">
      <w:pPr>
        <w:jc w:val="both"/>
        <w:rPr>
          <w:sz w:val="24"/>
          <w:szCs w:val="24"/>
          <w:lang w:val="en-US"/>
        </w:rPr>
      </w:pPr>
      <w:r>
        <w:rPr>
          <w:sz w:val="24"/>
          <w:szCs w:val="24"/>
          <w:lang w:val="en-US"/>
        </w:rPr>
        <w:t>The Book of Job</w:t>
      </w:r>
      <w:r w:rsidR="002900AF">
        <w:rPr>
          <w:rStyle w:val="FootnoteReference"/>
          <w:sz w:val="24"/>
          <w:szCs w:val="24"/>
          <w:lang w:val="en-US"/>
        </w:rPr>
        <w:footnoteReference w:id="5"/>
      </w:r>
      <w:r>
        <w:rPr>
          <w:sz w:val="24"/>
          <w:szCs w:val="24"/>
          <w:lang w:val="en-US"/>
        </w:rPr>
        <w:t xml:space="preserve"> from the Tanakh tells us about Job, a pious and faithful man who is tested in his beliefs by god’s intervention.</w:t>
      </w:r>
      <w:r w:rsidR="002900AF">
        <w:rPr>
          <w:sz w:val="24"/>
          <w:szCs w:val="24"/>
          <w:lang w:val="en-US"/>
        </w:rPr>
        <w:t xml:space="preserve"> When God inflicts disease on him we get the following </w:t>
      </w:r>
      <w:r w:rsidR="002900AF">
        <w:rPr>
          <w:sz w:val="24"/>
          <w:szCs w:val="24"/>
          <w:lang w:val="en-US"/>
        </w:rPr>
        <w:lastRenderedPageBreak/>
        <w:t>passage, “‘Shall we receive the good at the hand of God, and not receive the bad?’ In all this Job did not sin.”</w:t>
      </w:r>
      <w:r w:rsidR="002900AF">
        <w:rPr>
          <w:rStyle w:val="FootnoteReference"/>
          <w:sz w:val="24"/>
          <w:szCs w:val="24"/>
          <w:lang w:val="en-US"/>
        </w:rPr>
        <w:footnoteReference w:id="6"/>
      </w:r>
      <w:r w:rsidR="002900AF">
        <w:rPr>
          <w:sz w:val="24"/>
          <w:szCs w:val="24"/>
          <w:lang w:val="en-US"/>
        </w:rPr>
        <w:t xml:space="preserve"> </w:t>
      </w:r>
    </w:p>
    <w:p w14:paraId="3FD27201" w14:textId="5EA3C68E" w:rsidR="002900AF" w:rsidRPr="00C22827" w:rsidRDefault="002900AF" w:rsidP="0067704C">
      <w:pPr>
        <w:jc w:val="both"/>
        <w:rPr>
          <w:sz w:val="24"/>
          <w:szCs w:val="24"/>
          <w:lang w:val="en-US"/>
        </w:rPr>
      </w:pPr>
      <w:r>
        <w:rPr>
          <w:sz w:val="24"/>
          <w:szCs w:val="24"/>
          <w:lang w:val="en-US"/>
        </w:rPr>
        <w:t>The reason I draw attention to this particular quote is that even through the eyes of Job, a faithful servant of God, who has been inflicted terrible suffering by God himself; He does not consider evil as evidence that God does not exist.</w:t>
      </w:r>
    </w:p>
    <w:sectPr w:rsidR="002900AF" w:rsidRPr="00C2282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81A1D" w14:textId="77777777" w:rsidR="00B25837" w:rsidRDefault="00B25837" w:rsidP="004F02BB">
      <w:pPr>
        <w:spacing w:after="0" w:line="240" w:lineRule="auto"/>
      </w:pPr>
      <w:r>
        <w:separator/>
      </w:r>
    </w:p>
  </w:endnote>
  <w:endnote w:type="continuationSeparator" w:id="0">
    <w:p w14:paraId="5A873AC4" w14:textId="77777777" w:rsidR="00B25837" w:rsidRDefault="00B25837" w:rsidP="004F0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589FFE" w14:textId="77777777" w:rsidR="00B25837" w:rsidRDefault="00B25837" w:rsidP="004F02BB">
      <w:pPr>
        <w:spacing w:after="0" w:line="240" w:lineRule="auto"/>
      </w:pPr>
      <w:r>
        <w:separator/>
      </w:r>
    </w:p>
  </w:footnote>
  <w:footnote w:type="continuationSeparator" w:id="0">
    <w:p w14:paraId="5531BEFF" w14:textId="77777777" w:rsidR="00B25837" w:rsidRDefault="00B25837" w:rsidP="004F02BB">
      <w:pPr>
        <w:spacing w:after="0" w:line="240" w:lineRule="auto"/>
      </w:pPr>
      <w:r>
        <w:continuationSeparator/>
      </w:r>
    </w:p>
  </w:footnote>
  <w:footnote w:id="1">
    <w:p w14:paraId="08C32D43" w14:textId="0841F393" w:rsidR="00B62E55" w:rsidRPr="00B62E55" w:rsidRDefault="00B62E55">
      <w:pPr>
        <w:pStyle w:val="FootnoteText"/>
      </w:pPr>
      <w:r>
        <w:rPr>
          <w:rStyle w:val="FootnoteReference"/>
        </w:rPr>
        <w:footnoteRef/>
      </w:r>
      <w:r>
        <w:t xml:space="preserve"> Brian Hebblethwaite, </w:t>
      </w:r>
      <w:r>
        <w:rPr>
          <w:i/>
          <w:iCs/>
        </w:rPr>
        <w:t xml:space="preserve">“Evil, Suffering and Religion”, </w:t>
      </w:r>
      <w:r>
        <w:t>(London: Sheldon Press, 1976), p.3</w:t>
      </w:r>
    </w:p>
  </w:footnote>
  <w:footnote w:id="2">
    <w:p w14:paraId="40EE6FA6" w14:textId="338D1547" w:rsidR="00FD42E6" w:rsidRPr="00FD42E6" w:rsidRDefault="00FD42E6">
      <w:pPr>
        <w:pStyle w:val="FootnoteText"/>
        <w:rPr>
          <w:lang w:val="en-US"/>
        </w:rPr>
      </w:pPr>
      <w:r>
        <w:rPr>
          <w:rStyle w:val="FootnoteReference"/>
        </w:rPr>
        <w:footnoteRef/>
      </w:r>
      <w:r>
        <w:t xml:space="preserve"> </w:t>
      </w:r>
      <w:hyperlink r:id="rId1" w:history="1">
        <w:r w:rsidRPr="00E5354C">
          <w:rPr>
            <w:rStyle w:val="Hyperlink"/>
          </w:rPr>
          <w:t>https://www3.dbu.edu/mitchell/theodicy_brief_overview.htm</w:t>
        </w:r>
      </w:hyperlink>
      <w:r>
        <w:t xml:space="preserve">, Accessed 10/9/22 </w:t>
      </w:r>
    </w:p>
  </w:footnote>
  <w:footnote w:id="3">
    <w:p w14:paraId="214F2733" w14:textId="0637284C" w:rsidR="007675F0" w:rsidRPr="007675F0" w:rsidRDefault="007675F0">
      <w:pPr>
        <w:pStyle w:val="FootnoteText"/>
      </w:pPr>
      <w:r>
        <w:rPr>
          <w:rStyle w:val="FootnoteReference"/>
        </w:rPr>
        <w:footnoteRef/>
      </w:r>
      <w:r>
        <w:t xml:space="preserve"> </w:t>
      </w:r>
      <w:r w:rsidRPr="007675F0">
        <w:t>https://www.bl.uk/sacred-texts/articles/the-abrahamic-religions#:~:text=When%20people%20refer%20to%20the,on%20the%20main%20three%20aforementioned.</w:t>
      </w:r>
    </w:p>
  </w:footnote>
  <w:footnote w:id="4">
    <w:p w14:paraId="7BE2E787" w14:textId="4AD915C3" w:rsidR="007675F0" w:rsidRPr="007675F0" w:rsidRDefault="006A5DAA">
      <w:pPr>
        <w:pStyle w:val="FootnoteText"/>
      </w:pPr>
      <w:r>
        <w:rPr>
          <w:rStyle w:val="FootnoteReference"/>
        </w:rPr>
        <w:footnoteRef/>
      </w:r>
      <w:r>
        <w:t xml:space="preserve"> </w:t>
      </w:r>
      <w:hyperlink r:id="rId2" w:history="1">
        <w:r w:rsidRPr="00E5354C">
          <w:rPr>
            <w:rStyle w:val="Hyperlink"/>
          </w:rPr>
          <w:t>https://www.youtube.com/watch?v=pzndbpwJtX0&amp;ab_channel=JordanBPeterson</w:t>
        </w:r>
      </w:hyperlink>
      <w:r>
        <w:t>, 9 Aug 2022</w:t>
      </w:r>
    </w:p>
  </w:footnote>
  <w:footnote w:id="5">
    <w:p w14:paraId="3C790C26" w14:textId="4DCC4321" w:rsidR="002900AF" w:rsidRPr="002900AF" w:rsidRDefault="002900AF">
      <w:pPr>
        <w:pStyle w:val="FootnoteText"/>
        <w:rPr>
          <w:rFonts w:cstheme="minorHAnsi"/>
          <w:lang w:val="en-US"/>
        </w:rPr>
      </w:pPr>
      <w:r w:rsidRPr="002900AF">
        <w:rPr>
          <w:rStyle w:val="FootnoteReference"/>
        </w:rPr>
        <w:footnoteRef/>
      </w:r>
      <w:r w:rsidRPr="002900AF">
        <w:t xml:space="preserve"> </w:t>
      </w:r>
      <w:r w:rsidRPr="002900AF">
        <w:rPr>
          <w:rFonts w:cstheme="minorHAnsi"/>
          <w:color w:val="000000"/>
          <w:spacing w:val="3"/>
          <w:shd w:val="clear" w:color="auto" w:fill="FFFFFF"/>
        </w:rPr>
        <w:t>Brettler, M., Newsom, C., &amp; Perkins, P. (Eds.). (2018). </w:t>
      </w:r>
      <w:r w:rsidRPr="002900AF">
        <w:rPr>
          <w:rFonts w:cstheme="minorHAnsi"/>
          <w:i/>
          <w:iCs/>
          <w:color w:val="000000"/>
          <w:spacing w:val="3"/>
          <w:bdr w:val="none" w:sz="0" w:space="0" w:color="auto" w:frame="1"/>
        </w:rPr>
        <w:t>The New Oxford annotated bible with apocrypha</w:t>
      </w:r>
      <w:r w:rsidRPr="002900AF">
        <w:rPr>
          <w:rFonts w:cstheme="minorHAnsi"/>
          <w:color w:val="000000"/>
          <w:spacing w:val="3"/>
          <w:shd w:val="clear" w:color="auto" w:fill="FFFFFF"/>
        </w:rPr>
        <w:t> (5th ed.). Oxford University Press</w:t>
      </w:r>
      <w:r w:rsidRPr="002900AF">
        <w:rPr>
          <w:rFonts w:cstheme="minorHAnsi"/>
          <w:color w:val="000000"/>
          <w:spacing w:val="3"/>
          <w:shd w:val="clear" w:color="auto" w:fill="FFFFFF"/>
        </w:rPr>
        <w:t>, p.727</w:t>
      </w:r>
    </w:p>
  </w:footnote>
  <w:footnote w:id="6">
    <w:p w14:paraId="193CEF0D" w14:textId="3E5EECBF" w:rsidR="002900AF" w:rsidRPr="002900AF" w:rsidRDefault="002900AF">
      <w:pPr>
        <w:pStyle w:val="FootnoteText"/>
        <w:rPr>
          <w:lang w:val="en-US"/>
        </w:rPr>
      </w:pPr>
      <w:r w:rsidRPr="002900AF">
        <w:rPr>
          <w:rStyle w:val="FootnoteReference"/>
          <w:rFonts w:cstheme="minorHAnsi"/>
        </w:rPr>
        <w:footnoteRef/>
      </w:r>
      <w:r w:rsidRPr="002900AF">
        <w:rPr>
          <w:rFonts w:cstheme="minorHAnsi"/>
        </w:rPr>
        <w:t xml:space="preserve"> </w:t>
      </w:r>
      <w:r w:rsidRPr="002900AF">
        <w:rPr>
          <w:rFonts w:cstheme="minorHAnsi"/>
          <w:color w:val="000000"/>
          <w:spacing w:val="3"/>
          <w:shd w:val="clear" w:color="auto" w:fill="FFFFFF"/>
        </w:rPr>
        <w:t>Brettler, M., Newsom, C., &amp; Perkins, P. (Eds.). (2018). </w:t>
      </w:r>
      <w:r w:rsidRPr="002900AF">
        <w:rPr>
          <w:rFonts w:cstheme="minorHAnsi"/>
          <w:i/>
          <w:iCs/>
          <w:color w:val="000000"/>
          <w:spacing w:val="3"/>
          <w:bdr w:val="none" w:sz="0" w:space="0" w:color="auto" w:frame="1"/>
        </w:rPr>
        <w:t>The New Oxford annotated bible with apocrypha</w:t>
      </w:r>
      <w:r w:rsidRPr="002900AF">
        <w:rPr>
          <w:rFonts w:cstheme="minorHAnsi"/>
          <w:color w:val="000000"/>
          <w:spacing w:val="3"/>
          <w:shd w:val="clear" w:color="auto" w:fill="FFFFFF"/>
        </w:rPr>
        <w:t> (5th ed.). Oxford University Press.</w:t>
      </w:r>
      <w:r w:rsidRPr="002900AF">
        <w:rPr>
          <w:rFonts w:cstheme="minorHAnsi"/>
          <w:color w:val="000000"/>
          <w:spacing w:val="3"/>
          <w:shd w:val="clear" w:color="auto" w:fill="FFFFFF"/>
        </w:rPr>
        <w:t xml:space="preserve"> P.728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693B"/>
    <w:multiLevelType w:val="hybridMultilevel"/>
    <w:tmpl w:val="6066B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70734"/>
    <w:multiLevelType w:val="hybridMultilevel"/>
    <w:tmpl w:val="4406F298"/>
    <w:lvl w:ilvl="0" w:tplc="6B3A21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5F12F1"/>
    <w:multiLevelType w:val="multilevel"/>
    <w:tmpl w:val="94702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8823449">
    <w:abstractNumId w:val="2"/>
  </w:num>
  <w:num w:numId="2" w16cid:durableId="1104573275">
    <w:abstractNumId w:val="0"/>
  </w:num>
  <w:num w:numId="3" w16cid:durableId="2111319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2BB"/>
    <w:rsid w:val="000762A9"/>
    <w:rsid w:val="000E407E"/>
    <w:rsid w:val="00193108"/>
    <w:rsid w:val="00214F7C"/>
    <w:rsid w:val="002900AF"/>
    <w:rsid w:val="00317019"/>
    <w:rsid w:val="004F02BB"/>
    <w:rsid w:val="005B40BA"/>
    <w:rsid w:val="006375DD"/>
    <w:rsid w:val="0067704C"/>
    <w:rsid w:val="006A5DAA"/>
    <w:rsid w:val="007675F0"/>
    <w:rsid w:val="00850C0E"/>
    <w:rsid w:val="008A2CC5"/>
    <w:rsid w:val="00A066AA"/>
    <w:rsid w:val="00A7697C"/>
    <w:rsid w:val="00AD7F33"/>
    <w:rsid w:val="00B25837"/>
    <w:rsid w:val="00B62E55"/>
    <w:rsid w:val="00BF2A31"/>
    <w:rsid w:val="00C22827"/>
    <w:rsid w:val="00FD42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4C47D"/>
  <w15:chartTrackingRefBased/>
  <w15:docId w15:val="{91E265B1-4A8B-4B3F-A93B-EA7C7A7C7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02BB"/>
    <w:pPr>
      <w:ind w:left="720"/>
      <w:contextualSpacing/>
    </w:pPr>
  </w:style>
  <w:style w:type="paragraph" w:styleId="FootnoteText">
    <w:name w:val="footnote text"/>
    <w:basedOn w:val="Normal"/>
    <w:link w:val="FootnoteTextChar"/>
    <w:uiPriority w:val="99"/>
    <w:semiHidden/>
    <w:unhideWhenUsed/>
    <w:rsid w:val="004F02B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02BB"/>
    <w:rPr>
      <w:sz w:val="20"/>
      <w:szCs w:val="20"/>
    </w:rPr>
  </w:style>
  <w:style w:type="character" w:styleId="FootnoteReference">
    <w:name w:val="footnote reference"/>
    <w:basedOn w:val="DefaultParagraphFont"/>
    <w:uiPriority w:val="99"/>
    <w:semiHidden/>
    <w:unhideWhenUsed/>
    <w:rsid w:val="004F02BB"/>
    <w:rPr>
      <w:vertAlign w:val="superscript"/>
    </w:rPr>
  </w:style>
  <w:style w:type="character" w:styleId="Hyperlink">
    <w:name w:val="Hyperlink"/>
    <w:basedOn w:val="DefaultParagraphFont"/>
    <w:uiPriority w:val="99"/>
    <w:unhideWhenUsed/>
    <w:rsid w:val="00FD42E6"/>
    <w:rPr>
      <w:color w:val="0563C1" w:themeColor="hyperlink"/>
      <w:u w:val="single"/>
    </w:rPr>
  </w:style>
  <w:style w:type="character" w:styleId="UnresolvedMention">
    <w:name w:val="Unresolved Mention"/>
    <w:basedOn w:val="DefaultParagraphFont"/>
    <w:uiPriority w:val="99"/>
    <w:semiHidden/>
    <w:unhideWhenUsed/>
    <w:rsid w:val="00FD42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0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2" Type="http://schemas.openxmlformats.org/officeDocument/2006/relationships/hyperlink" Target="https://www.youtube.com/watch?v=pzndbpwJtX0&amp;ab_channel=JordanBPeterson" TargetMode="External"/><Relationship Id="rId1" Type="http://schemas.openxmlformats.org/officeDocument/2006/relationships/hyperlink" Target="https://www3.dbu.edu/mitchell/theodicy_brief_overvie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3</Pages>
  <Words>886</Words>
  <Characters>5056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dc:creator>
  <cp:keywords/>
  <dc:description/>
  <cp:lastModifiedBy>Elis</cp:lastModifiedBy>
  <cp:revision>2</cp:revision>
  <dcterms:created xsi:type="dcterms:W3CDTF">2022-10-09T12:11:00Z</dcterms:created>
  <dcterms:modified xsi:type="dcterms:W3CDTF">2022-10-09T20:22:00Z</dcterms:modified>
</cp:coreProperties>
</file>