
<file path=[Content_Types].xml><?xml version="1.0" encoding="utf-8"?>
<Types xmlns="http://schemas.openxmlformats.org/package/2006/content-types">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7A93" w:rsidRPr="00E93037" w:rsidRDefault="00427A93" w:rsidP="00E93037">
      <w:pPr>
        <w:pStyle w:val="Normal1"/>
        <w:spacing w:line="360" w:lineRule="auto"/>
        <w:jc w:val="center"/>
        <w:rPr>
          <w:rFonts w:eastAsia="Times New Roman"/>
          <w:b/>
          <w:bCs/>
          <w:sz w:val="24"/>
          <w:szCs w:val="24"/>
          <w:lang w:val="en-GB"/>
        </w:rPr>
      </w:pPr>
    </w:p>
    <w:p w:rsidR="00427A93" w:rsidRPr="00E93037" w:rsidRDefault="00427A93" w:rsidP="00E93037">
      <w:pPr>
        <w:pStyle w:val="Normal1"/>
        <w:spacing w:line="360" w:lineRule="auto"/>
        <w:jc w:val="center"/>
        <w:rPr>
          <w:rFonts w:eastAsia="Times New Roman"/>
          <w:b/>
          <w:bCs/>
          <w:sz w:val="24"/>
          <w:szCs w:val="24"/>
          <w:lang w:val="en-GB"/>
        </w:rPr>
      </w:pPr>
    </w:p>
    <w:p w:rsidR="00427A93" w:rsidRPr="00E93037" w:rsidRDefault="00427A93" w:rsidP="00E93037">
      <w:pPr>
        <w:pStyle w:val="Normal1"/>
        <w:spacing w:line="360" w:lineRule="auto"/>
        <w:jc w:val="center"/>
        <w:rPr>
          <w:rFonts w:eastAsia="Times New Roman"/>
          <w:b/>
          <w:bCs/>
          <w:sz w:val="24"/>
          <w:szCs w:val="24"/>
          <w:lang w:val="en-GB"/>
        </w:rPr>
      </w:pPr>
    </w:p>
    <w:p w:rsidR="00E93037" w:rsidRDefault="00E93037" w:rsidP="00E93037">
      <w:pPr>
        <w:pStyle w:val="Normal1"/>
        <w:spacing w:line="360" w:lineRule="auto"/>
        <w:jc w:val="center"/>
        <w:rPr>
          <w:rFonts w:eastAsia="Times New Roman"/>
          <w:b/>
          <w:bCs/>
          <w:sz w:val="28"/>
          <w:szCs w:val="24"/>
          <w:lang w:val="en-GB"/>
        </w:rPr>
      </w:pPr>
    </w:p>
    <w:p w:rsidR="00E93037" w:rsidRDefault="00E93037" w:rsidP="00E93037">
      <w:pPr>
        <w:pStyle w:val="Normal1"/>
        <w:spacing w:line="360" w:lineRule="auto"/>
        <w:jc w:val="center"/>
        <w:rPr>
          <w:rFonts w:eastAsia="Times New Roman"/>
          <w:b/>
          <w:bCs/>
          <w:sz w:val="28"/>
          <w:szCs w:val="24"/>
          <w:lang w:val="en-GB"/>
        </w:rPr>
      </w:pPr>
    </w:p>
    <w:p w:rsidR="00427A93" w:rsidRPr="00E93037" w:rsidRDefault="00AC15A7" w:rsidP="00E93037">
      <w:pPr>
        <w:pStyle w:val="Normal1"/>
        <w:spacing w:line="360" w:lineRule="auto"/>
        <w:jc w:val="center"/>
        <w:rPr>
          <w:rFonts w:eastAsia="Times New Roman"/>
          <w:b/>
          <w:bCs/>
          <w:sz w:val="28"/>
          <w:szCs w:val="24"/>
          <w:lang w:val="en-GB"/>
        </w:rPr>
      </w:pPr>
      <w:r w:rsidRPr="00E93037">
        <w:rPr>
          <w:rFonts w:eastAsia="Times New Roman"/>
          <w:b/>
          <w:bCs/>
          <w:sz w:val="28"/>
          <w:szCs w:val="24"/>
          <w:lang w:val="en-GB"/>
        </w:rPr>
        <w:t>BA (Hons) Leadership and Management Skills for the Workplace</w:t>
      </w:r>
    </w:p>
    <w:p w:rsidR="00427A93" w:rsidRPr="00E93037" w:rsidRDefault="00AC15A7" w:rsidP="00E93037">
      <w:pPr>
        <w:pStyle w:val="Normal1"/>
        <w:spacing w:line="360" w:lineRule="auto"/>
        <w:jc w:val="center"/>
        <w:rPr>
          <w:rFonts w:eastAsia="Times New Roman"/>
          <w:b/>
          <w:bCs/>
          <w:sz w:val="28"/>
          <w:szCs w:val="24"/>
          <w:lang w:val="en-GB"/>
        </w:rPr>
      </w:pPr>
      <w:r w:rsidRPr="00E93037">
        <w:rPr>
          <w:rFonts w:eastAsia="Times New Roman"/>
          <w:b/>
          <w:bCs/>
          <w:sz w:val="28"/>
          <w:szCs w:val="24"/>
          <w:lang w:val="en-GB"/>
        </w:rPr>
        <w:t>LCLM5002: Developing and Managing Individuals and Teams</w:t>
      </w:r>
    </w:p>
    <w:p w:rsidR="00427A93" w:rsidRDefault="00AC15A7" w:rsidP="00E93037">
      <w:pPr>
        <w:pStyle w:val="Normal1"/>
        <w:spacing w:line="360" w:lineRule="auto"/>
        <w:jc w:val="center"/>
        <w:rPr>
          <w:rFonts w:eastAsia="Times New Roman"/>
          <w:b/>
          <w:bCs/>
          <w:sz w:val="28"/>
          <w:szCs w:val="24"/>
          <w:lang w:val="en-GB"/>
        </w:rPr>
      </w:pPr>
      <w:r w:rsidRPr="00E93037">
        <w:rPr>
          <w:rFonts w:eastAsia="Times New Roman"/>
          <w:b/>
          <w:bCs/>
          <w:sz w:val="28"/>
          <w:szCs w:val="24"/>
          <w:lang w:val="en-GB"/>
        </w:rPr>
        <w:t>Component 2- Individual Report</w:t>
      </w:r>
    </w:p>
    <w:p w:rsidR="00E93037" w:rsidRDefault="00E93037" w:rsidP="00E93037">
      <w:pPr>
        <w:pStyle w:val="Normal1"/>
        <w:spacing w:line="360" w:lineRule="auto"/>
        <w:jc w:val="center"/>
        <w:rPr>
          <w:rFonts w:eastAsia="Times New Roman"/>
          <w:b/>
          <w:bCs/>
          <w:sz w:val="28"/>
          <w:szCs w:val="24"/>
          <w:lang w:val="en-GB"/>
        </w:rPr>
      </w:pPr>
    </w:p>
    <w:p w:rsidR="00E93037" w:rsidRPr="00E93037" w:rsidRDefault="00E93037" w:rsidP="00E93037">
      <w:pPr>
        <w:pStyle w:val="Normal1"/>
        <w:spacing w:line="360" w:lineRule="auto"/>
        <w:jc w:val="center"/>
        <w:rPr>
          <w:rFonts w:eastAsia="Times New Roman"/>
          <w:b/>
          <w:bCs/>
          <w:sz w:val="28"/>
          <w:szCs w:val="24"/>
          <w:lang w:val="en-GB"/>
        </w:rPr>
      </w:pPr>
    </w:p>
    <w:p w:rsidR="00427A93" w:rsidRPr="00E93037" w:rsidRDefault="00427A93" w:rsidP="00E93037">
      <w:pPr>
        <w:pStyle w:val="Normal1"/>
        <w:spacing w:line="360" w:lineRule="auto"/>
        <w:jc w:val="center"/>
        <w:rPr>
          <w:rFonts w:eastAsia="Times New Roman"/>
          <w:b/>
          <w:bCs/>
          <w:sz w:val="24"/>
          <w:szCs w:val="24"/>
          <w:lang w:val="en-GB"/>
        </w:rPr>
      </w:pPr>
    </w:p>
    <w:p w:rsidR="00427A93" w:rsidRPr="00E93037" w:rsidRDefault="00AC15A7" w:rsidP="00E93037">
      <w:pPr>
        <w:pStyle w:val="Normal1"/>
        <w:spacing w:line="360" w:lineRule="auto"/>
        <w:jc w:val="center"/>
        <w:rPr>
          <w:rFonts w:eastAsia="Times New Roman"/>
          <w:b/>
          <w:bCs/>
          <w:sz w:val="24"/>
          <w:szCs w:val="24"/>
          <w:lang w:val="en-GB"/>
        </w:rPr>
      </w:pPr>
      <w:r w:rsidRPr="00E93037">
        <w:rPr>
          <w:rFonts w:eastAsia="Times New Roman"/>
          <w:b/>
          <w:bCs/>
          <w:sz w:val="24"/>
          <w:szCs w:val="24"/>
          <w:lang w:val="en-GB"/>
        </w:rPr>
        <w:t>Student Name:</w:t>
      </w:r>
      <w:r w:rsidR="00697ECB">
        <w:rPr>
          <w:rFonts w:eastAsia="Times New Roman"/>
          <w:b/>
          <w:bCs/>
          <w:sz w:val="24"/>
          <w:szCs w:val="24"/>
          <w:lang w:val="en-GB"/>
        </w:rPr>
        <w:t xml:space="preserve"> </w:t>
      </w:r>
      <w:proofErr w:type="spellStart"/>
      <w:r w:rsidR="00697ECB">
        <w:rPr>
          <w:rFonts w:eastAsia="Times New Roman"/>
          <w:b/>
          <w:bCs/>
          <w:sz w:val="24"/>
          <w:szCs w:val="24"/>
          <w:lang w:val="en-GB"/>
        </w:rPr>
        <w:t>Alexandru</w:t>
      </w:r>
      <w:proofErr w:type="spellEnd"/>
      <w:r w:rsidR="00697ECB">
        <w:rPr>
          <w:rFonts w:eastAsia="Times New Roman"/>
          <w:b/>
          <w:bCs/>
          <w:sz w:val="24"/>
          <w:szCs w:val="24"/>
          <w:lang w:val="en-GB"/>
        </w:rPr>
        <w:t xml:space="preserve">-Marian </w:t>
      </w:r>
      <w:proofErr w:type="spellStart"/>
      <w:r w:rsidR="00697ECB">
        <w:rPr>
          <w:rFonts w:eastAsia="Times New Roman"/>
          <w:b/>
          <w:bCs/>
          <w:sz w:val="24"/>
          <w:szCs w:val="24"/>
          <w:lang w:val="en-GB"/>
        </w:rPr>
        <w:t>Balsanu</w:t>
      </w:r>
      <w:proofErr w:type="spellEnd"/>
    </w:p>
    <w:p w:rsidR="00427A93" w:rsidRPr="00E93037" w:rsidRDefault="00AC15A7" w:rsidP="00295A16">
      <w:pPr>
        <w:pStyle w:val="Normal1"/>
        <w:spacing w:line="360" w:lineRule="auto"/>
        <w:jc w:val="center"/>
        <w:rPr>
          <w:rFonts w:eastAsia="Times New Roman"/>
          <w:b/>
          <w:bCs/>
          <w:sz w:val="24"/>
          <w:szCs w:val="24"/>
          <w:lang w:val="en-GB"/>
        </w:rPr>
      </w:pPr>
      <w:r w:rsidRPr="00E93037">
        <w:rPr>
          <w:rFonts w:eastAsia="Times New Roman"/>
          <w:b/>
          <w:bCs/>
          <w:sz w:val="24"/>
          <w:szCs w:val="24"/>
          <w:lang w:val="en-GB"/>
        </w:rPr>
        <w:t xml:space="preserve">Student ID: </w:t>
      </w:r>
      <w:r w:rsidR="00697ECB">
        <w:rPr>
          <w:rFonts w:eastAsia="Times New Roman"/>
          <w:b/>
          <w:bCs/>
          <w:sz w:val="24"/>
          <w:szCs w:val="24"/>
          <w:lang w:val="en-GB"/>
        </w:rPr>
        <w:t>1713839</w:t>
      </w:r>
      <w:bookmarkStart w:id="0" w:name="_GoBack"/>
      <w:bookmarkEnd w:id="0"/>
    </w:p>
    <w:p w:rsidR="00427A93" w:rsidRPr="00E93037" w:rsidRDefault="00AC15A7" w:rsidP="00E93037">
      <w:pPr>
        <w:pStyle w:val="Normal1"/>
        <w:spacing w:line="360" w:lineRule="auto"/>
        <w:jc w:val="center"/>
        <w:rPr>
          <w:rFonts w:eastAsia="Times New Roman"/>
          <w:b/>
          <w:bCs/>
          <w:sz w:val="24"/>
          <w:szCs w:val="24"/>
          <w:lang w:val="en-GB"/>
        </w:rPr>
      </w:pPr>
      <w:r w:rsidRPr="00E93037">
        <w:rPr>
          <w:lang w:val="en-GB"/>
        </w:rPr>
        <w:br w:type="page"/>
      </w:r>
    </w:p>
    <w:sdt>
      <w:sdtPr>
        <w:rPr>
          <w:rFonts w:ascii="Arial" w:eastAsia="Arial" w:hAnsi="Arial" w:cs="Arial"/>
          <w:b w:val="0"/>
          <w:bCs w:val="0"/>
          <w:color w:val="000000" w:themeColor="text1"/>
          <w:sz w:val="22"/>
          <w:szCs w:val="22"/>
        </w:rPr>
        <w:id w:val="14930205"/>
        <w:docPartObj>
          <w:docPartGallery w:val="Table of Contents"/>
          <w:docPartUnique/>
        </w:docPartObj>
      </w:sdtPr>
      <w:sdtEndPr>
        <w:rPr>
          <w:color w:val="auto"/>
        </w:rPr>
      </w:sdtEndPr>
      <w:sdtContent>
        <w:p w:rsidR="00E93037" w:rsidRPr="00E93037" w:rsidRDefault="00E93037" w:rsidP="00E93037">
          <w:pPr>
            <w:pStyle w:val="TOCHeading"/>
            <w:spacing w:line="360" w:lineRule="auto"/>
            <w:jc w:val="center"/>
            <w:rPr>
              <w:rFonts w:ascii="Arial" w:hAnsi="Arial" w:cs="Arial"/>
              <w:color w:val="000000" w:themeColor="text1"/>
              <w:sz w:val="22"/>
              <w:szCs w:val="22"/>
            </w:rPr>
          </w:pPr>
          <w:r w:rsidRPr="00E93037">
            <w:rPr>
              <w:rFonts w:ascii="Arial" w:hAnsi="Arial" w:cs="Arial"/>
              <w:color w:val="000000" w:themeColor="text1"/>
              <w:sz w:val="22"/>
              <w:szCs w:val="22"/>
            </w:rPr>
            <w:t>Table of Contents</w:t>
          </w:r>
        </w:p>
        <w:p w:rsidR="00E93037" w:rsidRPr="00E93037" w:rsidRDefault="00E93037" w:rsidP="00E93037">
          <w:pPr>
            <w:pStyle w:val="TOC1"/>
            <w:tabs>
              <w:tab w:val="right" w:leader="dot" w:pos="9019"/>
            </w:tabs>
            <w:spacing w:line="360" w:lineRule="auto"/>
            <w:jc w:val="center"/>
            <w:rPr>
              <w:noProof/>
              <w:color w:val="000000" w:themeColor="text1"/>
            </w:rPr>
          </w:pPr>
          <w:r w:rsidRPr="00E93037">
            <w:rPr>
              <w:color w:val="000000" w:themeColor="text1"/>
            </w:rPr>
            <w:fldChar w:fldCharType="begin"/>
          </w:r>
          <w:r w:rsidRPr="00E93037">
            <w:rPr>
              <w:color w:val="000000" w:themeColor="text1"/>
            </w:rPr>
            <w:instrText xml:space="preserve"> TOC \o "1-3" \h \z \u </w:instrText>
          </w:r>
          <w:r w:rsidRPr="00E93037">
            <w:rPr>
              <w:color w:val="000000" w:themeColor="text1"/>
            </w:rPr>
            <w:fldChar w:fldCharType="separate"/>
          </w:r>
          <w:hyperlink w:anchor="_Toc227761313" w:history="1">
            <w:r w:rsidRPr="00E93037">
              <w:rPr>
                <w:rStyle w:val="Hyperlink"/>
                <w:noProof/>
                <w:color w:val="000000" w:themeColor="text1"/>
                <w:lang w:val="en-GB"/>
              </w:rPr>
              <w:t>1. Introduction</w:t>
            </w:r>
            <w:r w:rsidRPr="00E93037">
              <w:rPr>
                <w:noProof/>
                <w:webHidden/>
                <w:color w:val="000000" w:themeColor="text1"/>
              </w:rPr>
              <w:tab/>
            </w:r>
            <w:r w:rsidRPr="00E93037">
              <w:rPr>
                <w:noProof/>
                <w:webHidden/>
                <w:color w:val="000000" w:themeColor="text1"/>
              </w:rPr>
              <w:fldChar w:fldCharType="begin"/>
            </w:r>
            <w:r w:rsidRPr="00E93037">
              <w:rPr>
                <w:noProof/>
                <w:webHidden/>
                <w:color w:val="000000" w:themeColor="text1"/>
              </w:rPr>
              <w:instrText xml:space="preserve"> PAGEREF _Toc227761313 \h </w:instrText>
            </w:r>
            <w:r w:rsidRPr="00E93037">
              <w:rPr>
                <w:noProof/>
                <w:webHidden/>
                <w:color w:val="000000" w:themeColor="text1"/>
              </w:rPr>
            </w:r>
            <w:r w:rsidRPr="00E93037">
              <w:rPr>
                <w:noProof/>
                <w:webHidden/>
                <w:color w:val="000000" w:themeColor="text1"/>
              </w:rPr>
              <w:fldChar w:fldCharType="separate"/>
            </w:r>
            <w:r w:rsidR="007F60E0">
              <w:rPr>
                <w:noProof/>
                <w:webHidden/>
                <w:color w:val="000000" w:themeColor="text1"/>
              </w:rPr>
              <w:t>3</w:t>
            </w:r>
            <w:r w:rsidRPr="00E93037">
              <w:rPr>
                <w:noProof/>
                <w:webHidden/>
                <w:color w:val="000000" w:themeColor="text1"/>
              </w:rPr>
              <w:fldChar w:fldCharType="end"/>
            </w:r>
          </w:hyperlink>
        </w:p>
        <w:p w:rsidR="00E93037" w:rsidRPr="00E93037" w:rsidRDefault="000117B7" w:rsidP="00E93037">
          <w:pPr>
            <w:pStyle w:val="TOC1"/>
            <w:tabs>
              <w:tab w:val="right" w:leader="dot" w:pos="9019"/>
            </w:tabs>
            <w:spacing w:line="360" w:lineRule="auto"/>
            <w:jc w:val="center"/>
            <w:rPr>
              <w:noProof/>
              <w:color w:val="000000" w:themeColor="text1"/>
            </w:rPr>
          </w:pPr>
          <w:hyperlink w:anchor="_Toc227761314" w:history="1">
            <w:r w:rsidR="00E93037" w:rsidRPr="00E93037">
              <w:rPr>
                <w:rStyle w:val="Hyperlink"/>
                <w:noProof/>
                <w:color w:val="000000" w:themeColor="text1"/>
                <w:lang w:val="en-GB"/>
              </w:rPr>
              <w:t>2. Explanation of the particular factors related to the core strategic pillars of modern HRM</w:t>
            </w:r>
            <w:r w:rsidR="00E93037" w:rsidRPr="00E93037">
              <w:rPr>
                <w:noProof/>
                <w:webHidden/>
                <w:color w:val="000000" w:themeColor="text1"/>
              </w:rPr>
              <w:tab/>
            </w:r>
            <w:r w:rsidR="00E93037" w:rsidRPr="00E93037">
              <w:rPr>
                <w:noProof/>
                <w:webHidden/>
                <w:color w:val="000000" w:themeColor="text1"/>
              </w:rPr>
              <w:fldChar w:fldCharType="begin"/>
            </w:r>
            <w:r w:rsidR="00E93037" w:rsidRPr="00E93037">
              <w:rPr>
                <w:noProof/>
                <w:webHidden/>
                <w:color w:val="000000" w:themeColor="text1"/>
              </w:rPr>
              <w:instrText xml:space="preserve"> PAGEREF _Toc227761314 \h </w:instrText>
            </w:r>
            <w:r w:rsidR="00E93037" w:rsidRPr="00E93037">
              <w:rPr>
                <w:noProof/>
                <w:webHidden/>
                <w:color w:val="000000" w:themeColor="text1"/>
              </w:rPr>
            </w:r>
            <w:r w:rsidR="00E93037" w:rsidRPr="00E93037">
              <w:rPr>
                <w:noProof/>
                <w:webHidden/>
                <w:color w:val="000000" w:themeColor="text1"/>
              </w:rPr>
              <w:fldChar w:fldCharType="separate"/>
            </w:r>
            <w:r w:rsidR="007F60E0">
              <w:rPr>
                <w:noProof/>
                <w:webHidden/>
                <w:color w:val="000000" w:themeColor="text1"/>
              </w:rPr>
              <w:t>4</w:t>
            </w:r>
            <w:r w:rsidR="00E93037" w:rsidRPr="00E93037">
              <w:rPr>
                <w:noProof/>
                <w:webHidden/>
                <w:color w:val="000000" w:themeColor="text1"/>
              </w:rPr>
              <w:fldChar w:fldCharType="end"/>
            </w:r>
          </w:hyperlink>
        </w:p>
        <w:p w:rsidR="00E93037" w:rsidRPr="00E93037" w:rsidRDefault="000117B7" w:rsidP="00E93037">
          <w:pPr>
            <w:pStyle w:val="TOC1"/>
            <w:tabs>
              <w:tab w:val="right" w:leader="dot" w:pos="9019"/>
            </w:tabs>
            <w:spacing w:line="360" w:lineRule="auto"/>
            <w:rPr>
              <w:noProof/>
              <w:color w:val="000000" w:themeColor="text1"/>
            </w:rPr>
          </w:pPr>
          <w:hyperlink w:anchor="_Toc227761315" w:history="1">
            <w:r w:rsidR="00E93037" w:rsidRPr="00E93037">
              <w:rPr>
                <w:rStyle w:val="Hyperlink"/>
                <w:noProof/>
                <w:color w:val="000000" w:themeColor="text1"/>
                <w:lang w:val="en-GB"/>
              </w:rPr>
              <w:t>3. Explanation of the different contemporary HR practices to address each aforementioned factor</w:t>
            </w:r>
            <w:r w:rsidR="00E93037" w:rsidRPr="00E93037">
              <w:rPr>
                <w:noProof/>
                <w:webHidden/>
                <w:color w:val="000000" w:themeColor="text1"/>
              </w:rPr>
              <w:tab/>
            </w:r>
            <w:r w:rsidR="00E93037" w:rsidRPr="00E93037">
              <w:rPr>
                <w:noProof/>
                <w:webHidden/>
                <w:color w:val="000000" w:themeColor="text1"/>
              </w:rPr>
              <w:fldChar w:fldCharType="begin"/>
            </w:r>
            <w:r w:rsidR="00E93037" w:rsidRPr="00E93037">
              <w:rPr>
                <w:noProof/>
                <w:webHidden/>
                <w:color w:val="000000" w:themeColor="text1"/>
              </w:rPr>
              <w:instrText xml:space="preserve"> PAGEREF _Toc227761315 \h </w:instrText>
            </w:r>
            <w:r w:rsidR="00E93037" w:rsidRPr="00E93037">
              <w:rPr>
                <w:noProof/>
                <w:webHidden/>
                <w:color w:val="000000" w:themeColor="text1"/>
              </w:rPr>
            </w:r>
            <w:r w:rsidR="00E93037" w:rsidRPr="00E93037">
              <w:rPr>
                <w:noProof/>
                <w:webHidden/>
                <w:color w:val="000000" w:themeColor="text1"/>
              </w:rPr>
              <w:fldChar w:fldCharType="separate"/>
            </w:r>
            <w:r w:rsidR="007F60E0">
              <w:rPr>
                <w:noProof/>
                <w:webHidden/>
                <w:color w:val="000000" w:themeColor="text1"/>
              </w:rPr>
              <w:t>7</w:t>
            </w:r>
            <w:r w:rsidR="00E93037" w:rsidRPr="00E93037">
              <w:rPr>
                <w:noProof/>
                <w:webHidden/>
                <w:color w:val="000000" w:themeColor="text1"/>
              </w:rPr>
              <w:fldChar w:fldCharType="end"/>
            </w:r>
          </w:hyperlink>
        </w:p>
        <w:p w:rsidR="00E93037" w:rsidRPr="00E93037" w:rsidRDefault="000117B7" w:rsidP="00E93037">
          <w:pPr>
            <w:pStyle w:val="TOC1"/>
            <w:tabs>
              <w:tab w:val="right" w:leader="dot" w:pos="9019"/>
            </w:tabs>
            <w:spacing w:line="360" w:lineRule="auto"/>
            <w:rPr>
              <w:noProof/>
              <w:color w:val="000000" w:themeColor="text1"/>
            </w:rPr>
          </w:pPr>
          <w:hyperlink w:anchor="_Toc227761316" w:history="1">
            <w:r w:rsidR="00E93037" w:rsidRPr="00E93037">
              <w:rPr>
                <w:rStyle w:val="Hyperlink"/>
                <w:noProof/>
                <w:color w:val="000000" w:themeColor="text1"/>
                <w:lang w:val="en-GB"/>
              </w:rPr>
              <w:t>4. Critical evaluation of practices by departmental managers to ensure these contemporary practices</w:t>
            </w:r>
            <w:r w:rsidR="00E93037" w:rsidRPr="00E93037">
              <w:rPr>
                <w:noProof/>
                <w:webHidden/>
                <w:color w:val="000000" w:themeColor="text1"/>
              </w:rPr>
              <w:tab/>
            </w:r>
            <w:r w:rsidR="00E93037" w:rsidRPr="00E93037">
              <w:rPr>
                <w:noProof/>
                <w:webHidden/>
                <w:color w:val="000000" w:themeColor="text1"/>
              </w:rPr>
              <w:fldChar w:fldCharType="begin"/>
            </w:r>
            <w:r w:rsidR="00E93037" w:rsidRPr="00E93037">
              <w:rPr>
                <w:noProof/>
                <w:webHidden/>
                <w:color w:val="000000" w:themeColor="text1"/>
              </w:rPr>
              <w:instrText xml:space="preserve"> PAGEREF _Toc227761316 \h </w:instrText>
            </w:r>
            <w:r w:rsidR="00E93037" w:rsidRPr="00E93037">
              <w:rPr>
                <w:noProof/>
                <w:webHidden/>
                <w:color w:val="000000" w:themeColor="text1"/>
              </w:rPr>
            </w:r>
            <w:r w:rsidR="00E93037" w:rsidRPr="00E93037">
              <w:rPr>
                <w:noProof/>
                <w:webHidden/>
                <w:color w:val="000000" w:themeColor="text1"/>
              </w:rPr>
              <w:fldChar w:fldCharType="separate"/>
            </w:r>
            <w:r w:rsidR="007F60E0">
              <w:rPr>
                <w:noProof/>
                <w:webHidden/>
                <w:color w:val="000000" w:themeColor="text1"/>
              </w:rPr>
              <w:t>9</w:t>
            </w:r>
            <w:r w:rsidR="00E93037" w:rsidRPr="00E93037">
              <w:rPr>
                <w:noProof/>
                <w:webHidden/>
                <w:color w:val="000000" w:themeColor="text1"/>
              </w:rPr>
              <w:fldChar w:fldCharType="end"/>
            </w:r>
          </w:hyperlink>
        </w:p>
        <w:p w:rsidR="00E93037" w:rsidRPr="00E93037" w:rsidRDefault="000117B7" w:rsidP="00E93037">
          <w:pPr>
            <w:pStyle w:val="TOC1"/>
            <w:tabs>
              <w:tab w:val="right" w:leader="dot" w:pos="9019"/>
            </w:tabs>
            <w:spacing w:line="360" w:lineRule="auto"/>
            <w:jc w:val="center"/>
            <w:rPr>
              <w:noProof/>
              <w:color w:val="000000" w:themeColor="text1"/>
            </w:rPr>
          </w:pPr>
          <w:hyperlink w:anchor="_Toc227761317" w:history="1">
            <w:r w:rsidR="00E93037" w:rsidRPr="00E93037">
              <w:rPr>
                <w:rStyle w:val="Hyperlink"/>
                <w:noProof/>
                <w:color w:val="000000" w:themeColor="text1"/>
                <w:lang w:val="en-GB"/>
              </w:rPr>
              <w:t>5. Recommendation</w:t>
            </w:r>
            <w:r w:rsidR="003D73D0">
              <w:rPr>
                <w:rStyle w:val="Hyperlink"/>
                <w:noProof/>
                <w:color w:val="000000" w:themeColor="text1"/>
                <w:lang w:val="en-GB"/>
              </w:rPr>
              <w:t>s</w:t>
            </w:r>
            <w:r w:rsidR="00E93037" w:rsidRPr="00E93037">
              <w:rPr>
                <w:noProof/>
                <w:webHidden/>
                <w:color w:val="000000" w:themeColor="text1"/>
              </w:rPr>
              <w:tab/>
            </w:r>
            <w:r w:rsidR="00E93037" w:rsidRPr="00E93037">
              <w:rPr>
                <w:noProof/>
                <w:webHidden/>
                <w:color w:val="000000" w:themeColor="text1"/>
              </w:rPr>
              <w:fldChar w:fldCharType="begin"/>
            </w:r>
            <w:r w:rsidR="00E93037" w:rsidRPr="00E93037">
              <w:rPr>
                <w:noProof/>
                <w:webHidden/>
                <w:color w:val="000000" w:themeColor="text1"/>
              </w:rPr>
              <w:instrText xml:space="preserve"> PAGEREF _Toc227761317 \h </w:instrText>
            </w:r>
            <w:r w:rsidR="00E93037" w:rsidRPr="00E93037">
              <w:rPr>
                <w:noProof/>
                <w:webHidden/>
                <w:color w:val="000000" w:themeColor="text1"/>
              </w:rPr>
            </w:r>
            <w:r w:rsidR="00E93037" w:rsidRPr="00E93037">
              <w:rPr>
                <w:noProof/>
                <w:webHidden/>
                <w:color w:val="000000" w:themeColor="text1"/>
              </w:rPr>
              <w:fldChar w:fldCharType="separate"/>
            </w:r>
            <w:r w:rsidR="007F60E0">
              <w:rPr>
                <w:noProof/>
                <w:webHidden/>
                <w:color w:val="000000" w:themeColor="text1"/>
              </w:rPr>
              <w:t>11</w:t>
            </w:r>
            <w:r w:rsidR="00E93037" w:rsidRPr="00E93037">
              <w:rPr>
                <w:noProof/>
                <w:webHidden/>
                <w:color w:val="000000" w:themeColor="text1"/>
              </w:rPr>
              <w:fldChar w:fldCharType="end"/>
            </w:r>
          </w:hyperlink>
        </w:p>
        <w:p w:rsidR="00E93037" w:rsidRPr="00E93037" w:rsidRDefault="000117B7" w:rsidP="00E93037">
          <w:pPr>
            <w:pStyle w:val="TOC1"/>
            <w:tabs>
              <w:tab w:val="right" w:leader="dot" w:pos="9019"/>
            </w:tabs>
            <w:spacing w:line="360" w:lineRule="auto"/>
            <w:jc w:val="center"/>
            <w:rPr>
              <w:noProof/>
              <w:color w:val="000000" w:themeColor="text1"/>
            </w:rPr>
          </w:pPr>
          <w:hyperlink w:anchor="_Toc227761318" w:history="1">
            <w:r w:rsidR="00E93037" w:rsidRPr="00E93037">
              <w:rPr>
                <w:rStyle w:val="Hyperlink"/>
                <w:noProof/>
                <w:color w:val="000000" w:themeColor="text1"/>
                <w:lang w:val="en-GB"/>
              </w:rPr>
              <w:t>6. Conclusion</w:t>
            </w:r>
            <w:r w:rsidR="00E93037" w:rsidRPr="00E93037">
              <w:rPr>
                <w:noProof/>
                <w:webHidden/>
                <w:color w:val="000000" w:themeColor="text1"/>
              </w:rPr>
              <w:tab/>
            </w:r>
            <w:r w:rsidR="00E93037" w:rsidRPr="00E93037">
              <w:rPr>
                <w:noProof/>
                <w:webHidden/>
                <w:color w:val="000000" w:themeColor="text1"/>
              </w:rPr>
              <w:fldChar w:fldCharType="begin"/>
            </w:r>
            <w:r w:rsidR="00E93037" w:rsidRPr="00E93037">
              <w:rPr>
                <w:noProof/>
                <w:webHidden/>
                <w:color w:val="000000" w:themeColor="text1"/>
              </w:rPr>
              <w:instrText xml:space="preserve"> PAGEREF _Toc227761318 \h </w:instrText>
            </w:r>
            <w:r w:rsidR="00E93037" w:rsidRPr="00E93037">
              <w:rPr>
                <w:noProof/>
                <w:webHidden/>
                <w:color w:val="000000" w:themeColor="text1"/>
              </w:rPr>
            </w:r>
            <w:r w:rsidR="00E93037" w:rsidRPr="00E93037">
              <w:rPr>
                <w:noProof/>
                <w:webHidden/>
                <w:color w:val="000000" w:themeColor="text1"/>
              </w:rPr>
              <w:fldChar w:fldCharType="separate"/>
            </w:r>
            <w:r w:rsidR="007F60E0">
              <w:rPr>
                <w:noProof/>
                <w:webHidden/>
                <w:color w:val="000000" w:themeColor="text1"/>
              </w:rPr>
              <w:t>12</w:t>
            </w:r>
            <w:r w:rsidR="00E93037" w:rsidRPr="00E93037">
              <w:rPr>
                <w:noProof/>
                <w:webHidden/>
                <w:color w:val="000000" w:themeColor="text1"/>
              </w:rPr>
              <w:fldChar w:fldCharType="end"/>
            </w:r>
          </w:hyperlink>
        </w:p>
        <w:p w:rsidR="00E93037" w:rsidRPr="00E93037" w:rsidRDefault="000117B7" w:rsidP="00E93037">
          <w:pPr>
            <w:pStyle w:val="TOC1"/>
            <w:tabs>
              <w:tab w:val="right" w:leader="dot" w:pos="9019"/>
            </w:tabs>
            <w:spacing w:line="360" w:lineRule="auto"/>
            <w:jc w:val="center"/>
            <w:rPr>
              <w:noProof/>
              <w:color w:val="000000" w:themeColor="text1"/>
            </w:rPr>
          </w:pPr>
          <w:hyperlink w:anchor="_Toc227761319" w:history="1">
            <w:r w:rsidR="00E93037" w:rsidRPr="00E93037">
              <w:rPr>
                <w:rStyle w:val="Hyperlink"/>
                <w:noProof/>
                <w:color w:val="000000" w:themeColor="text1"/>
                <w:lang w:val="en-GB"/>
              </w:rPr>
              <w:t>7. Reference List</w:t>
            </w:r>
            <w:r w:rsidR="00E93037" w:rsidRPr="00E93037">
              <w:rPr>
                <w:noProof/>
                <w:webHidden/>
                <w:color w:val="000000" w:themeColor="text1"/>
              </w:rPr>
              <w:tab/>
            </w:r>
            <w:r w:rsidR="00E93037" w:rsidRPr="00E93037">
              <w:rPr>
                <w:noProof/>
                <w:webHidden/>
                <w:color w:val="000000" w:themeColor="text1"/>
              </w:rPr>
              <w:fldChar w:fldCharType="begin"/>
            </w:r>
            <w:r w:rsidR="00E93037" w:rsidRPr="00E93037">
              <w:rPr>
                <w:noProof/>
                <w:webHidden/>
                <w:color w:val="000000" w:themeColor="text1"/>
              </w:rPr>
              <w:instrText xml:space="preserve"> PAGEREF _Toc227761319 \h </w:instrText>
            </w:r>
            <w:r w:rsidR="00E93037" w:rsidRPr="00E93037">
              <w:rPr>
                <w:noProof/>
                <w:webHidden/>
                <w:color w:val="000000" w:themeColor="text1"/>
              </w:rPr>
            </w:r>
            <w:r w:rsidR="00E93037" w:rsidRPr="00E93037">
              <w:rPr>
                <w:noProof/>
                <w:webHidden/>
                <w:color w:val="000000" w:themeColor="text1"/>
              </w:rPr>
              <w:fldChar w:fldCharType="separate"/>
            </w:r>
            <w:r w:rsidR="007F60E0">
              <w:rPr>
                <w:noProof/>
                <w:webHidden/>
                <w:color w:val="000000" w:themeColor="text1"/>
              </w:rPr>
              <w:t>13</w:t>
            </w:r>
            <w:r w:rsidR="00E93037" w:rsidRPr="00E93037">
              <w:rPr>
                <w:noProof/>
                <w:webHidden/>
                <w:color w:val="000000" w:themeColor="text1"/>
              </w:rPr>
              <w:fldChar w:fldCharType="end"/>
            </w:r>
          </w:hyperlink>
        </w:p>
        <w:p w:rsidR="00E93037" w:rsidRDefault="00E93037" w:rsidP="00E93037">
          <w:pPr>
            <w:spacing w:line="360" w:lineRule="auto"/>
            <w:jc w:val="center"/>
          </w:pPr>
          <w:r w:rsidRPr="00E93037">
            <w:rPr>
              <w:color w:val="000000" w:themeColor="text1"/>
            </w:rPr>
            <w:fldChar w:fldCharType="end"/>
          </w:r>
        </w:p>
      </w:sdtContent>
    </w:sdt>
    <w:p w:rsidR="00E93037" w:rsidRDefault="00E93037">
      <w:pPr>
        <w:rPr>
          <w:b/>
          <w:sz w:val="24"/>
          <w:szCs w:val="40"/>
          <w:lang w:val="en-GB"/>
        </w:rPr>
      </w:pPr>
      <w:bookmarkStart w:id="1" w:name="_Toc227761313"/>
      <w:r>
        <w:rPr>
          <w:lang w:val="en-GB"/>
        </w:rPr>
        <w:br w:type="page"/>
      </w:r>
    </w:p>
    <w:p w:rsidR="00427A93" w:rsidRPr="00E93037" w:rsidRDefault="00AC15A7" w:rsidP="00E93037">
      <w:pPr>
        <w:pStyle w:val="Heading1"/>
        <w:spacing w:before="0"/>
        <w:rPr>
          <w:b w:val="0"/>
          <w:lang w:val="en-GB"/>
        </w:rPr>
      </w:pPr>
      <w:r w:rsidRPr="00E93037">
        <w:rPr>
          <w:lang w:val="en-GB"/>
        </w:rPr>
        <w:lastRenderedPageBreak/>
        <w:t>1. Introduction</w:t>
      </w:r>
      <w:bookmarkEnd w:id="1"/>
      <w:r w:rsidRPr="00E93037">
        <w:rPr>
          <w:lang w:val="en-GB"/>
        </w:rPr>
        <w:t xml:space="preserve"> </w:t>
      </w:r>
    </w:p>
    <w:p w:rsidR="00427A93" w:rsidRPr="00E93037" w:rsidRDefault="00AC15A7" w:rsidP="00E93037">
      <w:pPr>
        <w:pStyle w:val="Normal1"/>
        <w:spacing w:line="360" w:lineRule="auto"/>
        <w:jc w:val="both"/>
        <w:rPr>
          <w:rFonts w:eastAsia="Times New Roman"/>
          <w:sz w:val="24"/>
          <w:szCs w:val="24"/>
          <w:lang w:val="en-GB"/>
        </w:rPr>
      </w:pPr>
      <w:r w:rsidRPr="00E93037">
        <w:rPr>
          <w:rFonts w:eastAsia="Times New Roman"/>
          <w:sz w:val="24"/>
          <w:szCs w:val="24"/>
          <w:lang w:val="en-GB"/>
        </w:rPr>
        <w:t>Leadership in the workplace aims to inspire, motivate, and set a future vision to drive change, while management involves organising, planning, and directing resources to achieve particular daily operations. HRM (human resource management) handles the key role of leadership and management by aligning leaders' behaviours with company strategy, improving managerial competency, and fostering a trust-based culture (</w:t>
      </w:r>
      <w:r w:rsidRPr="00E93037">
        <w:rPr>
          <w:rFonts w:eastAsia="Times New Roman"/>
          <w:sz w:val="24"/>
          <w:szCs w:val="24"/>
          <w:highlight w:val="white"/>
          <w:lang w:val="en-GB"/>
        </w:rPr>
        <w:t>Hartley, 2025</w:t>
      </w:r>
      <w:r w:rsidRPr="00E93037">
        <w:rPr>
          <w:rFonts w:eastAsia="Times New Roman"/>
          <w:sz w:val="24"/>
          <w:szCs w:val="24"/>
          <w:lang w:val="en-GB"/>
        </w:rPr>
        <w:t xml:space="preserve">). The purpose of the report is to address the key challenges related to the HRM functions of a UK-based company, Burberry Group Plc. The report also aims to demonstrate the key factors related to technological advancement, talent acquisition, retention, and DEI. A critical analysis of the HRM practices of the Burberry Group has been discussed critically in this assessment and makes clear recommendations regarding the key gaps in the overall HRM system.  </w:t>
      </w:r>
    </w:p>
    <w:p w:rsidR="00427A93" w:rsidRPr="00E93037" w:rsidRDefault="00AC15A7" w:rsidP="00E93037">
      <w:pPr>
        <w:pStyle w:val="Normal1"/>
        <w:spacing w:line="360" w:lineRule="auto"/>
        <w:jc w:val="both"/>
        <w:rPr>
          <w:rFonts w:eastAsia="Times New Roman"/>
          <w:b/>
          <w:bCs/>
          <w:sz w:val="24"/>
          <w:szCs w:val="24"/>
          <w:lang w:val="en-GB"/>
        </w:rPr>
      </w:pPr>
      <w:r w:rsidRPr="00E93037">
        <w:rPr>
          <w:lang w:val="en-GB"/>
        </w:rPr>
        <w:br w:type="page"/>
      </w:r>
    </w:p>
    <w:p w:rsidR="00427A93" w:rsidRPr="00E93037" w:rsidRDefault="00AC15A7" w:rsidP="00E93037">
      <w:pPr>
        <w:pStyle w:val="Heading1"/>
        <w:spacing w:before="0"/>
        <w:rPr>
          <w:lang w:val="en-GB"/>
        </w:rPr>
      </w:pPr>
      <w:bookmarkStart w:id="2" w:name="_Toc227761314"/>
      <w:r w:rsidRPr="00E93037">
        <w:rPr>
          <w:lang w:val="en-GB"/>
        </w:rPr>
        <w:lastRenderedPageBreak/>
        <w:t>2. Explanation of the particular factors related to the core strategic pillars of modern HRM</w:t>
      </w:r>
      <w:bookmarkEnd w:id="2"/>
    </w:p>
    <w:p w:rsidR="00427A93" w:rsidRPr="00E93037" w:rsidRDefault="00AC15A7" w:rsidP="00E93037">
      <w:pPr>
        <w:pStyle w:val="Normal1"/>
        <w:spacing w:line="360" w:lineRule="auto"/>
        <w:jc w:val="both"/>
        <w:rPr>
          <w:rFonts w:eastAsia="Times New Roman"/>
          <w:sz w:val="24"/>
          <w:szCs w:val="24"/>
          <w:lang w:val="en-GB"/>
        </w:rPr>
      </w:pPr>
      <w:r w:rsidRPr="00E93037">
        <w:rPr>
          <w:rFonts w:eastAsia="Times New Roman"/>
          <w:b/>
          <w:bCs/>
          <w:sz w:val="24"/>
          <w:szCs w:val="24"/>
          <w:lang w:val="en-GB"/>
        </w:rPr>
        <w:t xml:space="preserve">Meeting up with technological advancement </w:t>
      </w:r>
    </w:p>
    <w:p w:rsidR="00427A93" w:rsidRPr="00E93037" w:rsidRDefault="00AC15A7" w:rsidP="00E93037">
      <w:pPr>
        <w:pStyle w:val="Normal1"/>
        <w:spacing w:line="360" w:lineRule="auto"/>
        <w:jc w:val="both"/>
        <w:rPr>
          <w:rFonts w:eastAsia="Times New Roman"/>
          <w:b/>
          <w:bCs/>
          <w:sz w:val="24"/>
          <w:szCs w:val="24"/>
          <w:lang w:val="en-GB"/>
        </w:rPr>
      </w:pPr>
      <w:r w:rsidRPr="00E93037">
        <w:rPr>
          <w:rFonts w:eastAsia="Times New Roman"/>
          <w:sz w:val="24"/>
          <w:szCs w:val="24"/>
          <w:lang w:val="en-GB"/>
        </w:rPr>
        <w:t xml:space="preserve">Meeting technological advancement in HRM needs </w:t>
      </w:r>
      <w:r w:rsidR="00E93037">
        <w:rPr>
          <w:rFonts w:eastAsia="Times New Roman"/>
          <w:sz w:val="24"/>
          <w:szCs w:val="24"/>
          <w:lang w:val="en-GB"/>
        </w:rPr>
        <w:t>a balance</w:t>
      </w:r>
      <w:r w:rsidRPr="00E93037">
        <w:rPr>
          <w:rFonts w:eastAsia="Times New Roman"/>
          <w:sz w:val="24"/>
          <w:szCs w:val="24"/>
          <w:lang w:val="en-GB"/>
        </w:rPr>
        <w:t xml:space="preserve"> digital adoption with human-centric strategies. Based on the statements of </w:t>
      </w:r>
      <w:proofErr w:type="spellStart"/>
      <w:r w:rsidRPr="00E93037">
        <w:rPr>
          <w:rFonts w:eastAsia="Times New Roman"/>
          <w:sz w:val="24"/>
          <w:szCs w:val="24"/>
          <w:highlight w:val="white"/>
          <w:lang w:val="en-GB"/>
        </w:rPr>
        <w:t>Mogaji</w:t>
      </w:r>
      <w:proofErr w:type="spellEnd"/>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 xml:space="preserve">et al. </w:t>
      </w:r>
      <w:r w:rsidRPr="00E93037">
        <w:rPr>
          <w:rFonts w:eastAsia="Times New Roman"/>
          <w:sz w:val="24"/>
          <w:szCs w:val="24"/>
          <w:lang w:val="en-GB"/>
        </w:rPr>
        <w:t>(2024), the technology acceptance model proposes two particular factors determining the successful integration of technology in business, such as perceived usefulness and perceived ease of use. In this context, workers must believe that new technologies such as AI-enabled recruiting or automated payroll technologies directly develop their performance, strategic decision-making capability, and overall productivity. Burberry makes significant investments in using AI and advanced technologies in its recruitment, hiring, and broader talent operations to develop efficiency and candidate experience. The adoption of advanced technologies in HRM systems by Burberry is viewed as vital for streamlining relevant tasks rather than unnecessary burdens, increasing the adoption rates. On the other hand, the adopted technologies must be perceived as user-friendly and need efforts to master. Reportedly, Burberry provides a range of in-person and virtual learning and development resources, such as self-directed digital learning platforms, B learning and GO1, and an internal Apprenticeship programme (</w:t>
      </w:r>
      <w:r w:rsidRPr="00E93037">
        <w:rPr>
          <w:rFonts w:eastAsia="Times New Roman"/>
          <w:sz w:val="24"/>
          <w:szCs w:val="24"/>
          <w:highlight w:val="white"/>
          <w:lang w:val="en-GB"/>
        </w:rPr>
        <w:t>Burberry, 2026</w:t>
      </w:r>
      <w:r w:rsidRPr="00E93037">
        <w:rPr>
          <w:rFonts w:eastAsia="Times New Roman"/>
          <w:sz w:val="24"/>
          <w:szCs w:val="24"/>
          <w:lang w:val="en-GB"/>
        </w:rPr>
        <w:t xml:space="preserve">). These initiatives of Burberry offer their employees intuitive digital access and training resources for flexibility and rapid skill acquisition, ensuring user-friendly engagement. A successful integration depends on implementing an intuitive interface that includes self-service portals, decreasing the training burdens, which helps in decreasing resistance to change. </w:t>
      </w:r>
      <w:r w:rsidRPr="00E93037">
        <w:rPr>
          <w:lang w:val="en-GB"/>
        </w:rPr>
        <w:br w:type="page"/>
      </w:r>
    </w:p>
    <w:p w:rsidR="00427A93" w:rsidRPr="00E93037" w:rsidRDefault="00AC15A7" w:rsidP="00E93037">
      <w:pPr>
        <w:pStyle w:val="Normal1"/>
        <w:spacing w:line="360" w:lineRule="auto"/>
        <w:jc w:val="both"/>
        <w:rPr>
          <w:rFonts w:eastAsia="Times New Roman"/>
          <w:b/>
          <w:bCs/>
          <w:sz w:val="24"/>
          <w:szCs w:val="24"/>
          <w:lang w:val="en-GB"/>
        </w:rPr>
      </w:pPr>
      <w:r w:rsidRPr="00E93037">
        <w:rPr>
          <w:rFonts w:eastAsia="Times New Roman"/>
          <w:b/>
          <w:bCs/>
          <w:sz w:val="24"/>
          <w:szCs w:val="24"/>
          <w:lang w:val="en-GB"/>
        </w:rPr>
        <w:lastRenderedPageBreak/>
        <w:t xml:space="preserve">Talent Acquisition and Retention </w:t>
      </w:r>
    </w:p>
    <w:p w:rsidR="00427A93" w:rsidRPr="00E93037" w:rsidRDefault="00AC15A7" w:rsidP="00E93037">
      <w:pPr>
        <w:pStyle w:val="Normal1"/>
        <w:spacing w:line="360" w:lineRule="auto"/>
        <w:jc w:val="both"/>
        <w:rPr>
          <w:rFonts w:eastAsia="Times New Roman"/>
          <w:sz w:val="24"/>
          <w:szCs w:val="24"/>
          <w:lang w:val="en-GB"/>
        </w:rPr>
      </w:pPr>
      <w:r w:rsidRPr="00E93037">
        <w:rPr>
          <w:rFonts w:eastAsia="Times New Roman"/>
          <w:sz w:val="24"/>
          <w:szCs w:val="24"/>
          <w:lang w:val="en-GB"/>
        </w:rPr>
        <w:t xml:space="preserve">Effective talent acquisition and retention in modern HRM are critically driven by two particular and interrelated factors, such as cultural fit and employer branding, career development and learning opportunities. According to </w:t>
      </w:r>
      <w:r w:rsidRPr="00E93037">
        <w:rPr>
          <w:rFonts w:eastAsia="Times New Roman"/>
          <w:sz w:val="24"/>
          <w:szCs w:val="24"/>
          <w:highlight w:val="white"/>
          <w:lang w:val="en-GB"/>
        </w:rPr>
        <w:t xml:space="preserve">Leong and Said </w:t>
      </w:r>
      <w:r w:rsidRPr="00E93037">
        <w:rPr>
          <w:rFonts w:eastAsia="Times New Roman"/>
          <w:sz w:val="24"/>
          <w:szCs w:val="24"/>
          <w:lang w:val="en-GB"/>
        </w:rPr>
        <w:t xml:space="preserve">(2024), ASA (attraction-selection-attrition) is a theoretical model that posits that companies become homogeneous over time as similar individuals are attracted, selected and remain in them. Based on the concept of ASA, companies must attract and retain workers whose values align with their brand values. In this context, Burberry provides paid well-being days, offering digital upskilling, and organising employee resource groups, aligning personal passion with brand innovation. These key strategies of Burberry directly attract the right talents, while a positive and inclusive workplace culture ensures that every worker feels safe, which increases loyalty and reduces turnover rate. On the other hand, </w:t>
      </w:r>
      <w:proofErr w:type="spellStart"/>
      <w:r w:rsidRPr="00E93037">
        <w:rPr>
          <w:rFonts w:eastAsia="Times New Roman"/>
          <w:sz w:val="24"/>
          <w:szCs w:val="24"/>
          <w:highlight w:val="white"/>
          <w:lang w:val="en-GB"/>
        </w:rPr>
        <w:t>Rafid</w:t>
      </w:r>
      <w:proofErr w:type="spellEnd"/>
      <w:r w:rsidRPr="00E93037">
        <w:rPr>
          <w:rFonts w:eastAsia="Times New Roman"/>
          <w:sz w:val="24"/>
          <w:szCs w:val="24"/>
          <w:highlight w:val="white"/>
          <w:lang w:val="en-GB"/>
        </w:rPr>
        <w:t xml:space="preserve"> </w:t>
      </w:r>
      <w:r w:rsidRPr="00E93037">
        <w:rPr>
          <w:rFonts w:eastAsia="Times New Roman"/>
          <w:sz w:val="24"/>
          <w:szCs w:val="24"/>
          <w:lang w:val="en-GB"/>
        </w:rPr>
        <w:t xml:space="preserve">(2023) stated that human capital theory posits that training, education, </w:t>
      </w:r>
      <w:r w:rsidR="00E93037" w:rsidRPr="00E93037">
        <w:rPr>
          <w:rFonts w:eastAsia="Times New Roman"/>
          <w:sz w:val="24"/>
          <w:szCs w:val="24"/>
          <w:lang w:val="en-GB"/>
        </w:rPr>
        <w:t>health,</w:t>
      </w:r>
      <w:r w:rsidRPr="00E93037">
        <w:rPr>
          <w:rFonts w:eastAsia="Times New Roman"/>
          <w:sz w:val="24"/>
          <w:szCs w:val="24"/>
          <w:lang w:val="en-GB"/>
        </w:rPr>
        <w:t xml:space="preserve"> and skills are investments, increasing an individual’s productivity, leading to higher future earnings. According to this concept, it can be stated that making significant investments in employee education and training enhances their productivity, which directly aligns with the company's success. For instance, Burberry provides internship and apprenticeship opportunities across the business, and offers a design graduate programme and undergraduate placement year programmes (Burberry, 2026). The clear career paths, mentorship and reskilling opportunities act as the major retention tools, making the workers feel valued and decreasing the likelihood of them seeking better opportunities elsewhere. </w:t>
      </w:r>
    </w:p>
    <w:p w:rsidR="00427A93" w:rsidRPr="00E93037" w:rsidRDefault="00AC15A7" w:rsidP="00E93037">
      <w:pPr>
        <w:pStyle w:val="Normal1"/>
        <w:spacing w:line="360" w:lineRule="auto"/>
        <w:jc w:val="both"/>
        <w:rPr>
          <w:rFonts w:eastAsia="Times New Roman"/>
          <w:b/>
          <w:bCs/>
          <w:sz w:val="24"/>
          <w:szCs w:val="24"/>
          <w:lang w:val="en-GB"/>
        </w:rPr>
      </w:pPr>
      <w:r w:rsidRPr="00E93037">
        <w:rPr>
          <w:lang w:val="en-GB"/>
        </w:rPr>
        <w:br w:type="page"/>
      </w:r>
    </w:p>
    <w:p w:rsidR="00427A93" w:rsidRPr="00E93037" w:rsidRDefault="00AC15A7" w:rsidP="00E93037">
      <w:pPr>
        <w:pStyle w:val="Normal1"/>
        <w:spacing w:line="360" w:lineRule="auto"/>
        <w:jc w:val="both"/>
        <w:rPr>
          <w:rFonts w:eastAsia="Times New Roman"/>
          <w:b/>
          <w:bCs/>
          <w:sz w:val="24"/>
          <w:szCs w:val="24"/>
          <w:lang w:val="en-GB"/>
        </w:rPr>
      </w:pPr>
      <w:r w:rsidRPr="00E93037">
        <w:rPr>
          <w:rFonts w:eastAsia="Times New Roman"/>
          <w:b/>
          <w:bCs/>
          <w:sz w:val="24"/>
          <w:szCs w:val="24"/>
          <w:lang w:val="en-GB"/>
        </w:rPr>
        <w:lastRenderedPageBreak/>
        <w:t xml:space="preserve">Diversity, Equity, and Inclusion (DEI) </w:t>
      </w:r>
    </w:p>
    <w:p w:rsidR="00427A93" w:rsidRPr="00E93037" w:rsidRDefault="00AC15A7" w:rsidP="00E93037">
      <w:pPr>
        <w:pStyle w:val="Normal1"/>
        <w:spacing w:line="360" w:lineRule="auto"/>
        <w:jc w:val="both"/>
        <w:rPr>
          <w:rFonts w:eastAsia="Times New Roman"/>
          <w:sz w:val="24"/>
          <w:szCs w:val="24"/>
          <w:lang w:val="en-GB"/>
        </w:rPr>
      </w:pPr>
      <w:r w:rsidRPr="00E93037">
        <w:rPr>
          <w:rFonts w:eastAsia="Times New Roman"/>
          <w:sz w:val="24"/>
          <w:szCs w:val="24"/>
          <w:lang w:val="en-GB"/>
        </w:rPr>
        <w:t xml:space="preserve">Two specific and unconnected factors that drive DEI are unbiased talent acquisition and structured career advancements, explained through the lens of the Social Identity Theory. Based on the statements of </w:t>
      </w:r>
      <w:r w:rsidRPr="00E93037">
        <w:rPr>
          <w:rFonts w:eastAsia="Times New Roman"/>
          <w:sz w:val="24"/>
          <w:szCs w:val="24"/>
          <w:highlight w:val="white"/>
          <w:lang w:val="en-GB"/>
        </w:rPr>
        <w:t xml:space="preserve">Burke and Stets </w:t>
      </w:r>
      <w:r w:rsidRPr="00E93037">
        <w:rPr>
          <w:rFonts w:eastAsia="Times New Roman"/>
          <w:sz w:val="24"/>
          <w:szCs w:val="24"/>
          <w:lang w:val="en-GB"/>
        </w:rPr>
        <w:t>(2022), social identity theory posits that an individual’s sense of self is derived from their group memberships. This theory emphasises broadening the hiring system and strategies of the organisations to combat the tendency to hire similar individuals. In this context, the global diversity and inclusion strategy of Burberry is focused on valuing and embracing differences and developing an environment where every individual feels safe and secure (</w:t>
      </w:r>
      <w:r w:rsidRPr="00E93037">
        <w:rPr>
          <w:rFonts w:eastAsia="Times New Roman"/>
          <w:sz w:val="24"/>
          <w:szCs w:val="24"/>
          <w:highlight w:val="white"/>
          <w:lang w:val="en-GB"/>
        </w:rPr>
        <w:t>Burberry, 2026a</w:t>
      </w:r>
      <w:r w:rsidRPr="00E93037">
        <w:rPr>
          <w:rFonts w:eastAsia="Times New Roman"/>
          <w:sz w:val="24"/>
          <w:szCs w:val="24"/>
          <w:lang w:val="en-GB"/>
        </w:rPr>
        <w:t xml:space="preserve">). The company uses structured, diverse interview panels and mitigating unconscious bias in recruitment, ensuring varied perspectives according to race, gender, and experience, directly increasing company innovation. On the other hand, HRM must ensure fair access to opportunities for every employee in the workplace, promoting DEI initiatives. According to </w:t>
      </w:r>
      <w:proofErr w:type="spellStart"/>
      <w:r w:rsidRPr="00E93037">
        <w:rPr>
          <w:rFonts w:eastAsia="Times New Roman"/>
          <w:sz w:val="24"/>
          <w:szCs w:val="24"/>
          <w:highlight w:val="white"/>
          <w:lang w:val="en-GB"/>
        </w:rPr>
        <w:t>Bulletti</w:t>
      </w:r>
      <w:proofErr w:type="spellEnd"/>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et al.</w:t>
      </w:r>
      <w:r w:rsidRPr="00E93037">
        <w:rPr>
          <w:rFonts w:eastAsia="Times New Roman"/>
          <w:sz w:val="24"/>
          <w:szCs w:val="24"/>
          <w:highlight w:val="white"/>
          <w:lang w:val="en-GB"/>
        </w:rPr>
        <w:t xml:space="preserve"> </w:t>
      </w:r>
      <w:r w:rsidRPr="00E93037">
        <w:rPr>
          <w:rFonts w:eastAsia="Times New Roman"/>
          <w:sz w:val="24"/>
          <w:szCs w:val="24"/>
          <w:lang w:val="en-GB"/>
        </w:rPr>
        <w:t xml:space="preserve">(2025), equitable career advancement involves creating transparent, merit-based pathways for promotions and reducing individual barriers for taking employment opportunities, hindering underrepresented groups. The HRM team of Burberry successfully manages these key initiatives through mentoring programs and equitable pay audits, fostering equity and ensuring diverse talent is effectively retained. These key practices also elevate the leadership of Burberry, which strengthens the entire organisational performance across the international marketplaces. </w:t>
      </w:r>
    </w:p>
    <w:p w:rsidR="00427A93" w:rsidRPr="00E93037" w:rsidRDefault="00427A93" w:rsidP="00E93037">
      <w:pPr>
        <w:pStyle w:val="Normal1"/>
        <w:spacing w:line="360" w:lineRule="auto"/>
        <w:jc w:val="both"/>
        <w:rPr>
          <w:rFonts w:eastAsia="Times New Roman"/>
          <w:sz w:val="24"/>
          <w:szCs w:val="24"/>
          <w:lang w:val="en-GB"/>
        </w:rPr>
      </w:pPr>
    </w:p>
    <w:p w:rsidR="00427A93" w:rsidRPr="00E93037" w:rsidRDefault="00AC15A7" w:rsidP="00E93037">
      <w:pPr>
        <w:pStyle w:val="Normal1"/>
        <w:spacing w:line="360" w:lineRule="auto"/>
        <w:jc w:val="both"/>
        <w:rPr>
          <w:rFonts w:eastAsia="Times New Roman"/>
          <w:b/>
          <w:bCs/>
          <w:sz w:val="24"/>
          <w:szCs w:val="24"/>
          <w:lang w:val="en-GB"/>
        </w:rPr>
      </w:pPr>
      <w:r w:rsidRPr="00E93037">
        <w:rPr>
          <w:lang w:val="en-GB"/>
        </w:rPr>
        <w:br w:type="page"/>
      </w:r>
    </w:p>
    <w:p w:rsidR="00427A93" w:rsidRPr="00E93037" w:rsidRDefault="00AC15A7" w:rsidP="00E93037">
      <w:pPr>
        <w:pStyle w:val="Heading1"/>
        <w:rPr>
          <w:lang w:val="en-GB"/>
        </w:rPr>
      </w:pPr>
      <w:bookmarkStart w:id="3" w:name="_Toc227761315"/>
      <w:r w:rsidRPr="00E93037">
        <w:rPr>
          <w:lang w:val="en-GB"/>
        </w:rPr>
        <w:lastRenderedPageBreak/>
        <w:t>3. Explanation of the different contemporary HR practices to address each aforementioned factor</w:t>
      </w:r>
      <w:bookmarkEnd w:id="3"/>
    </w:p>
    <w:p w:rsidR="00427A93" w:rsidRPr="00E93037" w:rsidRDefault="00AC15A7" w:rsidP="00E93037">
      <w:pPr>
        <w:pStyle w:val="Normal1"/>
        <w:spacing w:line="360" w:lineRule="auto"/>
        <w:jc w:val="both"/>
        <w:rPr>
          <w:rFonts w:eastAsia="Times New Roman"/>
          <w:b/>
          <w:bCs/>
          <w:sz w:val="24"/>
          <w:szCs w:val="24"/>
          <w:lang w:val="en-GB"/>
        </w:rPr>
      </w:pPr>
      <w:r w:rsidRPr="00E93037">
        <w:rPr>
          <w:rFonts w:eastAsia="Times New Roman"/>
          <w:b/>
          <w:bCs/>
          <w:sz w:val="24"/>
          <w:szCs w:val="24"/>
          <w:lang w:val="en-GB"/>
        </w:rPr>
        <w:t xml:space="preserve">Meeting up with technological advancement </w:t>
      </w:r>
    </w:p>
    <w:p w:rsidR="00427A93" w:rsidRPr="00E93037" w:rsidRDefault="00AC15A7" w:rsidP="00E93037">
      <w:pPr>
        <w:pStyle w:val="Normal1"/>
        <w:spacing w:line="360" w:lineRule="auto"/>
        <w:jc w:val="both"/>
        <w:rPr>
          <w:rFonts w:eastAsia="Times New Roman"/>
          <w:sz w:val="24"/>
          <w:szCs w:val="24"/>
          <w:lang w:val="en-GB"/>
        </w:rPr>
      </w:pPr>
      <w:r w:rsidRPr="00E93037">
        <w:rPr>
          <w:rFonts w:eastAsia="Times New Roman"/>
          <w:sz w:val="24"/>
          <w:szCs w:val="24"/>
          <w:lang w:val="en-GB"/>
        </w:rPr>
        <w:t xml:space="preserve">Modern HRM strategic pillars mainly emphasise agility, with technological advancement acting as the key driver for competitive edge and efficiency. There are key factors such as automation, people analytics, digital experience, upskilling, and change management that </w:t>
      </w:r>
      <w:r w:rsidR="00E93037" w:rsidRPr="00E93037">
        <w:rPr>
          <w:rFonts w:eastAsia="Times New Roman"/>
          <w:sz w:val="24"/>
          <w:szCs w:val="24"/>
          <w:lang w:val="en-GB"/>
        </w:rPr>
        <w:t>affect</w:t>
      </w:r>
      <w:r w:rsidRPr="00E93037">
        <w:rPr>
          <w:rFonts w:eastAsia="Times New Roman"/>
          <w:sz w:val="24"/>
          <w:szCs w:val="24"/>
          <w:lang w:val="en-GB"/>
        </w:rPr>
        <w:t xml:space="preserve"> the overall HRM function of modern organisations in an effective manner. Based on the statements of </w:t>
      </w:r>
      <w:proofErr w:type="spellStart"/>
      <w:r w:rsidRPr="00E93037">
        <w:rPr>
          <w:rFonts w:eastAsia="Times New Roman"/>
          <w:sz w:val="24"/>
          <w:szCs w:val="24"/>
          <w:highlight w:val="white"/>
          <w:lang w:val="en-GB"/>
        </w:rPr>
        <w:t>Ojika</w:t>
      </w:r>
      <w:proofErr w:type="spellEnd"/>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 xml:space="preserve">et al. </w:t>
      </w:r>
      <w:r w:rsidRPr="00E93037">
        <w:rPr>
          <w:rFonts w:eastAsia="Times New Roman"/>
          <w:sz w:val="24"/>
          <w:szCs w:val="24"/>
          <w:lang w:val="en-GB"/>
        </w:rPr>
        <w:t xml:space="preserve">(2022), the implementation of AI refers to a key initiative of a company for routine tasks such as </w:t>
      </w:r>
      <w:proofErr w:type="spellStart"/>
      <w:r w:rsidRPr="00E93037">
        <w:rPr>
          <w:rFonts w:eastAsia="Times New Roman"/>
          <w:sz w:val="24"/>
          <w:szCs w:val="24"/>
          <w:lang w:val="en-GB"/>
        </w:rPr>
        <w:t>onboarding</w:t>
      </w:r>
      <w:proofErr w:type="spellEnd"/>
      <w:r w:rsidRPr="00E93037">
        <w:rPr>
          <w:rFonts w:eastAsia="Times New Roman"/>
          <w:sz w:val="24"/>
          <w:szCs w:val="24"/>
          <w:lang w:val="en-GB"/>
        </w:rPr>
        <w:t xml:space="preserve"> and payroll, decreasing manual errors, and freeing employees for high-value strategic work. For instance, Burberry Group leverages Alloy Automation’s Enterprise </w:t>
      </w:r>
      <w:proofErr w:type="spellStart"/>
      <w:r w:rsidRPr="00E93037">
        <w:rPr>
          <w:rFonts w:eastAsia="Times New Roman"/>
          <w:sz w:val="24"/>
          <w:szCs w:val="24"/>
          <w:lang w:val="en-GB"/>
        </w:rPr>
        <w:t>iPaaS</w:t>
      </w:r>
      <w:proofErr w:type="spellEnd"/>
      <w:r w:rsidRPr="00E93037">
        <w:rPr>
          <w:rFonts w:eastAsia="Times New Roman"/>
          <w:sz w:val="24"/>
          <w:szCs w:val="24"/>
          <w:lang w:val="en-GB"/>
        </w:rPr>
        <w:t>, particularly Allow Flow, which is an AI-powered platform to manage the routine tasks for employees, and automate their internal staff sales, transforming a previously labour-intensive process into an efficient and seamless operation (</w:t>
      </w:r>
      <w:proofErr w:type="spellStart"/>
      <w:r w:rsidRPr="00E93037">
        <w:rPr>
          <w:rFonts w:eastAsia="Times New Roman"/>
          <w:sz w:val="24"/>
          <w:szCs w:val="24"/>
          <w:lang w:val="en-GB"/>
        </w:rPr>
        <w:t>Runalloy</w:t>
      </w:r>
      <w:proofErr w:type="spellEnd"/>
      <w:r w:rsidRPr="00E93037">
        <w:rPr>
          <w:rFonts w:eastAsia="Times New Roman"/>
          <w:sz w:val="24"/>
          <w:szCs w:val="24"/>
          <w:lang w:val="en-GB"/>
        </w:rPr>
        <w:t xml:space="preserve">, 2026). On the other hand, leveraging data-driven insights from HRIS (human resource information system) enhances the ability of </w:t>
      </w:r>
      <w:proofErr w:type="spellStart"/>
      <w:r w:rsidRPr="00E93037">
        <w:rPr>
          <w:rFonts w:eastAsia="Times New Roman"/>
          <w:sz w:val="24"/>
          <w:szCs w:val="24"/>
          <w:lang w:val="en-GB"/>
        </w:rPr>
        <w:t>Berberry</w:t>
      </w:r>
      <w:proofErr w:type="spellEnd"/>
      <w:r w:rsidRPr="00E93037">
        <w:rPr>
          <w:rFonts w:eastAsia="Times New Roman"/>
          <w:sz w:val="24"/>
          <w:szCs w:val="24"/>
          <w:lang w:val="en-GB"/>
        </w:rPr>
        <w:t xml:space="preserve"> Group to make proactive decisions regarding talent acquisition, performance, and retention. </w:t>
      </w:r>
    </w:p>
    <w:p w:rsidR="00427A93" w:rsidRPr="00E93037" w:rsidRDefault="00AC15A7" w:rsidP="00E93037">
      <w:pPr>
        <w:pStyle w:val="Normal1"/>
        <w:spacing w:line="360" w:lineRule="auto"/>
        <w:jc w:val="both"/>
        <w:rPr>
          <w:rFonts w:eastAsia="Times New Roman"/>
          <w:sz w:val="24"/>
          <w:szCs w:val="24"/>
          <w:lang w:val="en-GB"/>
        </w:rPr>
      </w:pPr>
      <w:r w:rsidRPr="00E93037">
        <w:rPr>
          <w:rFonts w:eastAsia="Times New Roman"/>
          <w:sz w:val="24"/>
          <w:szCs w:val="24"/>
          <w:lang w:val="en-GB"/>
        </w:rPr>
        <w:t>Additionally, Burberry Group uses a hybrid, multi-cloud strategy, which is heavily centred on AWS (Amazon Web Services) to support its global retail operations and digital transformation (Amazon Web Services, 2026). The use of AWS increases the digital experiences, as well as enhancing employee engagement and remote work capabilities. In addition, Burberry Group has used luxury client service with Penguin, a Generative AI-enabled discovery and recommendation platform (</w:t>
      </w:r>
      <w:proofErr w:type="spellStart"/>
      <w:r w:rsidRPr="00E93037">
        <w:rPr>
          <w:rFonts w:eastAsia="Times New Roman"/>
          <w:sz w:val="24"/>
          <w:szCs w:val="24"/>
          <w:lang w:val="en-GB"/>
        </w:rPr>
        <w:t>DataIQ</w:t>
      </w:r>
      <w:proofErr w:type="spellEnd"/>
      <w:r w:rsidRPr="00E93037">
        <w:rPr>
          <w:rFonts w:eastAsia="Times New Roman"/>
          <w:sz w:val="24"/>
          <w:szCs w:val="24"/>
          <w:lang w:val="en-GB"/>
        </w:rPr>
        <w:t xml:space="preserve">, 2025). </w:t>
      </w:r>
      <w:r w:rsidR="00E93037" w:rsidRPr="00E93037">
        <w:rPr>
          <w:rFonts w:eastAsia="Times New Roman"/>
          <w:sz w:val="24"/>
          <w:szCs w:val="24"/>
          <w:lang w:val="en-GB"/>
        </w:rPr>
        <w:t>These platform up-skills employees</w:t>
      </w:r>
      <w:r w:rsidRPr="00E93037">
        <w:rPr>
          <w:rFonts w:eastAsia="Times New Roman"/>
          <w:sz w:val="24"/>
          <w:szCs w:val="24"/>
          <w:lang w:val="en-GB"/>
        </w:rPr>
        <w:t xml:space="preserve"> by augm</w:t>
      </w:r>
      <w:r w:rsidR="00E93037">
        <w:rPr>
          <w:rFonts w:eastAsia="Times New Roman"/>
          <w:sz w:val="24"/>
          <w:szCs w:val="24"/>
          <w:lang w:val="en-GB"/>
        </w:rPr>
        <w:t xml:space="preserve">enting them with generative AI as well as </w:t>
      </w:r>
      <w:r w:rsidRPr="00E93037">
        <w:rPr>
          <w:rFonts w:eastAsia="Times New Roman"/>
          <w:sz w:val="24"/>
          <w:szCs w:val="24"/>
          <w:lang w:val="en-GB"/>
        </w:rPr>
        <w:t xml:space="preserve">managing routine tasks, and allowing consultants to focus on creative and high-value </w:t>
      </w:r>
      <w:proofErr w:type="spellStart"/>
      <w:r w:rsidR="00E93037">
        <w:rPr>
          <w:rFonts w:eastAsia="Times New Roman"/>
          <w:sz w:val="24"/>
          <w:szCs w:val="24"/>
          <w:lang w:val="en-GB"/>
        </w:rPr>
        <w:t>clienteling</w:t>
      </w:r>
      <w:proofErr w:type="spellEnd"/>
      <w:r w:rsidR="00E93037">
        <w:rPr>
          <w:rFonts w:eastAsia="Times New Roman"/>
          <w:sz w:val="24"/>
          <w:szCs w:val="24"/>
          <w:lang w:val="en-GB"/>
        </w:rPr>
        <w:t>. The employees of Bu</w:t>
      </w:r>
      <w:r w:rsidRPr="00E93037">
        <w:rPr>
          <w:rFonts w:eastAsia="Times New Roman"/>
          <w:sz w:val="24"/>
          <w:szCs w:val="24"/>
          <w:lang w:val="en-GB"/>
        </w:rPr>
        <w:t xml:space="preserve">rberry learn to interpret AI-enabled, context-rich data and natural language searches by adopting this, ensuring they are digitally fluent and future-ready. Burberry also successfully manages employee resistance during digital transformation, balancing AI adoption with human-centric leadership to handle </w:t>
      </w:r>
      <w:r w:rsidR="00E93037" w:rsidRPr="00E93037">
        <w:rPr>
          <w:rFonts w:eastAsia="Times New Roman"/>
          <w:sz w:val="24"/>
          <w:szCs w:val="24"/>
          <w:lang w:val="en-GB"/>
        </w:rPr>
        <w:t>moral</w:t>
      </w:r>
      <w:r w:rsidRPr="00E93037">
        <w:rPr>
          <w:rFonts w:eastAsia="Times New Roman"/>
          <w:sz w:val="24"/>
          <w:szCs w:val="24"/>
          <w:lang w:val="en-GB"/>
        </w:rPr>
        <w:t xml:space="preserve"> and ethical standards, enhancing the overall HRM functions. </w:t>
      </w:r>
    </w:p>
    <w:p w:rsidR="00427A93" w:rsidRPr="00E93037" w:rsidRDefault="00AC15A7" w:rsidP="00E93037">
      <w:pPr>
        <w:pStyle w:val="Normal1"/>
        <w:spacing w:line="360" w:lineRule="auto"/>
        <w:jc w:val="both"/>
        <w:rPr>
          <w:rFonts w:eastAsia="Times New Roman"/>
          <w:b/>
          <w:bCs/>
          <w:sz w:val="24"/>
          <w:szCs w:val="24"/>
          <w:lang w:val="en-GB"/>
        </w:rPr>
      </w:pPr>
      <w:r w:rsidRPr="00E93037">
        <w:rPr>
          <w:lang w:val="en-GB"/>
        </w:rPr>
        <w:br w:type="page"/>
      </w:r>
    </w:p>
    <w:p w:rsidR="00427A93" w:rsidRPr="00E93037" w:rsidRDefault="00AC15A7" w:rsidP="00E93037">
      <w:pPr>
        <w:pStyle w:val="Normal1"/>
        <w:spacing w:line="360" w:lineRule="auto"/>
        <w:jc w:val="both"/>
        <w:rPr>
          <w:rFonts w:eastAsia="Times New Roman"/>
          <w:b/>
          <w:bCs/>
          <w:sz w:val="24"/>
          <w:szCs w:val="24"/>
          <w:lang w:val="en-GB"/>
        </w:rPr>
      </w:pPr>
      <w:r w:rsidRPr="00E93037">
        <w:rPr>
          <w:rFonts w:eastAsia="Times New Roman"/>
          <w:b/>
          <w:bCs/>
          <w:sz w:val="24"/>
          <w:szCs w:val="24"/>
          <w:lang w:val="en-GB"/>
        </w:rPr>
        <w:lastRenderedPageBreak/>
        <w:t xml:space="preserve">Talent Acquisition and Retention </w:t>
      </w:r>
    </w:p>
    <w:p w:rsidR="00427A93" w:rsidRPr="00E93037" w:rsidRDefault="00AC15A7" w:rsidP="00E93037">
      <w:pPr>
        <w:pStyle w:val="Normal1"/>
        <w:spacing w:line="360" w:lineRule="auto"/>
        <w:jc w:val="both"/>
        <w:rPr>
          <w:rFonts w:eastAsia="Times New Roman"/>
          <w:sz w:val="24"/>
          <w:szCs w:val="24"/>
          <w:lang w:val="en-GB"/>
        </w:rPr>
      </w:pPr>
      <w:r w:rsidRPr="00E93037">
        <w:rPr>
          <w:rFonts w:eastAsia="Times New Roman"/>
          <w:sz w:val="24"/>
          <w:szCs w:val="24"/>
          <w:lang w:val="en-GB"/>
        </w:rPr>
        <w:t xml:space="preserve">The modern HRM of Burberry Group centres </w:t>
      </w:r>
      <w:proofErr w:type="gramStart"/>
      <w:r w:rsidR="007F60E0">
        <w:rPr>
          <w:rFonts w:eastAsia="Times New Roman"/>
          <w:sz w:val="24"/>
          <w:szCs w:val="24"/>
          <w:lang w:val="en-GB"/>
        </w:rPr>
        <w:t>around</w:t>
      </w:r>
      <w:proofErr w:type="gramEnd"/>
      <w:r w:rsidRPr="00E93037">
        <w:rPr>
          <w:rFonts w:eastAsia="Times New Roman"/>
          <w:sz w:val="24"/>
          <w:szCs w:val="24"/>
          <w:lang w:val="en-GB"/>
        </w:rPr>
        <w:t xml:space="preserve"> the development of a high-performance culture as a key pillar under the “Burberry Forward strategy”. Reportedly, Burberry Group highly prioritises inclusivity by employing a “gender decoder” tool in job advertisements as well as utilising anonymous CV screening to avoid bias in the hiring process (</w:t>
      </w:r>
      <w:proofErr w:type="spellStart"/>
      <w:r w:rsidRPr="00E93037">
        <w:rPr>
          <w:rFonts w:eastAsia="Times New Roman"/>
          <w:sz w:val="24"/>
          <w:szCs w:val="24"/>
          <w:lang w:val="en-GB"/>
        </w:rPr>
        <w:t>Burberryplc</w:t>
      </w:r>
      <w:proofErr w:type="spellEnd"/>
      <w:r w:rsidRPr="00E93037">
        <w:rPr>
          <w:rFonts w:eastAsia="Times New Roman"/>
          <w:sz w:val="24"/>
          <w:szCs w:val="24"/>
          <w:lang w:val="en-GB"/>
        </w:rPr>
        <w:t>, 2026). On the other hand, the company also made a high investment in expanding its creative arts scholarship programme internationally to support the next generation in developing their talents (Burberry Plc Corporate, 2020). This requirement approach aims on addressing technical and creative skills essential for luxury craftsmanship, using both targeted external sourcing and internal talent mobility to align with the company’s Modern British Luxury Vision. On the other hand, retention is driven by performance-based rewards, clear career improvement programs, and competitive compensation (</w:t>
      </w:r>
      <w:proofErr w:type="spellStart"/>
      <w:r w:rsidRPr="00E93037">
        <w:rPr>
          <w:rFonts w:eastAsia="Times New Roman"/>
          <w:sz w:val="24"/>
          <w:szCs w:val="24"/>
          <w:highlight w:val="white"/>
          <w:lang w:val="en-GB"/>
        </w:rPr>
        <w:t>Fitri</w:t>
      </w:r>
      <w:proofErr w:type="spellEnd"/>
      <w:r w:rsidRPr="00E93037">
        <w:rPr>
          <w:rFonts w:eastAsia="Times New Roman"/>
          <w:sz w:val="24"/>
          <w:szCs w:val="24"/>
          <w:highlight w:val="white"/>
          <w:lang w:val="en-GB"/>
        </w:rPr>
        <w:t>, 2024</w:t>
      </w:r>
      <w:r w:rsidRPr="00E93037">
        <w:rPr>
          <w:rFonts w:eastAsia="Times New Roman"/>
          <w:sz w:val="24"/>
          <w:szCs w:val="24"/>
          <w:lang w:val="en-GB"/>
        </w:rPr>
        <w:t>). In this context, Burberry Group offers employee discounts and performance-related incentives to its employees and believes in showing appreciation for employees who have invested years of service into the company (</w:t>
      </w:r>
      <w:proofErr w:type="spellStart"/>
      <w:r w:rsidRPr="00E93037">
        <w:rPr>
          <w:rFonts w:eastAsia="Times New Roman"/>
          <w:sz w:val="24"/>
          <w:szCs w:val="24"/>
          <w:lang w:val="en-GB"/>
        </w:rPr>
        <w:t>Burberrycareers</w:t>
      </w:r>
      <w:proofErr w:type="spellEnd"/>
      <w:r w:rsidRPr="00E93037">
        <w:rPr>
          <w:rFonts w:eastAsia="Times New Roman"/>
          <w:sz w:val="24"/>
          <w:szCs w:val="24"/>
          <w:lang w:val="en-GB"/>
        </w:rPr>
        <w:t xml:space="preserve">, 2025). Additionally, Burberry also makes significant investments in workers' well-being, such as a generous global parental leave policy, which is a key initiative to manage employee retention rate in the workplace. </w:t>
      </w:r>
    </w:p>
    <w:p w:rsidR="00427A93" w:rsidRPr="00E93037" w:rsidRDefault="00AC15A7" w:rsidP="00E93037">
      <w:pPr>
        <w:pStyle w:val="Normal1"/>
        <w:spacing w:line="360" w:lineRule="auto"/>
        <w:jc w:val="both"/>
        <w:rPr>
          <w:rFonts w:eastAsia="Times New Roman"/>
          <w:b/>
          <w:bCs/>
          <w:sz w:val="24"/>
          <w:szCs w:val="24"/>
          <w:lang w:val="en-GB"/>
        </w:rPr>
      </w:pPr>
      <w:r w:rsidRPr="00E93037">
        <w:rPr>
          <w:rFonts w:eastAsia="Times New Roman"/>
          <w:b/>
          <w:bCs/>
          <w:sz w:val="24"/>
          <w:szCs w:val="24"/>
          <w:lang w:val="en-GB"/>
        </w:rPr>
        <w:t xml:space="preserve">Diversity, Equity, and Inclusion (DEI) </w:t>
      </w:r>
    </w:p>
    <w:p w:rsidR="00427A93" w:rsidRPr="00E93037" w:rsidRDefault="00AC15A7" w:rsidP="00E93037">
      <w:pPr>
        <w:pStyle w:val="Normal1"/>
        <w:spacing w:line="360" w:lineRule="auto"/>
        <w:jc w:val="both"/>
        <w:rPr>
          <w:rFonts w:eastAsia="Times New Roman"/>
          <w:b/>
          <w:bCs/>
          <w:sz w:val="24"/>
          <w:szCs w:val="24"/>
          <w:lang w:val="en-GB"/>
        </w:rPr>
      </w:pPr>
      <w:r w:rsidRPr="00E93037">
        <w:rPr>
          <w:rFonts w:eastAsia="Times New Roman"/>
          <w:sz w:val="24"/>
          <w:szCs w:val="24"/>
          <w:lang w:val="en-GB"/>
        </w:rPr>
        <w:t>Burberry integrates DEI (diversity, equity, and inclusion) as the key pillar of its Burberry Beyond strategy, targeting to foster a creative and inclusive culture across international markets. In this context, Burberry actively increases diverse representation in management and leadership roles, ensuring gender-balanced hiring to foster inclusion. Additionally, the company is the first luxury retailer to achieve accreditation as a UK real Living Wage employer by the Living Wage Foundation (Burberry Plc Corporate, 2024). It hig</w:t>
      </w:r>
      <w:r w:rsidR="00E93037">
        <w:rPr>
          <w:rFonts w:eastAsia="Times New Roman"/>
          <w:sz w:val="24"/>
          <w:szCs w:val="24"/>
          <w:lang w:val="en-GB"/>
        </w:rPr>
        <w:t>hlights that Bu</w:t>
      </w:r>
      <w:r w:rsidRPr="00E93037">
        <w:rPr>
          <w:rFonts w:eastAsia="Times New Roman"/>
          <w:sz w:val="24"/>
          <w:szCs w:val="24"/>
          <w:lang w:val="en-GB"/>
        </w:rPr>
        <w:t xml:space="preserve">rberry is committed to merit-based career improvement and pays its employees equally, creating an inclusive and diverse workplace. Moreover, Burberry implements global DEI training and a cultural advisory council to ensure a respectful workplace. Hence, these efforts support a high-performance workplace culture by ensuring diverse backgrounds, driving innovation, and success. </w:t>
      </w:r>
    </w:p>
    <w:p w:rsidR="00427A93" w:rsidRPr="00E93037" w:rsidRDefault="00427A93" w:rsidP="00E93037">
      <w:pPr>
        <w:pStyle w:val="Normal1"/>
        <w:spacing w:line="360" w:lineRule="auto"/>
        <w:jc w:val="both"/>
        <w:rPr>
          <w:rFonts w:eastAsia="Times New Roman"/>
          <w:sz w:val="24"/>
          <w:szCs w:val="24"/>
          <w:lang w:val="en-GB"/>
        </w:rPr>
      </w:pPr>
    </w:p>
    <w:p w:rsidR="00427A93" w:rsidRPr="00E93037" w:rsidRDefault="00427A93" w:rsidP="00E93037">
      <w:pPr>
        <w:pStyle w:val="Normal1"/>
        <w:spacing w:line="360" w:lineRule="auto"/>
        <w:jc w:val="both"/>
        <w:rPr>
          <w:rFonts w:eastAsia="Times New Roman"/>
          <w:b/>
          <w:bCs/>
          <w:sz w:val="24"/>
          <w:szCs w:val="24"/>
          <w:lang w:val="en-GB"/>
        </w:rPr>
      </w:pPr>
    </w:p>
    <w:p w:rsidR="00427A93" w:rsidRPr="00E93037" w:rsidRDefault="00E93037" w:rsidP="00E93037">
      <w:pPr>
        <w:pStyle w:val="Heading1"/>
        <w:rPr>
          <w:lang w:val="en-GB"/>
        </w:rPr>
      </w:pPr>
      <w:bookmarkStart w:id="4" w:name="_Toc227761316"/>
      <w:r>
        <w:rPr>
          <w:lang w:val="en-GB"/>
        </w:rPr>
        <w:lastRenderedPageBreak/>
        <w:t>4. C</w:t>
      </w:r>
      <w:r w:rsidR="00AC15A7" w:rsidRPr="00E93037">
        <w:rPr>
          <w:lang w:val="en-GB"/>
        </w:rPr>
        <w:t>ritical evaluation of practices by departmental managers to ensure these contemporary practices</w:t>
      </w:r>
      <w:bookmarkEnd w:id="4"/>
      <w:r w:rsidR="00AC15A7" w:rsidRPr="00E93037">
        <w:rPr>
          <w:lang w:val="en-GB"/>
        </w:rPr>
        <w:t xml:space="preserve"> </w:t>
      </w:r>
    </w:p>
    <w:p w:rsidR="00427A93" w:rsidRPr="00E93037" w:rsidRDefault="00AC15A7" w:rsidP="00E93037">
      <w:pPr>
        <w:pStyle w:val="Normal1"/>
        <w:spacing w:line="360" w:lineRule="auto"/>
        <w:jc w:val="both"/>
        <w:rPr>
          <w:rFonts w:eastAsia="Times New Roman"/>
          <w:sz w:val="24"/>
          <w:szCs w:val="24"/>
          <w:lang w:val="en-GB"/>
        </w:rPr>
      </w:pPr>
      <w:r w:rsidRPr="00E93037">
        <w:rPr>
          <w:rFonts w:eastAsia="Times New Roman"/>
          <w:sz w:val="24"/>
          <w:szCs w:val="24"/>
          <w:lang w:val="en-GB"/>
        </w:rPr>
        <w:t>The departmental managers of organisations such as Burberry may ensure rapid implementation of modern HRM practices by prioritising a scale-first approach, including piloting AI technologies and tools for routine tasks (</w:t>
      </w:r>
      <w:proofErr w:type="spellStart"/>
      <w:r w:rsidRPr="00E93037">
        <w:rPr>
          <w:rFonts w:eastAsia="Times New Roman"/>
          <w:sz w:val="24"/>
          <w:szCs w:val="24"/>
          <w:lang w:val="en-GB"/>
        </w:rPr>
        <w:t>onboarding</w:t>
      </w:r>
      <w:proofErr w:type="spellEnd"/>
      <w:r w:rsidRPr="00E93037">
        <w:rPr>
          <w:rFonts w:eastAsia="Times New Roman"/>
          <w:sz w:val="24"/>
          <w:szCs w:val="24"/>
          <w:lang w:val="en-GB"/>
        </w:rPr>
        <w:t xml:space="preserve"> before full-scale adoption). In this context, the departmental managers must act as change agents to achieve urgent results through addressing resistance in terms of increasing transparency in communication regarding AI augmentation, rather than replacing employees. According to </w:t>
      </w:r>
      <w:r w:rsidRPr="00E93037">
        <w:rPr>
          <w:rFonts w:eastAsia="Times New Roman"/>
          <w:sz w:val="24"/>
          <w:szCs w:val="24"/>
          <w:highlight w:val="white"/>
          <w:lang w:val="en-GB"/>
        </w:rPr>
        <w:t xml:space="preserve">Raza </w:t>
      </w:r>
      <w:r w:rsidRPr="00E93037">
        <w:rPr>
          <w:rFonts w:eastAsia="Times New Roman"/>
          <w:i/>
          <w:iCs/>
          <w:sz w:val="24"/>
          <w:szCs w:val="24"/>
          <w:highlight w:val="white"/>
          <w:lang w:val="en-GB"/>
        </w:rPr>
        <w:t>et al.</w:t>
      </w:r>
      <w:r w:rsidRPr="00E93037">
        <w:rPr>
          <w:rFonts w:eastAsia="Times New Roman"/>
          <w:sz w:val="24"/>
          <w:szCs w:val="24"/>
          <w:highlight w:val="white"/>
          <w:lang w:val="en-GB"/>
        </w:rPr>
        <w:t xml:space="preserve"> </w:t>
      </w:r>
      <w:r w:rsidRPr="00E93037">
        <w:rPr>
          <w:rFonts w:eastAsia="Times New Roman"/>
          <w:sz w:val="24"/>
          <w:szCs w:val="24"/>
          <w:lang w:val="en-GB"/>
        </w:rPr>
        <w:t xml:space="preserve">(2023), organisational leaders manage transparency in communication, building trust, boosting employee engagement, and enhancing productivity levels. Additionally, immediately upskilling teams on AI tools and data analytics can be effective to ensure the employees are future-ready. Hence, the implementation of human-centric, ethical oversight while leveraging data-driven data can ensure Burberry’s high-value strategic work will be achieved efficiently. </w:t>
      </w:r>
    </w:p>
    <w:p w:rsidR="00427A93" w:rsidRPr="00E93037" w:rsidRDefault="00AC15A7" w:rsidP="00E93037">
      <w:pPr>
        <w:pStyle w:val="Normal1"/>
        <w:spacing w:line="360" w:lineRule="auto"/>
        <w:jc w:val="both"/>
        <w:rPr>
          <w:rFonts w:eastAsia="Times New Roman"/>
          <w:sz w:val="24"/>
          <w:szCs w:val="24"/>
          <w:lang w:val="en-GB"/>
        </w:rPr>
      </w:pPr>
      <w:r w:rsidRPr="00E93037">
        <w:rPr>
          <w:rFonts w:eastAsia="Times New Roman"/>
          <w:sz w:val="24"/>
          <w:szCs w:val="24"/>
          <w:lang w:val="en-GB"/>
        </w:rPr>
        <w:t xml:space="preserve">The departmental managers of Burberry can also actively improve the strategies rather than treating previous processes as HR only initiative to urgently implement higher performance and inclusive HRM. According to </w:t>
      </w:r>
      <w:proofErr w:type="spellStart"/>
      <w:r w:rsidRPr="00E93037">
        <w:rPr>
          <w:rFonts w:eastAsia="Times New Roman"/>
          <w:sz w:val="24"/>
          <w:szCs w:val="24"/>
          <w:highlight w:val="white"/>
          <w:lang w:val="en-GB"/>
        </w:rPr>
        <w:t>Fabris</w:t>
      </w:r>
      <w:proofErr w:type="spellEnd"/>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et al.</w:t>
      </w:r>
      <w:r w:rsidRPr="00E93037">
        <w:rPr>
          <w:rFonts w:eastAsia="Times New Roman"/>
          <w:sz w:val="24"/>
          <w:szCs w:val="24"/>
          <w:highlight w:val="white"/>
          <w:lang w:val="en-GB"/>
        </w:rPr>
        <w:t xml:space="preserve"> </w:t>
      </w:r>
      <w:r w:rsidRPr="00E93037">
        <w:rPr>
          <w:rFonts w:eastAsia="Times New Roman"/>
          <w:sz w:val="24"/>
          <w:szCs w:val="24"/>
          <w:lang w:val="en-GB"/>
        </w:rPr>
        <w:t xml:space="preserve">(2025), the utilisation of gender decoders for every vacancy provides organisations with an immediate approach to decreasing hiring bias, resulting in more diverse applicant pools and faster hiring timelines. The department managers of Burberry must mandate the use of gender decoders for every vacancy, ensuring immediate recruitment bias reduction. The department manager of the company can also use internal talent mobility to boost retention, which connects workers to creative scholarships rather than relying solely on external recruitment. On the other hand, the performance-based rewards plan of Burberry also needs regular one-to-one sessions for immediate feedback, which ensures workers' appreciation feels timely. The active promotion of global parental leave and well-being practices needs to be done to prevent turnover in competitive marketplaces. </w:t>
      </w:r>
    </w:p>
    <w:p w:rsidR="00E93037" w:rsidRDefault="00E93037">
      <w:pPr>
        <w:rPr>
          <w:rFonts w:eastAsia="Times New Roman"/>
          <w:sz w:val="24"/>
          <w:szCs w:val="24"/>
          <w:lang w:val="en-GB"/>
        </w:rPr>
      </w:pPr>
      <w:r>
        <w:rPr>
          <w:rFonts w:eastAsia="Times New Roman"/>
          <w:sz w:val="24"/>
          <w:szCs w:val="24"/>
          <w:lang w:val="en-GB"/>
        </w:rPr>
        <w:br w:type="page"/>
      </w:r>
    </w:p>
    <w:p w:rsidR="00427A93" w:rsidRPr="00E93037" w:rsidRDefault="00AC15A7" w:rsidP="00E93037">
      <w:pPr>
        <w:pStyle w:val="Normal1"/>
        <w:spacing w:line="360" w:lineRule="auto"/>
        <w:jc w:val="both"/>
        <w:rPr>
          <w:rFonts w:eastAsia="Times New Roman"/>
          <w:b/>
          <w:bCs/>
          <w:sz w:val="24"/>
          <w:szCs w:val="24"/>
          <w:lang w:val="en-GB"/>
        </w:rPr>
      </w:pPr>
      <w:r w:rsidRPr="00E93037">
        <w:rPr>
          <w:rFonts w:eastAsia="Times New Roman"/>
          <w:sz w:val="24"/>
          <w:szCs w:val="24"/>
          <w:lang w:val="en-GB"/>
        </w:rPr>
        <w:lastRenderedPageBreak/>
        <w:t xml:space="preserve">The departmental managers of Burberry can shift from passive compliance to active ownership to urgently implement the DEI strategy in operations. Firstly, the departmental managers of the company need to immediately adopt blind resume screening as well as mandate diverse interview panels for every vacancy to guarantee gender-balanced recruitment. Moreover, the departmental managers of Burberry can also review team pay insights to ensure alignment with the UK Real Living Wage Accreditation, handling the pay gaps. The managers must also embed mandatory DEI training and use Employee Resource Groups for immediate feedback and reviews to ensure a respectful workplace culture. Hence, the managers may operationalise these inclusive practices urgently by holding themselves accountable through tracked, transparent metrics on team diversity. </w:t>
      </w:r>
      <w:r w:rsidRPr="00E93037">
        <w:rPr>
          <w:lang w:val="en-GB"/>
        </w:rPr>
        <w:br w:type="page"/>
      </w:r>
    </w:p>
    <w:p w:rsidR="00427A93" w:rsidRPr="00E93037" w:rsidRDefault="00AC15A7" w:rsidP="00E93037">
      <w:pPr>
        <w:pStyle w:val="Heading1"/>
        <w:rPr>
          <w:lang w:val="en-GB"/>
        </w:rPr>
      </w:pPr>
      <w:bookmarkStart w:id="5" w:name="_Toc227761317"/>
      <w:r w:rsidRPr="00E93037">
        <w:rPr>
          <w:lang w:val="en-GB"/>
        </w:rPr>
        <w:lastRenderedPageBreak/>
        <w:t>5. Recommendation</w:t>
      </w:r>
      <w:bookmarkEnd w:id="5"/>
      <w:r w:rsidR="003D73D0">
        <w:rPr>
          <w:lang w:val="en-GB"/>
        </w:rPr>
        <w:t>s</w:t>
      </w:r>
    </w:p>
    <w:p w:rsidR="00427A93" w:rsidRPr="00E93037" w:rsidRDefault="00AC15A7" w:rsidP="00E93037">
      <w:pPr>
        <w:pStyle w:val="Normal1"/>
        <w:numPr>
          <w:ilvl w:val="0"/>
          <w:numId w:val="1"/>
        </w:numPr>
        <w:spacing w:line="360" w:lineRule="auto"/>
        <w:jc w:val="both"/>
        <w:rPr>
          <w:rFonts w:eastAsia="Times New Roman"/>
          <w:sz w:val="24"/>
          <w:szCs w:val="24"/>
          <w:lang w:val="en-GB"/>
        </w:rPr>
      </w:pPr>
      <w:r w:rsidRPr="00E93037">
        <w:rPr>
          <w:rFonts w:eastAsia="Times New Roman"/>
          <w:sz w:val="24"/>
          <w:szCs w:val="24"/>
          <w:lang w:val="en-GB"/>
        </w:rPr>
        <w:t xml:space="preserve">The department manager of Burberry needs to implement AI-enabled training platforms and channels to rapidly </w:t>
      </w:r>
      <w:r w:rsidR="00E93037" w:rsidRPr="00E93037">
        <w:rPr>
          <w:rFonts w:eastAsia="Times New Roman"/>
          <w:sz w:val="24"/>
          <w:szCs w:val="24"/>
          <w:lang w:val="en-GB"/>
        </w:rPr>
        <w:t>up skill</w:t>
      </w:r>
      <w:r w:rsidRPr="00E93037">
        <w:rPr>
          <w:rFonts w:eastAsia="Times New Roman"/>
          <w:sz w:val="24"/>
          <w:szCs w:val="24"/>
          <w:lang w:val="en-GB"/>
        </w:rPr>
        <w:t xml:space="preserve"> their existing employees in digital tools. </w:t>
      </w:r>
    </w:p>
    <w:p w:rsidR="00427A93" w:rsidRPr="00E93037" w:rsidRDefault="00AC15A7" w:rsidP="00E93037">
      <w:pPr>
        <w:pStyle w:val="Normal1"/>
        <w:numPr>
          <w:ilvl w:val="0"/>
          <w:numId w:val="1"/>
        </w:numPr>
        <w:spacing w:line="360" w:lineRule="auto"/>
        <w:jc w:val="both"/>
        <w:rPr>
          <w:rFonts w:eastAsia="Times New Roman"/>
          <w:sz w:val="24"/>
          <w:szCs w:val="24"/>
          <w:lang w:val="en-GB"/>
        </w:rPr>
      </w:pPr>
      <w:r w:rsidRPr="00E93037">
        <w:rPr>
          <w:rFonts w:eastAsia="Times New Roman"/>
          <w:sz w:val="24"/>
          <w:szCs w:val="24"/>
          <w:lang w:val="en-GB"/>
        </w:rPr>
        <w:t xml:space="preserve">The company managers also need to define particular diversity goals in hiring and recruitment systems, leading to avoiding generic statements to enhance attraction. </w:t>
      </w:r>
    </w:p>
    <w:p w:rsidR="00427A93" w:rsidRPr="00E93037" w:rsidRDefault="00AC15A7" w:rsidP="00E93037">
      <w:pPr>
        <w:pStyle w:val="Normal1"/>
        <w:numPr>
          <w:ilvl w:val="0"/>
          <w:numId w:val="1"/>
        </w:numPr>
        <w:spacing w:line="360" w:lineRule="auto"/>
        <w:jc w:val="both"/>
        <w:rPr>
          <w:rFonts w:eastAsia="Times New Roman"/>
          <w:sz w:val="24"/>
          <w:szCs w:val="24"/>
          <w:lang w:val="en-GB"/>
        </w:rPr>
      </w:pPr>
      <w:r w:rsidRPr="00E93037">
        <w:rPr>
          <w:rFonts w:eastAsia="Times New Roman"/>
          <w:sz w:val="24"/>
          <w:szCs w:val="24"/>
          <w:lang w:val="en-GB"/>
        </w:rPr>
        <w:t xml:space="preserve">The departmental managers of the company need to use internal talent marketplaces to successfully retain talent and close skill gaps. </w:t>
      </w:r>
    </w:p>
    <w:p w:rsidR="00427A93" w:rsidRPr="00E93037" w:rsidRDefault="00AC15A7" w:rsidP="00E93037">
      <w:pPr>
        <w:pStyle w:val="Normal1"/>
        <w:spacing w:line="360" w:lineRule="auto"/>
        <w:jc w:val="both"/>
        <w:rPr>
          <w:rFonts w:eastAsia="Times New Roman"/>
          <w:b/>
          <w:bCs/>
          <w:sz w:val="24"/>
          <w:szCs w:val="24"/>
          <w:lang w:val="en-GB"/>
        </w:rPr>
      </w:pPr>
      <w:r w:rsidRPr="00E93037">
        <w:rPr>
          <w:lang w:val="en-GB"/>
        </w:rPr>
        <w:br w:type="page"/>
      </w:r>
    </w:p>
    <w:p w:rsidR="00427A93" w:rsidRPr="00E93037" w:rsidRDefault="00AC15A7" w:rsidP="00E93037">
      <w:pPr>
        <w:pStyle w:val="Heading1"/>
        <w:rPr>
          <w:lang w:val="en-GB"/>
        </w:rPr>
      </w:pPr>
      <w:bookmarkStart w:id="6" w:name="_Toc227761318"/>
      <w:r w:rsidRPr="00E93037">
        <w:rPr>
          <w:lang w:val="en-GB"/>
        </w:rPr>
        <w:lastRenderedPageBreak/>
        <w:t>6. Conclusion</w:t>
      </w:r>
      <w:bookmarkEnd w:id="6"/>
    </w:p>
    <w:p w:rsidR="00427A93" w:rsidRPr="00E93037" w:rsidRDefault="00AC15A7" w:rsidP="00E93037">
      <w:pPr>
        <w:pStyle w:val="Normal1"/>
        <w:spacing w:line="360" w:lineRule="auto"/>
        <w:jc w:val="both"/>
        <w:rPr>
          <w:rFonts w:eastAsia="Times New Roman"/>
          <w:sz w:val="24"/>
          <w:szCs w:val="24"/>
          <w:lang w:val="en-GB"/>
        </w:rPr>
      </w:pPr>
      <w:r w:rsidRPr="00E93037">
        <w:rPr>
          <w:rFonts w:eastAsia="Times New Roman"/>
          <w:sz w:val="24"/>
          <w:szCs w:val="24"/>
          <w:lang w:val="en-GB"/>
        </w:rPr>
        <w:t xml:space="preserve">On a concluding note, it can be stated that every modern organisation needs to manage the key HRM issues such as keeping up with technological advancement, DEI practices and talent acquisition and retention. The management of these issues is critical for operational efficiency and competitive advantages for the organisations. Technology adoption enhances the overall HRM process, and talent acquisition and retention ensure continuity and innovation. DEI (diversity, </w:t>
      </w:r>
      <w:r w:rsidR="00E93037" w:rsidRPr="00E93037">
        <w:rPr>
          <w:rFonts w:eastAsia="Times New Roman"/>
          <w:sz w:val="24"/>
          <w:szCs w:val="24"/>
          <w:lang w:val="en-GB"/>
        </w:rPr>
        <w:t>equity,</w:t>
      </w:r>
      <w:r w:rsidRPr="00E93037">
        <w:rPr>
          <w:rFonts w:eastAsia="Times New Roman"/>
          <w:sz w:val="24"/>
          <w:szCs w:val="24"/>
          <w:lang w:val="en-GB"/>
        </w:rPr>
        <w:t xml:space="preserve"> and inclusion) fosters a diverse, </w:t>
      </w:r>
      <w:r w:rsidR="00E93037" w:rsidRPr="00E93037">
        <w:rPr>
          <w:rFonts w:eastAsia="Times New Roman"/>
          <w:sz w:val="24"/>
          <w:szCs w:val="24"/>
          <w:lang w:val="en-GB"/>
        </w:rPr>
        <w:t>inclusive,</w:t>
      </w:r>
      <w:r w:rsidRPr="00E93037">
        <w:rPr>
          <w:rFonts w:eastAsia="Times New Roman"/>
          <w:sz w:val="24"/>
          <w:szCs w:val="24"/>
          <w:lang w:val="en-GB"/>
        </w:rPr>
        <w:t xml:space="preserve"> and engaged workforce, increasing profitability and innovation. Hence, the organisations have to manage these key factors while handling their HRM functions, leading to building a resilient company across the competitive marketplace. </w:t>
      </w:r>
    </w:p>
    <w:p w:rsidR="00427A93" w:rsidRPr="00E93037" w:rsidRDefault="00AC15A7" w:rsidP="00E93037">
      <w:pPr>
        <w:pStyle w:val="Normal1"/>
        <w:spacing w:line="360" w:lineRule="auto"/>
        <w:jc w:val="both"/>
        <w:rPr>
          <w:rFonts w:eastAsia="Times New Roman"/>
          <w:b/>
          <w:bCs/>
          <w:sz w:val="24"/>
          <w:szCs w:val="24"/>
          <w:lang w:val="en-GB"/>
        </w:rPr>
      </w:pPr>
      <w:r w:rsidRPr="00E93037">
        <w:rPr>
          <w:lang w:val="en-GB"/>
        </w:rPr>
        <w:br w:type="page"/>
      </w:r>
    </w:p>
    <w:p w:rsidR="00427A93" w:rsidRPr="00E93037" w:rsidRDefault="00AC15A7" w:rsidP="00E93037">
      <w:pPr>
        <w:pStyle w:val="Heading1"/>
        <w:rPr>
          <w:lang w:val="en-GB"/>
        </w:rPr>
      </w:pPr>
      <w:bookmarkStart w:id="7" w:name="_Toc227761319"/>
      <w:r w:rsidRPr="00E93037">
        <w:rPr>
          <w:lang w:val="en-GB"/>
        </w:rPr>
        <w:lastRenderedPageBreak/>
        <w:t>7. Reference List</w:t>
      </w:r>
      <w:bookmarkEnd w:id="7"/>
      <w:r w:rsidRPr="00E93037">
        <w:rPr>
          <w:lang w:val="en-GB"/>
        </w:rPr>
        <w:t xml:space="preserve"> </w:t>
      </w:r>
    </w:p>
    <w:p w:rsidR="00E93037" w:rsidRPr="00E93037" w:rsidRDefault="00E93037" w:rsidP="00E93037">
      <w:pPr>
        <w:pStyle w:val="Normal1"/>
        <w:spacing w:after="240" w:line="360" w:lineRule="auto"/>
        <w:jc w:val="both"/>
        <w:rPr>
          <w:rFonts w:eastAsia="Times New Roman"/>
          <w:sz w:val="24"/>
          <w:szCs w:val="24"/>
          <w:highlight w:val="white"/>
          <w:lang w:val="en-GB"/>
        </w:rPr>
      </w:pPr>
      <w:r w:rsidRPr="00E93037">
        <w:rPr>
          <w:rFonts w:eastAsia="Times New Roman"/>
          <w:sz w:val="24"/>
          <w:szCs w:val="24"/>
          <w:highlight w:val="white"/>
          <w:lang w:val="en-GB"/>
        </w:rPr>
        <w:t xml:space="preserve">Amazon Web Services (2026). </w:t>
      </w:r>
      <w:r w:rsidRPr="00E93037">
        <w:rPr>
          <w:rFonts w:eastAsia="Times New Roman"/>
          <w:i/>
          <w:iCs/>
          <w:sz w:val="24"/>
          <w:szCs w:val="24"/>
          <w:highlight w:val="white"/>
          <w:lang w:val="en-GB"/>
        </w:rPr>
        <w:t>Amazon Web Services, Inc.</w:t>
      </w:r>
      <w:r w:rsidRPr="00E93037">
        <w:rPr>
          <w:rFonts w:eastAsia="Times New Roman"/>
          <w:sz w:val="24"/>
          <w:szCs w:val="24"/>
          <w:highlight w:val="white"/>
          <w:lang w:val="en-GB"/>
        </w:rPr>
        <w:t xml:space="preserve"> [online] Available at: https://pages.awscloud.com/GLOBAL-ln-DL-how-burberry-is-enabling-digital-transformation-video-2021-learn.html (Accessed on: 22nd April, 2026)</w:t>
      </w:r>
    </w:p>
    <w:p w:rsidR="00E93037" w:rsidRPr="00E93037" w:rsidRDefault="00E93037" w:rsidP="00E93037">
      <w:pPr>
        <w:pStyle w:val="Normal1"/>
        <w:spacing w:after="240" w:line="360" w:lineRule="auto"/>
        <w:jc w:val="both"/>
        <w:rPr>
          <w:rFonts w:eastAsia="Times New Roman"/>
          <w:sz w:val="24"/>
          <w:szCs w:val="24"/>
          <w:highlight w:val="white"/>
          <w:lang w:val="en-GB"/>
        </w:rPr>
      </w:pPr>
      <w:proofErr w:type="spellStart"/>
      <w:r w:rsidRPr="00E93037">
        <w:rPr>
          <w:rFonts w:eastAsia="Times New Roman"/>
          <w:sz w:val="24"/>
          <w:szCs w:val="24"/>
          <w:highlight w:val="white"/>
          <w:lang w:val="en-GB"/>
        </w:rPr>
        <w:t>Bulletti</w:t>
      </w:r>
      <w:proofErr w:type="spellEnd"/>
      <w:r w:rsidRPr="00E93037">
        <w:rPr>
          <w:rFonts w:eastAsia="Times New Roman"/>
          <w:sz w:val="24"/>
          <w:szCs w:val="24"/>
          <w:highlight w:val="white"/>
          <w:lang w:val="en-GB"/>
        </w:rPr>
        <w:t xml:space="preserve">, F.M., Guido, M., </w:t>
      </w:r>
      <w:proofErr w:type="spellStart"/>
      <w:r w:rsidRPr="00E93037">
        <w:rPr>
          <w:rFonts w:eastAsia="Times New Roman"/>
          <w:sz w:val="24"/>
          <w:szCs w:val="24"/>
          <w:highlight w:val="white"/>
          <w:lang w:val="en-GB"/>
        </w:rPr>
        <w:t>Coccia</w:t>
      </w:r>
      <w:proofErr w:type="spellEnd"/>
      <w:r w:rsidRPr="00E93037">
        <w:rPr>
          <w:rFonts w:eastAsia="Times New Roman"/>
          <w:sz w:val="24"/>
          <w:szCs w:val="24"/>
          <w:highlight w:val="white"/>
          <w:lang w:val="en-GB"/>
        </w:rPr>
        <w:t xml:space="preserve">, M.E., </w:t>
      </w:r>
      <w:proofErr w:type="spellStart"/>
      <w:r w:rsidRPr="00E93037">
        <w:rPr>
          <w:rFonts w:eastAsia="Times New Roman"/>
          <w:sz w:val="24"/>
          <w:szCs w:val="24"/>
          <w:highlight w:val="white"/>
          <w:lang w:val="en-GB"/>
        </w:rPr>
        <w:t>Palagiano</w:t>
      </w:r>
      <w:proofErr w:type="spellEnd"/>
      <w:r w:rsidRPr="00E93037">
        <w:rPr>
          <w:rFonts w:eastAsia="Times New Roman"/>
          <w:sz w:val="24"/>
          <w:szCs w:val="24"/>
          <w:highlight w:val="white"/>
          <w:lang w:val="en-GB"/>
        </w:rPr>
        <w:t xml:space="preserve">, A., </w:t>
      </w:r>
      <w:proofErr w:type="spellStart"/>
      <w:r w:rsidRPr="00E93037">
        <w:rPr>
          <w:rFonts w:eastAsia="Times New Roman"/>
          <w:sz w:val="24"/>
          <w:szCs w:val="24"/>
          <w:highlight w:val="white"/>
          <w:lang w:val="en-GB"/>
        </w:rPr>
        <w:t>Giacomucci</w:t>
      </w:r>
      <w:proofErr w:type="spellEnd"/>
      <w:r w:rsidRPr="00E93037">
        <w:rPr>
          <w:rFonts w:eastAsia="Times New Roman"/>
          <w:sz w:val="24"/>
          <w:szCs w:val="24"/>
          <w:highlight w:val="white"/>
          <w:lang w:val="en-GB"/>
        </w:rPr>
        <w:t xml:space="preserve">, E. and </w:t>
      </w:r>
      <w:proofErr w:type="spellStart"/>
      <w:r w:rsidRPr="00E93037">
        <w:rPr>
          <w:rFonts w:eastAsia="Times New Roman"/>
          <w:sz w:val="24"/>
          <w:szCs w:val="24"/>
          <w:highlight w:val="white"/>
          <w:lang w:val="en-GB"/>
        </w:rPr>
        <w:t>Bulletti</w:t>
      </w:r>
      <w:proofErr w:type="spellEnd"/>
      <w:r w:rsidRPr="00E93037">
        <w:rPr>
          <w:rFonts w:eastAsia="Times New Roman"/>
          <w:sz w:val="24"/>
          <w:szCs w:val="24"/>
          <w:highlight w:val="white"/>
          <w:lang w:val="en-GB"/>
        </w:rPr>
        <w:t xml:space="preserve">, C., (2025). Reforming medical career progression: a call for merit-based systems. </w:t>
      </w:r>
      <w:r w:rsidRPr="00E93037">
        <w:rPr>
          <w:rFonts w:eastAsia="Times New Roman"/>
          <w:i/>
          <w:iCs/>
          <w:sz w:val="24"/>
          <w:szCs w:val="24"/>
          <w:highlight w:val="white"/>
          <w:lang w:val="en-GB"/>
        </w:rPr>
        <w:t>Frontiers in Medicine</w:t>
      </w:r>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12</w:t>
      </w:r>
      <w:r w:rsidRPr="00E93037">
        <w:rPr>
          <w:rFonts w:eastAsia="Times New Roman"/>
          <w:sz w:val="24"/>
          <w:szCs w:val="24"/>
          <w:highlight w:val="white"/>
          <w:lang w:val="en-GB"/>
        </w:rPr>
        <w:t xml:space="preserve">, p.1643399. </w:t>
      </w:r>
      <w:hyperlink r:id="rId8">
        <w:r w:rsidRPr="00E93037">
          <w:rPr>
            <w:rFonts w:eastAsia="Times New Roman"/>
            <w:sz w:val="24"/>
            <w:szCs w:val="24"/>
            <w:highlight w:val="white"/>
            <w:lang w:val="en-GB"/>
          </w:rPr>
          <w:t>https://www.frontiersin.org/journals/medicine/articles/10.3389/fmed.2025.1643399/pdf</w:t>
        </w:r>
      </w:hyperlink>
    </w:p>
    <w:p w:rsidR="00E93037" w:rsidRPr="00E93037" w:rsidRDefault="00E93037" w:rsidP="00E93037">
      <w:pPr>
        <w:pStyle w:val="Normal1"/>
        <w:spacing w:after="240" w:line="360" w:lineRule="auto"/>
        <w:jc w:val="both"/>
        <w:rPr>
          <w:rFonts w:eastAsia="Times New Roman"/>
          <w:sz w:val="24"/>
          <w:szCs w:val="24"/>
          <w:highlight w:val="white"/>
          <w:lang w:val="en-GB"/>
        </w:rPr>
      </w:pPr>
      <w:r w:rsidRPr="00E93037">
        <w:rPr>
          <w:rFonts w:eastAsia="Times New Roman"/>
          <w:sz w:val="24"/>
          <w:szCs w:val="24"/>
          <w:highlight w:val="white"/>
          <w:lang w:val="en-GB"/>
        </w:rPr>
        <w:t xml:space="preserve">Burberry (2026). </w:t>
      </w:r>
      <w:r w:rsidRPr="00E93037">
        <w:rPr>
          <w:rFonts w:eastAsia="Times New Roman"/>
          <w:i/>
          <w:iCs/>
          <w:sz w:val="24"/>
          <w:szCs w:val="24"/>
          <w:highlight w:val="white"/>
          <w:lang w:val="en-GB"/>
        </w:rPr>
        <w:t>Learning and Development</w:t>
      </w:r>
      <w:r w:rsidRPr="00E93037">
        <w:rPr>
          <w:rFonts w:eastAsia="Times New Roman"/>
          <w:sz w:val="24"/>
          <w:szCs w:val="24"/>
          <w:highlight w:val="white"/>
          <w:lang w:val="en-GB"/>
        </w:rPr>
        <w:t>. [</w:t>
      </w:r>
      <w:proofErr w:type="gramStart"/>
      <w:r w:rsidRPr="00E93037">
        <w:rPr>
          <w:rFonts w:eastAsia="Times New Roman"/>
          <w:sz w:val="24"/>
          <w:szCs w:val="24"/>
          <w:highlight w:val="white"/>
          <w:lang w:val="en-GB"/>
        </w:rPr>
        <w:t>online</w:t>
      </w:r>
      <w:proofErr w:type="gramEnd"/>
      <w:r w:rsidRPr="00E93037">
        <w:rPr>
          <w:rFonts w:eastAsia="Times New Roman"/>
          <w:sz w:val="24"/>
          <w:szCs w:val="24"/>
          <w:highlight w:val="white"/>
          <w:lang w:val="en-GB"/>
        </w:rPr>
        <w:t xml:space="preserve">] Burberry Plc Corporate. Available at: </w:t>
      </w:r>
      <w:hyperlink r:id="rId9">
        <w:r w:rsidRPr="00E93037">
          <w:rPr>
            <w:rFonts w:eastAsia="Times New Roman"/>
            <w:sz w:val="24"/>
            <w:szCs w:val="24"/>
            <w:highlight w:val="white"/>
            <w:lang w:val="en-GB"/>
          </w:rPr>
          <w:t>https://www.burberryplc.com/people/learning-and-development</w:t>
        </w:r>
      </w:hyperlink>
      <w:r w:rsidRPr="00E93037">
        <w:rPr>
          <w:rFonts w:eastAsia="Times New Roman"/>
          <w:sz w:val="24"/>
          <w:szCs w:val="24"/>
          <w:highlight w:val="white"/>
          <w:lang w:val="en-GB"/>
        </w:rPr>
        <w:t>. (Accessed on: 22nd April, 2026)</w:t>
      </w:r>
    </w:p>
    <w:p w:rsidR="00E93037" w:rsidRPr="00E93037" w:rsidRDefault="00E93037" w:rsidP="00E93037">
      <w:pPr>
        <w:pStyle w:val="Normal1"/>
        <w:spacing w:after="240" w:line="360" w:lineRule="auto"/>
        <w:jc w:val="both"/>
        <w:rPr>
          <w:rFonts w:eastAsia="Times New Roman"/>
          <w:sz w:val="24"/>
          <w:szCs w:val="24"/>
          <w:highlight w:val="white"/>
          <w:lang w:val="en-GB"/>
        </w:rPr>
      </w:pPr>
      <w:r w:rsidRPr="00E93037">
        <w:rPr>
          <w:rFonts w:eastAsia="Times New Roman"/>
          <w:sz w:val="24"/>
          <w:szCs w:val="24"/>
          <w:highlight w:val="white"/>
          <w:lang w:val="en-GB"/>
        </w:rPr>
        <w:t xml:space="preserve">Burberry (2026a). </w:t>
      </w:r>
      <w:r w:rsidRPr="00E93037">
        <w:rPr>
          <w:rFonts w:eastAsia="Times New Roman"/>
          <w:i/>
          <w:iCs/>
          <w:sz w:val="24"/>
          <w:szCs w:val="24"/>
          <w:highlight w:val="white"/>
          <w:lang w:val="en-GB"/>
        </w:rPr>
        <w:t>Diversity and Inclusion</w:t>
      </w:r>
      <w:r w:rsidRPr="00E93037">
        <w:rPr>
          <w:rFonts w:eastAsia="Times New Roman"/>
          <w:sz w:val="24"/>
          <w:szCs w:val="24"/>
          <w:highlight w:val="white"/>
          <w:lang w:val="en-GB"/>
        </w:rPr>
        <w:t>. [</w:t>
      </w:r>
      <w:proofErr w:type="gramStart"/>
      <w:r w:rsidRPr="00E93037">
        <w:rPr>
          <w:rFonts w:eastAsia="Times New Roman"/>
          <w:sz w:val="24"/>
          <w:szCs w:val="24"/>
          <w:highlight w:val="white"/>
          <w:lang w:val="en-GB"/>
        </w:rPr>
        <w:t>online</w:t>
      </w:r>
      <w:proofErr w:type="gramEnd"/>
      <w:r w:rsidRPr="00E93037">
        <w:rPr>
          <w:rFonts w:eastAsia="Times New Roman"/>
          <w:sz w:val="24"/>
          <w:szCs w:val="24"/>
          <w:highlight w:val="white"/>
          <w:lang w:val="en-GB"/>
        </w:rPr>
        <w:t xml:space="preserve">] burberrycareers.com. Available at: </w:t>
      </w:r>
      <w:hyperlink r:id="rId10">
        <w:r w:rsidRPr="00E93037">
          <w:rPr>
            <w:rFonts w:eastAsia="Times New Roman"/>
            <w:sz w:val="24"/>
            <w:szCs w:val="24"/>
            <w:highlight w:val="white"/>
            <w:lang w:val="en-GB"/>
          </w:rPr>
          <w:t>https://burberrycareers.com/content/Diversity-and-Inclusion/?locale=en_GB</w:t>
        </w:r>
      </w:hyperlink>
      <w:r w:rsidRPr="00E93037">
        <w:rPr>
          <w:rFonts w:eastAsia="Times New Roman"/>
          <w:sz w:val="24"/>
          <w:szCs w:val="24"/>
          <w:highlight w:val="white"/>
          <w:lang w:val="en-GB"/>
        </w:rPr>
        <w:t>. (Accessed on: 22nd April, 2026)</w:t>
      </w:r>
    </w:p>
    <w:p w:rsidR="00E93037" w:rsidRPr="00E93037" w:rsidRDefault="00E93037" w:rsidP="00E93037">
      <w:pPr>
        <w:pStyle w:val="Normal1"/>
        <w:spacing w:after="240" w:line="360" w:lineRule="auto"/>
        <w:jc w:val="both"/>
        <w:rPr>
          <w:rFonts w:eastAsia="Times New Roman"/>
          <w:sz w:val="24"/>
          <w:szCs w:val="24"/>
          <w:highlight w:val="white"/>
          <w:lang w:val="en-GB"/>
        </w:rPr>
      </w:pPr>
      <w:r w:rsidRPr="00E93037">
        <w:rPr>
          <w:rFonts w:eastAsia="Times New Roman"/>
          <w:sz w:val="24"/>
          <w:szCs w:val="24"/>
          <w:highlight w:val="white"/>
          <w:lang w:val="en-GB"/>
        </w:rPr>
        <w:t xml:space="preserve">Burberry Plc Corporate. (2020). </w:t>
      </w:r>
      <w:r w:rsidRPr="00E93037">
        <w:rPr>
          <w:rFonts w:eastAsia="Times New Roman"/>
          <w:i/>
          <w:iCs/>
          <w:sz w:val="24"/>
          <w:szCs w:val="24"/>
          <w:highlight w:val="white"/>
          <w:lang w:val="en-GB"/>
        </w:rPr>
        <w:t>Burberry expands creative arts scholarships, supporting underrepresented students</w:t>
      </w:r>
      <w:r w:rsidRPr="00E93037">
        <w:rPr>
          <w:rFonts w:eastAsia="Times New Roman"/>
          <w:sz w:val="24"/>
          <w:szCs w:val="24"/>
          <w:highlight w:val="white"/>
          <w:lang w:val="en-GB"/>
        </w:rPr>
        <w:t>. [</w:t>
      </w:r>
      <w:proofErr w:type="gramStart"/>
      <w:r w:rsidRPr="00E93037">
        <w:rPr>
          <w:rFonts w:eastAsia="Times New Roman"/>
          <w:sz w:val="24"/>
          <w:szCs w:val="24"/>
          <w:highlight w:val="white"/>
          <w:lang w:val="en-GB"/>
        </w:rPr>
        <w:t>online</w:t>
      </w:r>
      <w:proofErr w:type="gramEnd"/>
      <w:r w:rsidRPr="00E93037">
        <w:rPr>
          <w:rFonts w:eastAsia="Times New Roman"/>
          <w:sz w:val="24"/>
          <w:szCs w:val="24"/>
          <w:highlight w:val="white"/>
          <w:lang w:val="en-GB"/>
        </w:rPr>
        <w:t xml:space="preserve">] Available at: </w:t>
      </w:r>
      <w:hyperlink r:id="rId11">
        <w:r w:rsidRPr="00E93037">
          <w:rPr>
            <w:rFonts w:eastAsia="Times New Roman"/>
            <w:sz w:val="24"/>
            <w:szCs w:val="24"/>
            <w:highlight w:val="white"/>
            <w:lang w:val="en-GB"/>
          </w:rPr>
          <w:t>https://www.burberryplc.com/news/corporate/2020/burberry-expands-creative-arts-scholarships--supporting-underrep</w:t>
        </w:r>
      </w:hyperlink>
      <w:r w:rsidRPr="00E93037">
        <w:rPr>
          <w:rFonts w:eastAsia="Times New Roman"/>
          <w:sz w:val="24"/>
          <w:szCs w:val="24"/>
          <w:highlight w:val="white"/>
          <w:lang w:val="en-GB"/>
        </w:rPr>
        <w:t>. (Accessed on: 22nd April, 2026)</w:t>
      </w:r>
    </w:p>
    <w:p w:rsidR="00E93037" w:rsidRPr="00E93037" w:rsidRDefault="00E93037" w:rsidP="00E93037">
      <w:pPr>
        <w:pStyle w:val="Normal1"/>
        <w:spacing w:after="240" w:line="360" w:lineRule="auto"/>
        <w:jc w:val="both"/>
        <w:rPr>
          <w:rFonts w:eastAsia="Times New Roman"/>
          <w:sz w:val="24"/>
          <w:szCs w:val="24"/>
          <w:highlight w:val="white"/>
          <w:lang w:val="en-GB"/>
        </w:rPr>
      </w:pPr>
      <w:r w:rsidRPr="00E93037">
        <w:rPr>
          <w:rFonts w:eastAsia="Times New Roman"/>
          <w:sz w:val="24"/>
          <w:szCs w:val="24"/>
          <w:highlight w:val="white"/>
          <w:lang w:val="en-GB"/>
        </w:rPr>
        <w:t xml:space="preserve">Burberry Plc Corporate. (2024). </w:t>
      </w:r>
      <w:r w:rsidRPr="00E93037">
        <w:rPr>
          <w:rFonts w:eastAsia="Times New Roman"/>
          <w:i/>
          <w:iCs/>
          <w:sz w:val="24"/>
          <w:szCs w:val="24"/>
          <w:highlight w:val="white"/>
          <w:lang w:val="en-GB"/>
        </w:rPr>
        <w:t>Fair and Equitable Pay Practices</w:t>
      </w:r>
      <w:r w:rsidRPr="00E93037">
        <w:rPr>
          <w:rFonts w:eastAsia="Times New Roman"/>
          <w:sz w:val="24"/>
          <w:szCs w:val="24"/>
          <w:highlight w:val="white"/>
          <w:lang w:val="en-GB"/>
        </w:rPr>
        <w:t>. [</w:t>
      </w:r>
      <w:proofErr w:type="gramStart"/>
      <w:r w:rsidRPr="00E93037">
        <w:rPr>
          <w:rFonts w:eastAsia="Times New Roman"/>
          <w:sz w:val="24"/>
          <w:szCs w:val="24"/>
          <w:highlight w:val="white"/>
          <w:lang w:val="en-GB"/>
        </w:rPr>
        <w:t>online</w:t>
      </w:r>
      <w:proofErr w:type="gramEnd"/>
      <w:r w:rsidRPr="00E93037">
        <w:rPr>
          <w:rFonts w:eastAsia="Times New Roman"/>
          <w:sz w:val="24"/>
          <w:szCs w:val="24"/>
          <w:highlight w:val="white"/>
          <w:lang w:val="en-GB"/>
        </w:rPr>
        <w:t xml:space="preserve">] Available at: </w:t>
      </w:r>
      <w:hyperlink r:id="rId12">
        <w:r w:rsidRPr="00E93037">
          <w:rPr>
            <w:rFonts w:eastAsia="Times New Roman"/>
            <w:sz w:val="24"/>
            <w:szCs w:val="24"/>
            <w:highlight w:val="white"/>
            <w:lang w:val="en-GB"/>
          </w:rPr>
          <w:t>https://www.burberryplc.com/people/fair-and-equitable-pay-practices</w:t>
        </w:r>
      </w:hyperlink>
      <w:r w:rsidRPr="00E93037">
        <w:rPr>
          <w:rFonts w:eastAsia="Times New Roman"/>
          <w:sz w:val="24"/>
          <w:szCs w:val="24"/>
          <w:highlight w:val="white"/>
          <w:lang w:val="en-GB"/>
        </w:rPr>
        <w:t>. (Accessed on: 22nd April, 2026)</w:t>
      </w:r>
    </w:p>
    <w:p w:rsidR="00E93037" w:rsidRPr="00E93037" w:rsidRDefault="00E93037" w:rsidP="00E93037">
      <w:pPr>
        <w:pStyle w:val="Normal1"/>
        <w:spacing w:after="240" w:line="360" w:lineRule="auto"/>
        <w:jc w:val="both"/>
        <w:rPr>
          <w:rFonts w:eastAsia="Times New Roman"/>
          <w:sz w:val="24"/>
          <w:szCs w:val="24"/>
          <w:highlight w:val="white"/>
          <w:lang w:val="en-GB"/>
        </w:rPr>
      </w:pPr>
      <w:proofErr w:type="spellStart"/>
      <w:r w:rsidRPr="00E93037">
        <w:rPr>
          <w:rFonts w:eastAsia="Times New Roman"/>
          <w:sz w:val="24"/>
          <w:szCs w:val="24"/>
          <w:highlight w:val="white"/>
          <w:lang w:val="en-GB"/>
        </w:rPr>
        <w:t>Burberrycareers</w:t>
      </w:r>
      <w:proofErr w:type="spellEnd"/>
      <w:r w:rsidRPr="00E93037">
        <w:rPr>
          <w:rFonts w:eastAsia="Times New Roman"/>
          <w:sz w:val="24"/>
          <w:szCs w:val="24"/>
          <w:highlight w:val="white"/>
          <w:lang w:val="en-GB"/>
        </w:rPr>
        <w:t xml:space="preserve">. (2025). </w:t>
      </w:r>
      <w:r w:rsidRPr="00E93037">
        <w:rPr>
          <w:rFonts w:eastAsia="Times New Roman"/>
          <w:i/>
          <w:iCs/>
          <w:sz w:val="24"/>
          <w:szCs w:val="24"/>
          <w:highlight w:val="white"/>
          <w:lang w:val="en-GB"/>
        </w:rPr>
        <w:t>Life at Burberry</w:t>
      </w:r>
      <w:r w:rsidRPr="00E93037">
        <w:rPr>
          <w:rFonts w:eastAsia="Times New Roman"/>
          <w:sz w:val="24"/>
          <w:szCs w:val="24"/>
          <w:highlight w:val="white"/>
          <w:lang w:val="en-GB"/>
        </w:rPr>
        <w:t>. [</w:t>
      </w:r>
      <w:proofErr w:type="gramStart"/>
      <w:r w:rsidRPr="00E93037">
        <w:rPr>
          <w:rFonts w:eastAsia="Times New Roman"/>
          <w:sz w:val="24"/>
          <w:szCs w:val="24"/>
          <w:highlight w:val="white"/>
          <w:lang w:val="en-GB"/>
        </w:rPr>
        <w:t>online</w:t>
      </w:r>
      <w:proofErr w:type="gramEnd"/>
      <w:r w:rsidRPr="00E93037">
        <w:rPr>
          <w:rFonts w:eastAsia="Times New Roman"/>
          <w:sz w:val="24"/>
          <w:szCs w:val="24"/>
          <w:highlight w:val="white"/>
          <w:lang w:val="en-GB"/>
        </w:rPr>
        <w:t xml:space="preserve">] Available at: </w:t>
      </w:r>
      <w:hyperlink r:id="rId13">
        <w:r w:rsidRPr="00E93037">
          <w:rPr>
            <w:rFonts w:eastAsia="Times New Roman"/>
            <w:sz w:val="24"/>
            <w:szCs w:val="24"/>
            <w:highlight w:val="white"/>
            <w:lang w:val="en-GB"/>
          </w:rPr>
          <w:t>https://burberrycareers.com/content/Life-at-Burberry/?locale=ja_JP</w:t>
        </w:r>
      </w:hyperlink>
      <w:r w:rsidRPr="00E93037">
        <w:rPr>
          <w:rFonts w:eastAsia="Times New Roman"/>
          <w:sz w:val="24"/>
          <w:szCs w:val="24"/>
          <w:highlight w:val="white"/>
          <w:lang w:val="en-GB"/>
        </w:rPr>
        <w:t>. (Accessed on: 22nd April, 2026)</w:t>
      </w:r>
    </w:p>
    <w:p w:rsidR="00E93037" w:rsidRPr="00E93037" w:rsidRDefault="00E93037" w:rsidP="00E93037">
      <w:pPr>
        <w:pStyle w:val="Normal1"/>
        <w:spacing w:after="240" w:line="360" w:lineRule="auto"/>
        <w:jc w:val="both"/>
        <w:rPr>
          <w:rFonts w:eastAsia="Times New Roman"/>
          <w:sz w:val="24"/>
          <w:szCs w:val="24"/>
          <w:highlight w:val="white"/>
          <w:lang w:val="en-GB"/>
        </w:rPr>
      </w:pPr>
      <w:proofErr w:type="spellStart"/>
      <w:r w:rsidRPr="00E93037">
        <w:rPr>
          <w:rFonts w:eastAsia="Times New Roman"/>
          <w:sz w:val="24"/>
          <w:szCs w:val="24"/>
          <w:highlight w:val="white"/>
          <w:lang w:val="en-GB"/>
        </w:rPr>
        <w:t>Burberryplc</w:t>
      </w:r>
      <w:proofErr w:type="spellEnd"/>
      <w:r w:rsidRPr="00E93037">
        <w:rPr>
          <w:rFonts w:eastAsia="Times New Roman"/>
          <w:sz w:val="24"/>
          <w:szCs w:val="24"/>
          <w:highlight w:val="white"/>
          <w:lang w:val="en-GB"/>
        </w:rPr>
        <w:t xml:space="preserve">. (2026). </w:t>
      </w:r>
      <w:r w:rsidRPr="00E93037">
        <w:rPr>
          <w:rFonts w:eastAsia="Times New Roman"/>
          <w:i/>
          <w:iCs/>
          <w:sz w:val="24"/>
          <w:szCs w:val="24"/>
          <w:highlight w:val="white"/>
          <w:lang w:val="en-GB"/>
        </w:rPr>
        <w:t>Burberry Plc annual report.</w:t>
      </w:r>
      <w:r w:rsidRPr="00E93037">
        <w:rPr>
          <w:rFonts w:eastAsia="Times New Roman"/>
          <w:sz w:val="24"/>
          <w:szCs w:val="24"/>
          <w:highlight w:val="white"/>
          <w:lang w:val="en-GB"/>
        </w:rPr>
        <w:t xml:space="preserve"> [</w:t>
      </w:r>
      <w:proofErr w:type="gramStart"/>
      <w:r w:rsidRPr="00E93037">
        <w:rPr>
          <w:rFonts w:eastAsia="Times New Roman"/>
          <w:sz w:val="24"/>
          <w:szCs w:val="24"/>
          <w:highlight w:val="white"/>
          <w:lang w:val="en-GB"/>
        </w:rPr>
        <w:t>online</w:t>
      </w:r>
      <w:proofErr w:type="gramEnd"/>
      <w:r w:rsidRPr="00E93037">
        <w:rPr>
          <w:rFonts w:eastAsia="Times New Roman"/>
          <w:sz w:val="24"/>
          <w:szCs w:val="24"/>
          <w:highlight w:val="white"/>
          <w:lang w:val="en-GB"/>
        </w:rPr>
        <w:t xml:space="preserve">] Available at: </w:t>
      </w:r>
      <w:hyperlink r:id="rId14">
        <w:r w:rsidRPr="00E93037">
          <w:rPr>
            <w:rFonts w:eastAsia="Times New Roman"/>
            <w:sz w:val="24"/>
            <w:szCs w:val="24"/>
            <w:highlight w:val="white"/>
            <w:lang w:val="en-GB"/>
          </w:rPr>
          <w:t>https://www.burberryplc.com/content/dam/burberryplc/corporate/documents/investors/annual-report-archive/annual-report-2021-22.pdf</w:t>
        </w:r>
      </w:hyperlink>
      <w:r w:rsidRPr="00E93037">
        <w:rPr>
          <w:rFonts w:eastAsia="Times New Roman"/>
          <w:sz w:val="24"/>
          <w:szCs w:val="24"/>
          <w:highlight w:val="white"/>
          <w:lang w:val="en-GB"/>
        </w:rPr>
        <w:t xml:space="preserve"> (Accessed on: 22nd April, 2026)</w:t>
      </w:r>
    </w:p>
    <w:p w:rsidR="00E93037" w:rsidRPr="00E93037" w:rsidRDefault="00E93037" w:rsidP="00E93037">
      <w:pPr>
        <w:pStyle w:val="Normal1"/>
        <w:spacing w:after="240" w:line="360" w:lineRule="auto"/>
        <w:jc w:val="both"/>
        <w:rPr>
          <w:rFonts w:eastAsia="Times New Roman"/>
          <w:sz w:val="24"/>
          <w:szCs w:val="24"/>
          <w:highlight w:val="white"/>
          <w:lang w:val="en-GB"/>
        </w:rPr>
      </w:pPr>
      <w:r w:rsidRPr="00E93037">
        <w:rPr>
          <w:rFonts w:eastAsia="Times New Roman"/>
          <w:sz w:val="24"/>
          <w:szCs w:val="24"/>
          <w:highlight w:val="white"/>
          <w:lang w:val="en-GB"/>
        </w:rPr>
        <w:lastRenderedPageBreak/>
        <w:t xml:space="preserve">Burke, P.J. and Stets, J.E., (2022). </w:t>
      </w:r>
      <w:r w:rsidRPr="00E93037">
        <w:rPr>
          <w:rFonts w:eastAsia="Times New Roman"/>
          <w:i/>
          <w:iCs/>
          <w:sz w:val="24"/>
          <w:szCs w:val="24"/>
          <w:highlight w:val="white"/>
          <w:lang w:val="en-GB"/>
        </w:rPr>
        <w:t>Identity theory: Revised and expanded</w:t>
      </w:r>
      <w:r w:rsidRPr="00E93037">
        <w:rPr>
          <w:rFonts w:eastAsia="Times New Roman"/>
          <w:sz w:val="24"/>
          <w:szCs w:val="24"/>
          <w:highlight w:val="white"/>
          <w:lang w:val="en-GB"/>
        </w:rPr>
        <w:t xml:space="preserve">. Oxford University Press.  </w:t>
      </w:r>
    </w:p>
    <w:p w:rsidR="00E93037" w:rsidRPr="00E93037" w:rsidRDefault="00E93037" w:rsidP="00E93037">
      <w:pPr>
        <w:pStyle w:val="Normal1"/>
        <w:spacing w:after="240" w:line="360" w:lineRule="auto"/>
        <w:jc w:val="both"/>
        <w:rPr>
          <w:rFonts w:eastAsia="Times New Roman"/>
          <w:sz w:val="24"/>
          <w:szCs w:val="24"/>
          <w:highlight w:val="white"/>
          <w:lang w:val="en-GB"/>
        </w:rPr>
      </w:pPr>
      <w:proofErr w:type="spellStart"/>
      <w:r w:rsidRPr="00E93037">
        <w:rPr>
          <w:rFonts w:eastAsia="Times New Roman"/>
          <w:sz w:val="24"/>
          <w:szCs w:val="24"/>
          <w:highlight w:val="white"/>
          <w:lang w:val="en-GB"/>
        </w:rPr>
        <w:t>DataIQ</w:t>
      </w:r>
      <w:proofErr w:type="spellEnd"/>
      <w:r w:rsidRPr="00E93037">
        <w:rPr>
          <w:rFonts w:eastAsia="Times New Roman"/>
          <w:sz w:val="24"/>
          <w:szCs w:val="24"/>
          <w:highlight w:val="white"/>
          <w:lang w:val="en-GB"/>
        </w:rPr>
        <w:t xml:space="preserve">. (2025). </w:t>
      </w:r>
      <w:r w:rsidRPr="00E93037">
        <w:rPr>
          <w:rFonts w:eastAsia="Times New Roman"/>
          <w:i/>
          <w:iCs/>
          <w:sz w:val="24"/>
          <w:szCs w:val="24"/>
          <w:highlight w:val="white"/>
          <w:lang w:val="en-GB"/>
        </w:rPr>
        <w:t xml:space="preserve">2026 </w:t>
      </w:r>
      <w:proofErr w:type="spellStart"/>
      <w:r w:rsidRPr="00E93037">
        <w:rPr>
          <w:rFonts w:eastAsia="Times New Roman"/>
          <w:i/>
          <w:iCs/>
          <w:sz w:val="24"/>
          <w:szCs w:val="24"/>
          <w:highlight w:val="white"/>
          <w:lang w:val="en-GB"/>
        </w:rPr>
        <w:t>DataIQ</w:t>
      </w:r>
      <w:proofErr w:type="spellEnd"/>
      <w:r w:rsidRPr="00E93037">
        <w:rPr>
          <w:rFonts w:eastAsia="Times New Roman"/>
          <w:i/>
          <w:iCs/>
          <w:sz w:val="24"/>
          <w:szCs w:val="24"/>
          <w:highlight w:val="white"/>
          <w:lang w:val="en-GB"/>
        </w:rPr>
        <w:t xml:space="preserve"> 100 Europe Live Reveal</w:t>
      </w:r>
      <w:r w:rsidRPr="00E93037">
        <w:rPr>
          <w:rFonts w:eastAsia="Times New Roman"/>
          <w:sz w:val="24"/>
          <w:szCs w:val="24"/>
          <w:highlight w:val="white"/>
          <w:lang w:val="en-GB"/>
        </w:rPr>
        <w:t>. [</w:t>
      </w:r>
      <w:proofErr w:type="gramStart"/>
      <w:r w:rsidRPr="00E93037">
        <w:rPr>
          <w:rFonts w:eastAsia="Times New Roman"/>
          <w:sz w:val="24"/>
          <w:szCs w:val="24"/>
          <w:highlight w:val="white"/>
          <w:lang w:val="en-GB"/>
        </w:rPr>
        <w:t>online</w:t>
      </w:r>
      <w:proofErr w:type="gramEnd"/>
      <w:r w:rsidRPr="00E93037">
        <w:rPr>
          <w:rFonts w:eastAsia="Times New Roman"/>
          <w:sz w:val="24"/>
          <w:szCs w:val="24"/>
          <w:highlight w:val="white"/>
          <w:lang w:val="en-GB"/>
        </w:rPr>
        <w:t xml:space="preserve">] Available at: </w:t>
      </w:r>
      <w:hyperlink r:id="rId15">
        <w:r w:rsidRPr="00E93037">
          <w:rPr>
            <w:rFonts w:eastAsia="Times New Roman"/>
            <w:sz w:val="24"/>
            <w:szCs w:val="24"/>
            <w:highlight w:val="white"/>
            <w:lang w:val="en-GB"/>
          </w:rPr>
          <w:t>https://www.dataiq.global/award-winner/most-innovative-use-of-ai-global-burberry/</w:t>
        </w:r>
      </w:hyperlink>
      <w:r w:rsidRPr="00E93037">
        <w:rPr>
          <w:rFonts w:eastAsia="Times New Roman"/>
          <w:sz w:val="24"/>
          <w:szCs w:val="24"/>
          <w:highlight w:val="white"/>
          <w:lang w:val="en-GB"/>
        </w:rPr>
        <w:t>. (Accessed on: 22nd April, 2026)</w:t>
      </w:r>
    </w:p>
    <w:p w:rsidR="00E93037" w:rsidRPr="00E93037" w:rsidRDefault="00E93037" w:rsidP="00E93037">
      <w:pPr>
        <w:pStyle w:val="Normal1"/>
        <w:spacing w:after="240" w:line="360" w:lineRule="auto"/>
        <w:jc w:val="both"/>
        <w:rPr>
          <w:rFonts w:eastAsia="Times New Roman"/>
          <w:b/>
          <w:bCs/>
          <w:sz w:val="24"/>
          <w:szCs w:val="24"/>
          <w:lang w:val="en-GB"/>
        </w:rPr>
      </w:pPr>
      <w:proofErr w:type="spellStart"/>
      <w:r w:rsidRPr="00E93037">
        <w:rPr>
          <w:rFonts w:eastAsia="Times New Roman"/>
          <w:sz w:val="24"/>
          <w:szCs w:val="24"/>
          <w:highlight w:val="white"/>
          <w:lang w:val="en-GB"/>
        </w:rPr>
        <w:t>Fabris</w:t>
      </w:r>
      <w:proofErr w:type="spellEnd"/>
      <w:r w:rsidRPr="00E93037">
        <w:rPr>
          <w:rFonts w:eastAsia="Times New Roman"/>
          <w:sz w:val="24"/>
          <w:szCs w:val="24"/>
          <w:highlight w:val="white"/>
          <w:lang w:val="en-GB"/>
        </w:rPr>
        <w:t xml:space="preserve">, A., </w:t>
      </w:r>
      <w:proofErr w:type="spellStart"/>
      <w:r w:rsidRPr="00E93037">
        <w:rPr>
          <w:rFonts w:eastAsia="Times New Roman"/>
          <w:sz w:val="24"/>
          <w:szCs w:val="24"/>
          <w:highlight w:val="white"/>
          <w:lang w:val="en-GB"/>
        </w:rPr>
        <w:t>Baranowska</w:t>
      </w:r>
      <w:proofErr w:type="spellEnd"/>
      <w:r w:rsidRPr="00E93037">
        <w:rPr>
          <w:rFonts w:eastAsia="Times New Roman"/>
          <w:sz w:val="24"/>
          <w:szCs w:val="24"/>
          <w:highlight w:val="white"/>
          <w:lang w:val="en-GB"/>
        </w:rPr>
        <w:t xml:space="preserve">, N., Dennis, M.J., </w:t>
      </w:r>
      <w:proofErr w:type="spellStart"/>
      <w:r w:rsidRPr="00E93037">
        <w:rPr>
          <w:rFonts w:eastAsia="Times New Roman"/>
          <w:sz w:val="24"/>
          <w:szCs w:val="24"/>
          <w:highlight w:val="white"/>
          <w:lang w:val="en-GB"/>
        </w:rPr>
        <w:t>Graus</w:t>
      </w:r>
      <w:proofErr w:type="spellEnd"/>
      <w:r w:rsidRPr="00E93037">
        <w:rPr>
          <w:rFonts w:eastAsia="Times New Roman"/>
          <w:sz w:val="24"/>
          <w:szCs w:val="24"/>
          <w:highlight w:val="white"/>
          <w:lang w:val="en-GB"/>
        </w:rPr>
        <w:t xml:space="preserve">, D., Hacker, P., Saldivar, J., </w:t>
      </w:r>
      <w:proofErr w:type="spellStart"/>
      <w:r w:rsidRPr="00E93037">
        <w:rPr>
          <w:rFonts w:eastAsia="Times New Roman"/>
          <w:sz w:val="24"/>
          <w:szCs w:val="24"/>
          <w:highlight w:val="white"/>
          <w:lang w:val="en-GB"/>
        </w:rPr>
        <w:t>Zuiderveen</w:t>
      </w:r>
      <w:proofErr w:type="spellEnd"/>
      <w:r w:rsidRPr="00E93037">
        <w:rPr>
          <w:rFonts w:eastAsia="Times New Roman"/>
          <w:sz w:val="24"/>
          <w:szCs w:val="24"/>
          <w:highlight w:val="white"/>
          <w:lang w:val="en-GB"/>
        </w:rPr>
        <w:t xml:space="preserve"> </w:t>
      </w:r>
      <w:proofErr w:type="spellStart"/>
      <w:r w:rsidRPr="00E93037">
        <w:rPr>
          <w:rFonts w:eastAsia="Times New Roman"/>
          <w:sz w:val="24"/>
          <w:szCs w:val="24"/>
          <w:highlight w:val="white"/>
          <w:lang w:val="en-GB"/>
        </w:rPr>
        <w:t>Borgesius</w:t>
      </w:r>
      <w:proofErr w:type="spellEnd"/>
      <w:r w:rsidRPr="00E93037">
        <w:rPr>
          <w:rFonts w:eastAsia="Times New Roman"/>
          <w:sz w:val="24"/>
          <w:szCs w:val="24"/>
          <w:highlight w:val="white"/>
          <w:lang w:val="en-GB"/>
        </w:rPr>
        <w:t xml:space="preserve">, F. and </w:t>
      </w:r>
      <w:proofErr w:type="spellStart"/>
      <w:r w:rsidRPr="00E93037">
        <w:rPr>
          <w:rFonts w:eastAsia="Times New Roman"/>
          <w:sz w:val="24"/>
          <w:szCs w:val="24"/>
          <w:highlight w:val="white"/>
          <w:lang w:val="en-GB"/>
        </w:rPr>
        <w:t>Biega</w:t>
      </w:r>
      <w:proofErr w:type="spellEnd"/>
      <w:r w:rsidRPr="00E93037">
        <w:rPr>
          <w:rFonts w:eastAsia="Times New Roman"/>
          <w:sz w:val="24"/>
          <w:szCs w:val="24"/>
          <w:highlight w:val="white"/>
          <w:lang w:val="en-GB"/>
        </w:rPr>
        <w:t xml:space="preserve">, A.J., (2025). Fairness and bias in algorithmic hiring: A multidisciplinary survey. </w:t>
      </w:r>
      <w:r w:rsidRPr="00E93037">
        <w:rPr>
          <w:rFonts w:eastAsia="Times New Roman"/>
          <w:i/>
          <w:iCs/>
          <w:sz w:val="24"/>
          <w:szCs w:val="24"/>
          <w:highlight w:val="white"/>
          <w:lang w:val="en-GB"/>
        </w:rPr>
        <w:t>ACM Transactions on Intelligent Systems and Technology</w:t>
      </w:r>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16</w:t>
      </w:r>
      <w:r w:rsidRPr="00E93037">
        <w:rPr>
          <w:rFonts w:eastAsia="Times New Roman"/>
          <w:sz w:val="24"/>
          <w:szCs w:val="24"/>
          <w:highlight w:val="white"/>
          <w:lang w:val="en-GB"/>
        </w:rPr>
        <w:t xml:space="preserve">(1), pp.1-54.  </w:t>
      </w:r>
      <w:hyperlink r:id="rId16">
        <w:r w:rsidRPr="00E93037">
          <w:rPr>
            <w:rFonts w:eastAsia="Times New Roman"/>
            <w:sz w:val="24"/>
            <w:szCs w:val="24"/>
            <w:highlight w:val="white"/>
            <w:lang w:val="en-GB"/>
          </w:rPr>
          <w:t>https://dl.acm.org/doi/pdf/10.1145/3696457</w:t>
        </w:r>
      </w:hyperlink>
    </w:p>
    <w:p w:rsidR="00E93037" w:rsidRPr="00E93037" w:rsidRDefault="00E93037" w:rsidP="00E93037">
      <w:pPr>
        <w:pStyle w:val="Normal1"/>
        <w:spacing w:after="240" w:line="360" w:lineRule="auto"/>
        <w:jc w:val="both"/>
        <w:rPr>
          <w:rFonts w:eastAsia="Times New Roman"/>
          <w:sz w:val="24"/>
          <w:szCs w:val="24"/>
          <w:highlight w:val="white"/>
          <w:lang w:val="en-GB"/>
        </w:rPr>
      </w:pPr>
      <w:proofErr w:type="spellStart"/>
      <w:r w:rsidRPr="00E93037">
        <w:rPr>
          <w:rFonts w:eastAsia="Times New Roman"/>
          <w:sz w:val="24"/>
          <w:szCs w:val="24"/>
          <w:highlight w:val="white"/>
          <w:lang w:val="en-GB"/>
        </w:rPr>
        <w:t>Fitri</w:t>
      </w:r>
      <w:proofErr w:type="spellEnd"/>
      <w:r w:rsidRPr="00E93037">
        <w:rPr>
          <w:rFonts w:eastAsia="Times New Roman"/>
          <w:sz w:val="24"/>
          <w:szCs w:val="24"/>
          <w:highlight w:val="white"/>
          <w:lang w:val="en-GB"/>
        </w:rPr>
        <w:t xml:space="preserve">, S., (2024). Evaluation of compensation policies and their impact on employee retention in the food industry. </w:t>
      </w:r>
      <w:r w:rsidRPr="00E93037">
        <w:rPr>
          <w:rFonts w:eastAsia="Times New Roman"/>
          <w:i/>
          <w:iCs/>
          <w:sz w:val="24"/>
          <w:szCs w:val="24"/>
          <w:highlight w:val="white"/>
          <w:lang w:val="en-GB"/>
        </w:rPr>
        <w:t>Involvement International Journal of Business</w:t>
      </w:r>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1</w:t>
      </w:r>
      <w:r w:rsidRPr="00E93037">
        <w:rPr>
          <w:rFonts w:eastAsia="Times New Roman"/>
          <w:sz w:val="24"/>
          <w:szCs w:val="24"/>
          <w:highlight w:val="white"/>
          <w:lang w:val="en-GB"/>
        </w:rPr>
        <w:t xml:space="preserve">(1), pp.43-59. </w:t>
      </w:r>
      <w:hyperlink r:id="rId17">
        <w:r w:rsidRPr="00E93037">
          <w:rPr>
            <w:rFonts w:eastAsia="Times New Roman"/>
            <w:sz w:val="24"/>
            <w:szCs w:val="24"/>
            <w:highlight w:val="white"/>
            <w:lang w:val="en-GB"/>
          </w:rPr>
          <w:t>https://ejournal.agungmediapublisher.com/index.php/iijb/article/download/6/4</w:t>
        </w:r>
      </w:hyperlink>
    </w:p>
    <w:p w:rsidR="00E93037" w:rsidRPr="00E93037" w:rsidRDefault="00E93037" w:rsidP="00E93037">
      <w:pPr>
        <w:pStyle w:val="Normal1"/>
        <w:spacing w:after="240" w:line="360" w:lineRule="auto"/>
        <w:jc w:val="both"/>
        <w:rPr>
          <w:rFonts w:eastAsia="Times New Roman"/>
          <w:sz w:val="24"/>
          <w:szCs w:val="24"/>
          <w:highlight w:val="white"/>
          <w:lang w:val="en-GB"/>
        </w:rPr>
      </w:pPr>
      <w:r w:rsidRPr="00E93037">
        <w:rPr>
          <w:rFonts w:eastAsia="Times New Roman"/>
          <w:sz w:val="24"/>
          <w:szCs w:val="24"/>
          <w:highlight w:val="white"/>
          <w:lang w:val="en-GB"/>
        </w:rPr>
        <w:t xml:space="preserve">Hartley, M.E., (2025). </w:t>
      </w:r>
      <w:r w:rsidRPr="00E93037">
        <w:rPr>
          <w:rFonts w:eastAsia="Times New Roman"/>
          <w:i/>
          <w:iCs/>
          <w:sz w:val="24"/>
          <w:szCs w:val="24"/>
          <w:highlight w:val="white"/>
          <w:lang w:val="en-GB"/>
        </w:rPr>
        <w:t>Perceptions and Practices of Human Resources Management: Does Psychological Safety Matter in Mid and Large-Sized Organizations</w:t>
      </w:r>
      <w:proofErr w:type="gramStart"/>
      <w:r w:rsidRPr="00E93037">
        <w:rPr>
          <w:rFonts w:eastAsia="Times New Roman"/>
          <w:i/>
          <w:iCs/>
          <w:sz w:val="24"/>
          <w:szCs w:val="24"/>
          <w:highlight w:val="white"/>
          <w:lang w:val="en-GB"/>
        </w:rPr>
        <w:t>?</w:t>
      </w:r>
      <w:r w:rsidRPr="00E93037">
        <w:rPr>
          <w:rFonts w:eastAsia="Times New Roman"/>
          <w:sz w:val="24"/>
          <w:szCs w:val="24"/>
          <w:highlight w:val="white"/>
          <w:lang w:val="en-GB"/>
        </w:rPr>
        <w:t>.</w:t>
      </w:r>
      <w:proofErr w:type="gramEnd"/>
      <w:r w:rsidRPr="00E93037">
        <w:rPr>
          <w:rFonts w:eastAsia="Times New Roman"/>
          <w:sz w:val="24"/>
          <w:szCs w:val="24"/>
          <w:highlight w:val="white"/>
          <w:lang w:val="en-GB"/>
        </w:rPr>
        <w:t xml:space="preserve"> Robert Morris University. </w:t>
      </w:r>
    </w:p>
    <w:p w:rsidR="00E93037" w:rsidRPr="00E93037" w:rsidRDefault="00E93037" w:rsidP="00E93037">
      <w:pPr>
        <w:pStyle w:val="Normal1"/>
        <w:spacing w:after="240" w:line="360" w:lineRule="auto"/>
        <w:jc w:val="both"/>
        <w:rPr>
          <w:rFonts w:eastAsia="Times New Roman"/>
          <w:sz w:val="24"/>
          <w:szCs w:val="24"/>
          <w:highlight w:val="white"/>
          <w:lang w:val="en-GB"/>
        </w:rPr>
      </w:pPr>
      <w:r w:rsidRPr="00E93037">
        <w:rPr>
          <w:rFonts w:eastAsia="Times New Roman"/>
          <w:sz w:val="24"/>
          <w:szCs w:val="24"/>
          <w:highlight w:val="white"/>
          <w:lang w:val="en-GB"/>
        </w:rPr>
        <w:t xml:space="preserve">Leong, S.Y. and Said, H., (2024). Revisit Attraction–Selection–Attrition Model for Teacher Retention in International Schools. </w:t>
      </w:r>
      <w:r w:rsidRPr="00E93037">
        <w:rPr>
          <w:rFonts w:eastAsia="Times New Roman"/>
          <w:i/>
          <w:iCs/>
          <w:sz w:val="24"/>
          <w:szCs w:val="24"/>
          <w:highlight w:val="white"/>
          <w:lang w:val="en-GB"/>
        </w:rPr>
        <w:t>European Journal of Educational Research</w:t>
      </w:r>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13</w:t>
      </w:r>
      <w:r w:rsidRPr="00E93037">
        <w:rPr>
          <w:rFonts w:eastAsia="Times New Roman"/>
          <w:sz w:val="24"/>
          <w:szCs w:val="24"/>
          <w:highlight w:val="white"/>
          <w:lang w:val="en-GB"/>
        </w:rPr>
        <w:t xml:space="preserve">(2), pp.865-876. </w:t>
      </w:r>
      <w:hyperlink r:id="rId18">
        <w:r w:rsidRPr="00E93037">
          <w:rPr>
            <w:rFonts w:eastAsia="Times New Roman"/>
            <w:sz w:val="24"/>
            <w:szCs w:val="24"/>
            <w:highlight w:val="white"/>
            <w:lang w:val="en-GB"/>
          </w:rPr>
          <w:t>https://www.eu-jer.com/articles/EU-JER_13_2_865.pdf</w:t>
        </w:r>
      </w:hyperlink>
    </w:p>
    <w:p w:rsidR="00E93037" w:rsidRPr="00E93037" w:rsidRDefault="00E93037" w:rsidP="00E93037">
      <w:pPr>
        <w:pStyle w:val="Normal1"/>
        <w:spacing w:after="240" w:line="360" w:lineRule="auto"/>
        <w:jc w:val="both"/>
        <w:rPr>
          <w:rFonts w:eastAsia="Times New Roman"/>
          <w:sz w:val="24"/>
          <w:szCs w:val="24"/>
          <w:highlight w:val="white"/>
          <w:lang w:val="en-GB"/>
        </w:rPr>
      </w:pPr>
      <w:proofErr w:type="spellStart"/>
      <w:r w:rsidRPr="00E93037">
        <w:rPr>
          <w:rFonts w:eastAsia="Times New Roman"/>
          <w:sz w:val="24"/>
          <w:szCs w:val="24"/>
          <w:highlight w:val="white"/>
          <w:lang w:val="en-GB"/>
        </w:rPr>
        <w:t>Mogaji</w:t>
      </w:r>
      <w:proofErr w:type="spellEnd"/>
      <w:r w:rsidRPr="00E93037">
        <w:rPr>
          <w:rFonts w:eastAsia="Times New Roman"/>
          <w:sz w:val="24"/>
          <w:szCs w:val="24"/>
          <w:highlight w:val="white"/>
          <w:lang w:val="en-GB"/>
        </w:rPr>
        <w:t xml:space="preserve">, E., </w:t>
      </w:r>
      <w:proofErr w:type="spellStart"/>
      <w:r w:rsidRPr="00E93037">
        <w:rPr>
          <w:rFonts w:eastAsia="Times New Roman"/>
          <w:sz w:val="24"/>
          <w:szCs w:val="24"/>
          <w:highlight w:val="white"/>
          <w:lang w:val="en-GB"/>
        </w:rPr>
        <w:t>Viglia</w:t>
      </w:r>
      <w:proofErr w:type="spellEnd"/>
      <w:r w:rsidRPr="00E93037">
        <w:rPr>
          <w:rFonts w:eastAsia="Times New Roman"/>
          <w:sz w:val="24"/>
          <w:szCs w:val="24"/>
          <w:highlight w:val="white"/>
          <w:lang w:val="en-GB"/>
        </w:rPr>
        <w:t xml:space="preserve">, G., Srivastava, P. and </w:t>
      </w:r>
      <w:proofErr w:type="spellStart"/>
      <w:r w:rsidRPr="00E93037">
        <w:rPr>
          <w:rFonts w:eastAsia="Times New Roman"/>
          <w:sz w:val="24"/>
          <w:szCs w:val="24"/>
          <w:highlight w:val="white"/>
          <w:lang w:val="en-GB"/>
        </w:rPr>
        <w:t>Dwivedi</w:t>
      </w:r>
      <w:proofErr w:type="spellEnd"/>
      <w:r w:rsidRPr="00E93037">
        <w:rPr>
          <w:rFonts w:eastAsia="Times New Roman"/>
          <w:sz w:val="24"/>
          <w:szCs w:val="24"/>
          <w:highlight w:val="white"/>
          <w:lang w:val="en-GB"/>
        </w:rPr>
        <w:t>, Y.K., (2024). Is it the end of the technology acceptance model in the era of generative artificial intelligence</w:t>
      </w:r>
      <w:proofErr w:type="gramStart"/>
      <w:r w:rsidRPr="00E93037">
        <w:rPr>
          <w:rFonts w:eastAsia="Times New Roman"/>
          <w:sz w:val="24"/>
          <w:szCs w:val="24"/>
          <w:highlight w:val="white"/>
          <w:lang w:val="en-GB"/>
        </w:rPr>
        <w:t>?.</w:t>
      </w:r>
      <w:proofErr w:type="gramEnd"/>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International Journal of Contemporary Hospitality Management</w:t>
      </w:r>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36</w:t>
      </w:r>
      <w:r w:rsidRPr="00E93037">
        <w:rPr>
          <w:rFonts w:eastAsia="Times New Roman"/>
          <w:sz w:val="24"/>
          <w:szCs w:val="24"/>
          <w:highlight w:val="white"/>
          <w:lang w:val="en-GB"/>
        </w:rPr>
        <w:t xml:space="preserve">(10), pp.3324-3339. </w:t>
      </w:r>
      <w:hyperlink r:id="rId19">
        <w:r w:rsidRPr="00E93037">
          <w:rPr>
            <w:rFonts w:eastAsia="Times New Roman"/>
            <w:sz w:val="24"/>
            <w:szCs w:val="24"/>
            <w:highlight w:val="white"/>
            <w:lang w:val="en-GB"/>
          </w:rPr>
          <w:t>https://www.emerald.com/ijchm/article-pdf/36/10/3324/9537909/ijchm-08-2023-1271.pdf</w:t>
        </w:r>
      </w:hyperlink>
    </w:p>
    <w:p w:rsidR="00E93037" w:rsidRPr="00E93037" w:rsidRDefault="00E93037" w:rsidP="00E93037">
      <w:pPr>
        <w:pStyle w:val="Normal1"/>
        <w:spacing w:after="240" w:line="360" w:lineRule="auto"/>
        <w:jc w:val="both"/>
        <w:rPr>
          <w:rFonts w:eastAsia="Times New Roman"/>
          <w:sz w:val="24"/>
          <w:szCs w:val="24"/>
          <w:highlight w:val="white"/>
          <w:lang w:val="en-GB"/>
        </w:rPr>
      </w:pPr>
      <w:proofErr w:type="spellStart"/>
      <w:r w:rsidRPr="00E93037">
        <w:rPr>
          <w:rFonts w:eastAsia="Times New Roman"/>
          <w:sz w:val="24"/>
          <w:szCs w:val="24"/>
          <w:highlight w:val="white"/>
          <w:lang w:val="en-GB"/>
        </w:rPr>
        <w:t>Ojika</w:t>
      </w:r>
      <w:proofErr w:type="spellEnd"/>
      <w:r w:rsidRPr="00E93037">
        <w:rPr>
          <w:rFonts w:eastAsia="Times New Roman"/>
          <w:sz w:val="24"/>
          <w:szCs w:val="24"/>
          <w:highlight w:val="white"/>
          <w:lang w:val="en-GB"/>
        </w:rPr>
        <w:t xml:space="preserve">, F.U., </w:t>
      </w:r>
      <w:proofErr w:type="spellStart"/>
      <w:r w:rsidRPr="00E93037">
        <w:rPr>
          <w:rFonts w:eastAsia="Times New Roman"/>
          <w:sz w:val="24"/>
          <w:szCs w:val="24"/>
          <w:highlight w:val="white"/>
          <w:lang w:val="en-GB"/>
        </w:rPr>
        <w:t>Owobu</w:t>
      </w:r>
      <w:proofErr w:type="spellEnd"/>
      <w:r w:rsidRPr="00E93037">
        <w:rPr>
          <w:rFonts w:eastAsia="Times New Roman"/>
          <w:sz w:val="24"/>
          <w:szCs w:val="24"/>
          <w:highlight w:val="white"/>
          <w:lang w:val="en-GB"/>
        </w:rPr>
        <w:t xml:space="preserve">, W.O., </w:t>
      </w:r>
      <w:proofErr w:type="spellStart"/>
      <w:r w:rsidRPr="00E93037">
        <w:rPr>
          <w:rFonts w:eastAsia="Times New Roman"/>
          <w:sz w:val="24"/>
          <w:szCs w:val="24"/>
          <w:highlight w:val="white"/>
          <w:lang w:val="en-GB"/>
        </w:rPr>
        <w:t>Abieba</w:t>
      </w:r>
      <w:proofErr w:type="spellEnd"/>
      <w:r w:rsidRPr="00E93037">
        <w:rPr>
          <w:rFonts w:eastAsia="Times New Roman"/>
          <w:sz w:val="24"/>
          <w:szCs w:val="24"/>
          <w:highlight w:val="white"/>
          <w:lang w:val="en-GB"/>
        </w:rPr>
        <w:t xml:space="preserve">, O.A., Esan, O.J., </w:t>
      </w:r>
      <w:proofErr w:type="spellStart"/>
      <w:r w:rsidRPr="00E93037">
        <w:rPr>
          <w:rFonts w:eastAsia="Times New Roman"/>
          <w:sz w:val="24"/>
          <w:szCs w:val="24"/>
          <w:highlight w:val="white"/>
          <w:lang w:val="en-GB"/>
        </w:rPr>
        <w:t>Ubamadu</w:t>
      </w:r>
      <w:proofErr w:type="spellEnd"/>
      <w:r w:rsidRPr="00E93037">
        <w:rPr>
          <w:rFonts w:eastAsia="Times New Roman"/>
          <w:sz w:val="24"/>
          <w:szCs w:val="24"/>
          <w:highlight w:val="white"/>
          <w:lang w:val="en-GB"/>
        </w:rPr>
        <w:t xml:space="preserve">, B.C. and </w:t>
      </w:r>
      <w:proofErr w:type="spellStart"/>
      <w:r w:rsidRPr="00E93037">
        <w:rPr>
          <w:rFonts w:eastAsia="Times New Roman"/>
          <w:sz w:val="24"/>
          <w:szCs w:val="24"/>
          <w:highlight w:val="white"/>
          <w:lang w:val="en-GB"/>
        </w:rPr>
        <w:t>Daraojimba</w:t>
      </w:r>
      <w:proofErr w:type="spellEnd"/>
      <w:r w:rsidRPr="00E93037">
        <w:rPr>
          <w:rFonts w:eastAsia="Times New Roman"/>
          <w:sz w:val="24"/>
          <w:szCs w:val="24"/>
          <w:highlight w:val="white"/>
          <w:lang w:val="en-GB"/>
        </w:rPr>
        <w:t xml:space="preserve">, A.I., (2022). The role of artificial intelligence in business process automation: A model for reducing operational costs and enhancing efficiency. </w:t>
      </w:r>
      <w:r w:rsidRPr="00E93037">
        <w:rPr>
          <w:rFonts w:eastAsia="Times New Roman"/>
          <w:i/>
          <w:iCs/>
          <w:sz w:val="24"/>
          <w:szCs w:val="24"/>
          <w:highlight w:val="white"/>
          <w:lang w:val="en-GB"/>
        </w:rPr>
        <w:t>International Journal of Multidisciplinary Research and Growth Evaluation</w:t>
      </w:r>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3</w:t>
      </w:r>
      <w:r w:rsidRPr="00E93037">
        <w:rPr>
          <w:rFonts w:eastAsia="Times New Roman"/>
          <w:sz w:val="24"/>
          <w:szCs w:val="24"/>
          <w:highlight w:val="white"/>
          <w:lang w:val="en-GB"/>
        </w:rPr>
        <w:t xml:space="preserve">(1), </w:t>
      </w:r>
      <w:r w:rsidRPr="00E93037">
        <w:rPr>
          <w:rFonts w:eastAsia="Times New Roman"/>
          <w:sz w:val="24"/>
          <w:szCs w:val="24"/>
          <w:highlight w:val="white"/>
          <w:lang w:val="en-GB"/>
        </w:rPr>
        <w:lastRenderedPageBreak/>
        <w:t xml:space="preserve">pp.842-860. </w:t>
      </w:r>
      <w:hyperlink r:id="rId20">
        <w:r w:rsidRPr="00E93037">
          <w:rPr>
            <w:rFonts w:eastAsia="Times New Roman"/>
            <w:sz w:val="24"/>
            <w:szCs w:val="24"/>
            <w:highlight w:val="white"/>
            <w:lang w:val="en-GB"/>
          </w:rPr>
          <w:t>https://www.multiresearchjournal.com/admin/uploads/archives/archive-1744730118.pdf</w:t>
        </w:r>
      </w:hyperlink>
    </w:p>
    <w:p w:rsidR="00E93037" w:rsidRPr="00E93037" w:rsidRDefault="00E93037" w:rsidP="00E93037">
      <w:pPr>
        <w:pStyle w:val="Normal1"/>
        <w:spacing w:after="240" w:line="360" w:lineRule="auto"/>
        <w:jc w:val="both"/>
        <w:rPr>
          <w:rFonts w:eastAsia="Times New Roman"/>
          <w:sz w:val="24"/>
          <w:szCs w:val="24"/>
          <w:highlight w:val="white"/>
          <w:lang w:val="en-GB"/>
        </w:rPr>
      </w:pPr>
      <w:proofErr w:type="spellStart"/>
      <w:r w:rsidRPr="00E93037">
        <w:rPr>
          <w:rFonts w:eastAsia="Times New Roman"/>
          <w:sz w:val="24"/>
          <w:szCs w:val="24"/>
          <w:highlight w:val="white"/>
          <w:lang w:val="en-GB"/>
        </w:rPr>
        <w:t>Rafid</w:t>
      </w:r>
      <w:proofErr w:type="spellEnd"/>
      <w:r w:rsidRPr="00E93037">
        <w:rPr>
          <w:rFonts w:eastAsia="Times New Roman"/>
          <w:sz w:val="24"/>
          <w:szCs w:val="24"/>
          <w:highlight w:val="white"/>
          <w:lang w:val="en-GB"/>
        </w:rPr>
        <w:t xml:space="preserve">, M., (2023). Relationship analysis and concept of human capital theory and education. </w:t>
      </w:r>
      <w:r w:rsidRPr="00E93037">
        <w:rPr>
          <w:rFonts w:eastAsia="Times New Roman"/>
          <w:i/>
          <w:iCs/>
          <w:sz w:val="24"/>
          <w:szCs w:val="24"/>
          <w:highlight w:val="white"/>
          <w:lang w:val="en-GB"/>
        </w:rPr>
        <w:t>EDUCATUM: Scientific Journal of Education</w:t>
      </w:r>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1</w:t>
      </w:r>
      <w:r w:rsidRPr="00E93037">
        <w:rPr>
          <w:rFonts w:eastAsia="Times New Roman"/>
          <w:sz w:val="24"/>
          <w:szCs w:val="24"/>
          <w:highlight w:val="white"/>
          <w:lang w:val="en-GB"/>
        </w:rPr>
        <w:t xml:space="preserve">(1), pp.26-31.  </w:t>
      </w:r>
      <w:hyperlink r:id="rId21">
        <w:r w:rsidRPr="00E93037">
          <w:rPr>
            <w:rFonts w:eastAsia="Times New Roman"/>
            <w:sz w:val="24"/>
            <w:szCs w:val="24"/>
            <w:highlight w:val="white"/>
            <w:lang w:val="en-GB"/>
          </w:rPr>
          <w:t>http://ojs.jurnalbk.com/index.php/educatum/article/download/14/15</w:t>
        </w:r>
      </w:hyperlink>
    </w:p>
    <w:p w:rsidR="00E93037" w:rsidRPr="00E93037" w:rsidRDefault="00E93037" w:rsidP="00E93037">
      <w:pPr>
        <w:pStyle w:val="Normal1"/>
        <w:spacing w:after="240" w:line="360" w:lineRule="auto"/>
        <w:jc w:val="both"/>
        <w:rPr>
          <w:rFonts w:eastAsia="Times New Roman"/>
          <w:sz w:val="24"/>
          <w:szCs w:val="24"/>
          <w:highlight w:val="white"/>
          <w:lang w:val="en-GB"/>
        </w:rPr>
      </w:pPr>
      <w:r w:rsidRPr="00E93037">
        <w:rPr>
          <w:rFonts w:eastAsia="Times New Roman"/>
          <w:sz w:val="24"/>
          <w:szCs w:val="24"/>
          <w:highlight w:val="white"/>
          <w:lang w:val="en-GB"/>
        </w:rPr>
        <w:t xml:space="preserve">Raza, M., </w:t>
      </w:r>
      <w:proofErr w:type="spellStart"/>
      <w:r w:rsidRPr="00E93037">
        <w:rPr>
          <w:rFonts w:eastAsia="Times New Roman"/>
          <w:sz w:val="24"/>
          <w:szCs w:val="24"/>
          <w:highlight w:val="white"/>
          <w:lang w:val="en-GB"/>
        </w:rPr>
        <w:t>Khokhar</w:t>
      </w:r>
      <w:proofErr w:type="spellEnd"/>
      <w:r w:rsidRPr="00E93037">
        <w:rPr>
          <w:rFonts w:eastAsia="Times New Roman"/>
          <w:sz w:val="24"/>
          <w:szCs w:val="24"/>
          <w:highlight w:val="white"/>
          <w:lang w:val="en-GB"/>
        </w:rPr>
        <w:t xml:space="preserve">, M.F., </w:t>
      </w:r>
      <w:proofErr w:type="spellStart"/>
      <w:r w:rsidRPr="00E93037">
        <w:rPr>
          <w:rFonts w:eastAsia="Times New Roman"/>
          <w:sz w:val="24"/>
          <w:szCs w:val="24"/>
          <w:highlight w:val="white"/>
          <w:lang w:val="en-GB"/>
        </w:rPr>
        <w:t>Zubair</w:t>
      </w:r>
      <w:proofErr w:type="spellEnd"/>
      <w:r w:rsidRPr="00E93037">
        <w:rPr>
          <w:rFonts w:eastAsia="Times New Roman"/>
          <w:sz w:val="24"/>
          <w:szCs w:val="24"/>
          <w:highlight w:val="white"/>
          <w:lang w:val="en-GB"/>
        </w:rPr>
        <w:t xml:space="preserve">, M. and Rubab, M., (2023). Impact of transparent communication in HR governance: fostering employee trust and engagement. </w:t>
      </w:r>
      <w:r w:rsidRPr="00E93037">
        <w:rPr>
          <w:rFonts w:eastAsia="Times New Roman"/>
          <w:i/>
          <w:iCs/>
          <w:sz w:val="24"/>
          <w:szCs w:val="24"/>
          <w:highlight w:val="white"/>
          <w:lang w:val="en-GB"/>
        </w:rPr>
        <w:t>Bulletin of Business and Economics (BBE)</w:t>
      </w:r>
      <w:r w:rsidRPr="00E93037">
        <w:rPr>
          <w:rFonts w:eastAsia="Times New Roman"/>
          <w:sz w:val="24"/>
          <w:szCs w:val="24"/>
          <w:highlight w:val="white"/>
          <w:lang w:val="en-GB"/>
        </w:rPr>
        <w:t xml:space="preserve">, </w:t>
      </w:r>
      <w:r w:rsidRPr="00E93037">
        <w:rPr>
          <w:rFonts w:eastAsia="Times New Roman"/>
          <w:i/>
          <w:iCs/>
          <w:sz w:val="24"/>
          <w:szCs w:val="24"/>
          <w:highlight w:val="white"/>
          <w:lang w:val="en-GB"/>
        </w:rPr>
        <w:t>12</w:t>
      </w:r>
      <w:r w:rsidRPr="00E93037">
        <w:rPr>
          <w:rFonts w:eastAsia="Times New Roman"/>
          <w:sz w:val="24"/>
          <w:szCs w:val="24"/>
          <w:highlight w:val="white"/>
          <w:lang w:val="en-GB"/>
        </w:rPr>
        <w:t xml:space="preserve">(3), pp.558-566. </w:t>
      </w:r>
      <w:hyperlink r:id="rId22">
        <w:r w:rsidRPr="00E93037">
          <w:rPr>
            <w:rFonts w:eastAsia="Times New Roman"/>
            <w:sz w:val="24"/>
            <w:szCs w:val="24"/>
            <w:highlight w:val="white"/>
            <w:lang w:val="en-GB"/>
          </w:rPr>
          <w:t>https://bbejournal.com/index.php/BBE/article/download/560/430</w:t>
        </w:r>
      </w:hyperlink>
    </w:p>
    <w:p w:rsidR="00E93037" w:rsidRPr="00E93037" w:rsidRDefault="00E93037" w:rsidP="00E93037">
      <w:pPr>
        <w:pStyle w:val="Normal1"/>
        <w:spacing w:after="240" w:line="360" w:lineRule="auto"/>
        <w:jc w:val="both"/>
        <w:rPr>
          <w:rFonts w:eastAsia="Times New Roman"/>
          <w:sz w:val="24"/>
          <w:szCs w:val="24"/>
          <w:highlight w:val="white"/>
          <w:lang w:val="en-GB"/>
        </w:rPr>
      </w:pPr>
      <w:proofErr w:type="spellStart"/>
      <w:r w:rsidRPr="00E93037">
        <w:rPr>
          <w:rFonts w:eastAsia="Times New Roman"/>
          <w:sz w:val="24"/>
          <w:szCs w:val="24"/>
          <w:highlight w:val="white"/>
          <w:lang w:val="en-GB"/>
        </w:rPr>
        <w:t>Runalloy</w:t>
      </w:r>
      <w:proofErr w:type="spellEnd"/>
      <w:r w:rsidRPr="00E93037">
        <w:rPr>
          <w:rFonts w:eastAsia="Times New Roman"/>
          <w:sz w:val="24"/>
          <w:szCs w:val="24"/>
          <w:highlight w:val="white"/>
          <w:lang w:val="en-GB"/>
        </w:rPr>
        <w:t xml:space="preserve">. (2026). </w:t>
      </w:r>
      <w:r w:rsidRPr="00E93037">
        <w:rPr>
          <w:rFonts w:eastAsia="Times New Roman"/>
          <w:i/>
          <w:iCs/>
          <w:sz w:val="24"/>
          <w:szCs w:val="24"/>
          <w:highlight w:val="white"/>
          <w:lang w:val="en-GB"/>
        </w:rPr>
        <w:t>How Burberry Manages Staff Sales Online Around the World With Automation by Alloy | Alloy Automation</w:t>
      </w:r>
      <w:r w:rsidRPr="00E93037">
        <w:rPr>
          <w:rFonts w:eastAsia="Times New Roman"/>
          <w:sz w:val="24"/>
          <w:szCs w:val="24"/>
          <w:highlight w:val="white"/>
          <w:lang w:val="en-GB"/>
        </w:rPr>
        <w:t>. [</w:t>
      </w:r>
      <w:proofErr w:type="gramStart"/>
      <w:r w:rsidRPr="00E93037">
        <w:rPr>
          <w:rFonts w:eastAsia="Times New Roman"/>
          <w:sz w:val="24"/>
          <w:szCs w:val="24"/>
          <w:highlight w:val="white"/>
          <w:lang w:val="en-GB"/>
        </w:rPr>
        <w:t>online</w:t>
      </w:r>
      <w:proofErr w:type="gramEnd"/>
      <w:r w:rsidRPr="00E93037">
        <w:rPr>
          <w:rFonts w:eastAsia="Times New Roman"/>
          <w:sz w:val="24"/>
          <w:szCs w:val="24"/>
          <w:highlight w:val="white"/>
          <w:lang w:val="en-GB"/>
        </w:rPr>
        <w:t xml:space="preserve">] Available at: </w:t>
      </w:r>
      <w:hyperlink r:id="rId23">
        <w:r w:rsidRPr="00E93037">
          <w:rPr>
            <w:rFonts w:eastAsia="Times New Roman"/>
            <w:sz w:val="24"/>
            <w:szCs w:val="24"/>
            <w:highlight w:val="white"/>
            <w:lang w:val="en-GB"/>
          </w:rPr>
          <w:t>https://runalloy.com/case-studies/burberry/</w:t>
        </w:r>
      </w:hyperlink>
      <w:r w:rsidRPr="00E93037">
        <w:rPr>
          <w:rFonts w:eastAsia="Times New Roman"/>
          <w:sz w:val="24"/>
          <w:szCs w:val="24"/>
          <w:highlight w:val="white"/>
          <w:lang w:val="en-GB"/>
        </w:rPr>
        <w:t xml:space="preserve"> (Accessed on: 22nd April, 2026)</w:t>
      </w:r>
    </w:p>
    <w:p w:rsidR="00427A93" w:rsidRPr="00E93037" w:rsidRDefault="00AC15A7" w:rsidP="00E93037">
      <w:pPr>
        <w:pStyle w:val="Normal1"/>
        <w:spacing w:after="240" w:line="360" w:lineRule="auto"/>
        <w:jc w:val="both"/>
        <w:rPr>
          <w:rFonts w:eastAsia="Times New Roman"/>
          <w:sz w:val="24"/>
          <w:szCs w:val="24"/>
          <w:highlight w:val="white"/>
          <w:lang w:val="en-GB"/>
        </w:rPr>
      </w:pPr>
      <w:r w:rsidRPr="00E93037">
        <w:rPr>
          <w:lang w:val="en-GB"/>
        </w:rPr>
        <w:br w:type="page"/>
      </w:r>
    </w:p>
    <w:p w:rsidR="00427A93" w:rsidRPr="00E93037" w:rsidRDefault="00AC15A7" w:rsidP="00E93037">
      <w:pPr>
        <w:pStyle w:val="Normal1"/>
        <w:spacing w:line="360" w:lineRule="auto"/>
        <w:jc w:val="both"/>
        <w:rPr>
          <w:rFonts w:eastAsia="Times New Roman"/>
          <w:sz w:val="24"/>
          <w:szCs w:val="24"/>
          <w:highlight w:val="white"/>
          <w:lang w:val="en-GB"/>
        </w:rPr>
      </w:pPr>
      <w:r w:rsidRPr="00E93037">
        <w:rPr>
          <w:rFonts w:eastAsia="Times New Roman"/>
          <w:b/>
          <w:bCs/>
          <w:sz w:val="24"/>
          <w:szCs w:val="24"/>
          <w:highlight w:val="white"/>
          <w:lang w:val="en-GB"/>
        </w:rPr>
        <w:lastRenderedPageBreak/>
        <w:t xml:space="preserve">GAI Declaration </w:t>
      </w:r>
    </w:p>
    <w:p w:rsidR="00427A93" w:rsidRPr="00E93037" w:rsidRDefault="00AC15A7" w:rsidP="00E93037">
      <w:pPr>
        <w:pStyle w:val="Normal1"/>
        <w:spacing w:line="360" w:lineRule="auto"/>
        <w:jc w:val="both"/>
        <w:rPr>
          <w:rFonts w:eastAsia="Times New Roman"/>
          <w:sz w:val="24"/>
          <w:szCs w:val="24"/>
          <w:highlight w:val="white"/>
          <w:lang w:val="en-GB"/>
        </w:rPr>
      </w:pPr>
      <w:r w:rsidRPr="00E93037">
        <w:rPr>
          <w:rFonts w:eastAsia="Times New Roman"/>
          <w:sz w:val="24"/>
          <w:szCs w:val="24"/>
          <w:lang w:val="en-GB"/>
        </w:rPr>
        <w:t xml:space="preserve">I am declaring that the entire research was done by me without the use of the GAI tools or even </w:t>
      </w:r>
      <w:proofErr w:type="spellStart"/>
      <w:r w:rsidRPr="00E93037">
        <w:rPr>
          <w:rFonts w:eastAsia="Times New Roman"/>
          <w:sz w:val="24"/>
          <w:szCs w:val="24"/>
          <w:lang w:val="en-GB"/>
        </w:rPr>
        <w:t>ChatGPT</w:t>
      </w:r>
      <w:proofErr w:type="spellEnd"/>
      <w:r w:rsidRPr="00E93037">
        <w:rPr>
          <w:rFonts w:eastAsia="Times New Roman"/>
          <w:sz w:val="24"/>
          <w:szCs w:val="24"/>
          <w:lang w:val="en-GB"/>
        </w:rPr>
        <w:t xml:space="preserve">. I have even ensured that the entire research is done through collecting secondary sources of information to ensure academic integrity in the research. </w:t>
      </w:r>
    </w:p>
    <w:p w:rsidR="00427A93" w:rsidRPr="00E93037" w:rsidRDefault="00427A93" w:rsidP="00E93037">
      <w:pPr>
        <w:pStyle w:val="Normal1"/>
        <w:spacing w:line="360" w:lineRule="auto"/>
        <w:jc w:val="both"/>
        <w:rPr>
          <w:rFonts w:eastAsia="Times New Roman"/>
          <w:sz w:val="24"/>
          <w:szCs w:val="24"/>
          <w:lang w:val="en-GB"/>
        </w:rPr>
      </w:pPr>
    </w:p>
    <w:p w:rsidR="00427A93" w:rsidRPr="00E93037" w:rsidRDefault="00427A93" w:rsidP="00E93037">
      <w:pPr>
        <w:pStyle w:val="Normal1"/>
        <w:spacing w:line="360" w:lineRule="auto"/>
        <w:jc w:val="both"/>
        <w:rPr>
          <w:rFonts w:eastAsia="Times New Roman"/>
          <w:b/>
          <w:bCs/>
          <w:sz w:val="24"/>
          <w:szCs w:val="24"/>
          <w:lang w:val="en-GB"/>
        </w:rPr>
      </w:pPr>
    </w:p>
    <w:p w:rsidR="00427A93" w:rsidRPr="00E93037" w:rsidRDefault="00427A93" w:rsidP="00E93037">
      <w:pPr>
        <w:pStyle w:val="Normal1"/>
        <w:spacing w:line="360" w:lineRule="auto"/>
        <w:jc w:val="both"/>
        <w:rPr>
          <w:rFonts w:eastAsia="Times New Roman"/>
          <w:b/>
          <w:bCs/>
          <w:sz w:val="24"/>
          <w:szCs w:val="24"/>
          <w:lang w:val="en-GB"/>
        </w:rPr>
      </w:pPr>
    </w:p>
    <w:p w:rsidR="00427A93" w:rsidRPr="00E93037" w:rsidRDefault="00427A93" w:rsidP="00E93037">
      <w:pPr>
        <w:pStyle w:val="Normal1"/>
        <w:spacing w:line="360" w:lineRule="auto"/>
        <w:jc w:val="both"/>
        <w:rPr>
          <w:rFonts w:eastAsia="Times New Roman"/>
          <w:b/>
          <w:bCs/>
          <w:sz w:val="24"/>
          <w:szCs w:val="24"/>
          <w:lang w:val="en-GB"/>
        </w:rPr>
      </w:pPr>
    </w:p>
    <w:p w:rsidR="00427A93" w:rsidRPr="00E93037" w:rsidRDefault="00427A93" w:rsidP="00E93037">
      <w:pPr>
        <w:pStyle w:val="Normal1"/>
        <w:spacing w:line="360" w:lineRule="auto"/>
        <w:jc w:val="center"/>
        <w:rPr>
          <w:rFonts w:eastAsia="Times New Roman"/>
          <w:b/>
          <w:bCs/>
          <w:sz w:val="24"/>
          <w:szCs w:val="24"/>
          <w:lang w:val="en-GB"/>
        </w:rPr>
      </w:pPr>
    </w:p>
    <w:p w:rsidR="00427A93" w:rsidRPr="00E93037" w:rsidRDefault="00427A93" w:rsidP="00E93037">
      <w:pPr>
        <w:pStyle w:val="Normal1"/>
        <w:spacing w:line="360" w:lineRule="auto"/>
        <w:jc w:val="center"/>
        <w:rPr>
          <w:rFonts w:eastAsia="Times New Roman"/>
          <w:b/>
          <w:bCs/>
          <w:sz w:val="24"/>
          <w:szCs w:val="24"/>
          <w:lang w:val="en-GB"/>
        </w:rPr>
      </w:pPr>
    </w:p>
    <w:sectPr w:rsidR="00427A93" w:rsidRPr="00E93037" w:rsidSect="00427A93">
      <w:footerReference w:type="default" r:id="rId2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117B7" w:rsidRDefault="000117B7" w:rsidP="00E93037">
      <w:pPr>
        <w:spacing w:line="240" w:lineRule="auto"/>
      </w:pPr>
      <w:r>
        <w:separator/>
      </w:r>
    </w:p>
  </w:endnote>
  <w:endnote w:type="continuationSeparator" w:id="0">
    <w:p w:rsidR="000117B7" w:rsidRDefault="000117B7" w:rsidP="00E930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A9F60F9-B941-41BF-8CE4-DA5485153B30}"/>
    <w:embedBold r:id="rId2" w:fontKey="{062333AA-5621-46AD-A0DF-263EB21E94E0}"/>
  </w:font>
  <w:font w:name="Tahoma">
    <w:panose1 w:val="020B0604030504040204"/>
    <w:charset w:val="00"/>
    <w:family w:val="swiss"/>
    <w:pitch w:val="variable"/>
    <w:sig w:usb0="E1002EFF" w:usb1="C000605B" w:usb2="00000029" w:usb3="00000000" w:csb0="000101FF" w:csb1="00000000"/>
    <w:embedRegular r:id="rId3" w:fontKey="{CB01EC20-23AE-4FF9-B460-9DBB9D00E315}"/>
  </w:font>
  <w:font w:name="Cambria">
    <w:panose1 w:val="02040503050406030204"/>
    <w:charset w:val="00"/>
    <w:family w:val="roman"/>
    <w:pitch w:val="variable"/>
    <w:sig w:usb0="E00006FF" w:usb1="420024FF" w:usb2="02000000" w:usb3="00000000" w:csb0="0000019F" w:csb1="00000000"/>
    <w:embedRegular r:id="rId4" w:fontKey="{D19A92DD-E15D-4F40-B536-16407CA3FD42}"/>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930204"/>
      <w:docPartObj>
        <w:docPartGallery w:val="Page Numbers (Bottom of Page)"/>
        <w:docPartUnique/>
      </w:docPartObj>
    </w:sdtPr>
    <w:sdtEndPr/>
    <w:sdtContent>
      <w:p w:rsidR="00E93037" w:rsidRDefault="00E93037">
        <w:pPr>
          <w:pStyle w:val="Footer"/>
          <w:jc w:val="right"/>
        </w:pPr>
        <w:r w:rsidRPr="00E93037">
          <w:rPr>
            <w:sz w:val="20"/>
          </w:rPr>
          <w:fldChar w:fldCharType="begin"/>
        </w:r>
        <w:r w:rsidRPr="00E93037">
          <w:rPr>
            <w:sz w:val="20"/>
          </w:rPr>
          <w:instrText xml:space="preserve"> PAGE   \* MERGEFORMAT </w:instrText>
        </w:r>
        <w:r w:rsidRPr="00E93037">
          <w:rPr>
            <w:sz w:val="20"/>
          </w:rPr>
          <w:fldChar w:fldCharType="separate"/>
        </w:r>
        <w:r w:rsidR="00295A16">
          <w:rPr>
            <w:noProof/>
            <w:sz w:val="20"/>
          </w:rPr>
          <w:t>16</w:t>
        </w:r>
        <w:r w:rsidRPr="00E93037">
          <w:rPr>
            <w:sz w:val="20"/>
          </w:rPr>
          <w:fldChar w:fldCharType="end"/>
        </w:r>
      </w:p>
    </w:sdtContent>
  </w:sdt>
  <w:p w:rsidR="00E93037" w:rsidRDefault="00E9303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117B7" w:rsidRDefault="000117B7" w:rsidP="00E93037">
      <w:pPr>
        <w:spacing w:line="240" w:lineRule="auto"/>
      </w:pPr>
      <w:r>
        <w:separator/>
      </w:r>
    </w:p>
  </w:footnote>
  <w:footnote w:type="continuationSeparator" w:id="0">
    <w:p w:rsidR="000117B7" w:rsidRDefault="000117B7" w:rsidP="00E9303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932DEA"/>
    <w:multiLevelType w:val="multilevel"/>
    <w:tmpl w:val="B7BE65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27A93"/>
    <w:rsid w:val="000117B7"/>
    <w:rsid w:val="00295A16"/>
    <w:rsid w:val="002D1F65"/>
    <w:rsid w:val="003D73D0"/>
    <w:rsid w:val="00427A93"/>
    <w:rsid w:val="004B4ED2"/>
    <w:rsid w:val="00697ECB"/>
    <w:rsid w:val="0079164F"/>
    <w:rsid w:val="007F60E0"/>
    <w:rsid w:val="008E574C"/>
    <w:rsid w:val="00AC15A7"/>
    <w:rsid w:val="00D23860"/>
    <w:rsid w:val="00E93037"/>
    <w:rsid w:val="00E975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BCCF763-EE9F-4534-ADBA-9DE617867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1"/>
    <w:next w:val="Normal1"/>
    <w:rsid w:val="007F60E0"/>
    <w:pPr>
      <w:keepNext/>
      <w:keepLines/>
      <w:spacing w:before="40" w:line="360" w:lineRule="auto"/>
      <w:jc w:val="both"/>
      <w:outlineLvl w:val="0"/>
    </w:pPr>
    <w:rPr>
      <w:b/>
      <w:sz w:val="28"/>
      <w:szCs w:val="40"/>
    </w:rPr>
  </w:style>
  <w:style w:type="paragraph" w:styleId="Heading2">
    <w:name w:val="heading 2"/>
    <w:basedOn w:val="Normal1"/>
    <w:next w:val="Normal1"/>
    <w:rsid w:val="00427A93"/>
    <w:pPr>
      <w:keepNext/>
      <w:keepLines/>
      <w:spacing w:before="360" w:after="120"/>
      <w:outlineLvl w:val="1"/>
    </w:pPr>
    <w:rPr>
      <w:sz w:val="32"/>
      <w:szCs w:val="32"/>
    </w:rPr>
  </w:style>
  <w:style w:type="paragraph" w:styleId="Heading3">
    <w:name w:val="heading 3"/>
    <w:basedOn w:val="Normal1"/>
    <w:next w:val="Normal1"/>
    <w:rsid w:val="00427A93"/>
    <w:pPr>
      <w:keepNext/>
      <w:keepLines/>
      <w:spacing w:before="320" w:after="80"/>
      <w:outlineLvl w:val="2"/>
    </w:pPr>
    <w:rPr>
      <w:color w:val="434343"/>
      <w:sz w:val="28"/>
      <w:szCs w:val="28"/>
    </w:rPr>
  </w:style>
  <w:style w:type="paragraph" w:styleId="Heading4">
    <w:name w:val="heading 4"/>
    <w:basedOn w:val="Normal1"/>
    <w:next w:val="Normal1"/>
    <w:rsid w:val="00427A93"/>
    <w:pPr>
      <w:keepNext/>
      <w:keepLines/>
      <w:spacing w:before="280" w:after="80"/>
      <w:outlineLvl w:val="3"/>
    </w:pPr>
    <w:rPr>
      <w:color w:val="666666"/>
      <w:sz w:val="24"/>
      <w:szCs w:val="24"/>
    </w:rPr>
  </w:style>
  <w:style w:type="paragraph" w:styleId="Heading5">
    <w:name w:val="heading 5"/>
    <w:basedOn w:val="Normal1"/>
    <w:next w:val="Normal1"/>
    <w:rsid w:val="00427A93"/>
    <w:pPr>
      <w:keepNext/>
      <w:keepLines/>
      <w:spacing w:before="240" w:after="80"/>
      <w:outlineLvl w:val="4"/>
    </w:pPr>
    <w:rPr>
      <w:color w:val="666666"/>
    </w:rPr>
  </w:style>
  <w:style w:type="paragraph" w:styleId="Heading6">
    <w:name w:val="heading 6"/>
    <w:basedOn w:val="Normal1"/>
    <w:next w:val="Normal1"/>
    <w:rsid w:val="00427A93"/>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27A93"/>
    <w:tblPr>
      <w:tblCellMar>
        <w:top w:w="100" w:type="dxa"/>
        <w:left w:w="100" w:type="dxa"/>
        <w:bottom w:w="100" w:type="dxa"/>
        <w:right w:w="100" w:type="dxa"/>
      </w:tblCellMar>
    </w:tblPr>
  </w:style>
  <w:style w:type="paragraph" w:customStyle="1" w:styleId="Normal1">
    <w:name w:val="Normal1"/>
    <w:rsid w:val="00427A93"/>
  </w:style>
  <w:style w:type="paragraph" w:styleId="Title">
    <w:name w:val="Title"/>
    <w:basedOn w:val="Normal1"/>
    <w:next w:val="Normal1"/>
    <w:rsid w:val="00427A93"/>
    <w:pPr>
      <w:keepNext/>
      <w:keepLines/>
      <w:spacing w:after="60"/>
    </w:pPr>
    <w:rPr>
      <w:sz w:val="52"/>
      <w:szCs w:val="52"/>
    </w:rPr>
  </w:style>
  <w:style w:type="paragraph" w:styleId="Subtitle">
    <w:name w:val="Subtitle"/>
    <w:basedOn w:val="Normal1"/>
    <w:next w:val="Normal1"/>
    <w:rsid w:val="00427A93"/>
    <w:pPr>
      <w:keepNext/>
      <w:keepLines/>
      <w:spacing w:after="320"/>
    </w:pPr>
    <w:rPr>
      <w:color w:val="666666"/>
      <w:sz w:val="30"/>
      <w:szCs w:val="30"/>
    </w:rPr>
  </w:style>
  <w:style w:type="paragraph" w:styleId="Header">
    <w:name w:val="header"/>
    <w:basedOn w:val="Normal"/>
    <w:link w:val="HeaderChar"/>
    <w:uiPriority w:val="99"/>
    <w:semiHidden/>
    <w:unhideWhenUsed/>
    <w:rsid w:val="00E9303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93037"/>
  </w:style>
  <w:style w:type="paragraph" w:styleId="Footer">
    <w:name w:val="footer"/>
    <w:basedOn w:val="Normal"/>
    <w:link w:val="FooterChar"/>
    <w:uiPriority w:val="99"/>
    <w:unhideWhenUsed/>
    <w:rsid w:val="00E93037"/>
    <w:pPr>
      <w:tabs>
        <w:tab w:val="center" w:pos="4680"/>
        <w:tab w:val="right" w:pos="9360"/>
      </w:tabs>
      <w:spacing w:line="240" w:lineRule="auto"/>
    </w:pPr>
  </w:style>
  <w:style w:type="character" w:customStyle="1" w:styleId="FooterChar">
    <w:name w:val="Footer Char"/>
    <w:basedOn w:val="DefaultParagraphFont"/>
    <w:link w:val="Footer"/>
    <w:uiPriority w:val="99"/>
    <w:rsid w:val="00E93037"/>
  </w:style>
  <w:style w:type="paragraph" w:styleId="TOCHeading">
    <w:name w:val="TOC Heading"/>
    <w:basedOn w:val="Heading1"/>
    <w:next w:val="Normal"/>
    <w:uiPriority w:val="39"/>
    <w:semiHidden/>
    <w:unhideWhenUsed/>
    <w:qFormat/>
    <w:rsid w:val="00E93037"/>
    <w:pPr>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E93037"/>
    <w:pPr>
      <w:spacing w:after="100"/>
    </w:pPr>
  </w:style>
  <w:style w:type="character" w:styleId="Hyperlink">
    <w:name w:val="Hyperlink"/>
    <w:basedOn w:val="DefaultParagraphFont"/>
    <w:uiPriority w:val="99"/>
    <w:unhideWhenUsed/>
    <w:rsid w:val="00E93037"/>
    <w:rPr>
      <w:color w:val="0000FF" w:themeColor="hyperlink"/>
      <w:u w:val="single"/>
    </w:rPr>
  </w:style>
  <w:style w:type="paragraph" w:styleId="BalloonText">
    <w:name w:val="Balloon Text"/>
    <w:basedOn w:val="Normal"/>
    <w:link w:val="BalloonTextChar"/>
    <w:uiPriority w:val="99"/>
    <w:semiHidden/>
    <w:unhideWhenUsed/>
    <w:rsid w:val="00E9303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303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www.frontiersin.org/journals/medicine/articles/10.3389/fmed.2025.1643399/pdf" TargetMode="External"/><Relationship Id="rId13" Type="http://schemas.openxmlformats.org/officeDocument/2006/relationships/hyperlink" Target="https://burberrycareers.com/content/Life-at-Burberry/?locale=ja_JP" TargetMode="External"/><Relationship Id="rId18" Type="http://schemas.openxmlformats.org/officeDocument/2006/relationships/hyperlink" Target="https://www.eu-jer.com/articles/EU-JER_13_2_865.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ojs.jurnalbk.com/index.php/educatum/article/download/14/15" TargetMode="External"/><Relationship Id="rId7" Type="http://schemas.openxmlformats.org/officeDocument/2006/relationships/endnotes" Target="endnotes.xml"/><Relationship Id="rId12" Type="http://schemas.openxmlformats.org/officeDocument/2006/relationships/hyperlink" Target="https://www.burberryplc.com/people/fair-and-equitable-pay-practices" TargetMode="External"/><Relationship Id="rId17" Type="http://schemas.openxmlformats.org/officeDocument/2006/relationships/hyperlink" Target="https://ejournal.agungmediapublisher.com/index.php/iijb/article/download/6/4"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l.acm.org/doi/pdf/10.1145/3696457" TargetMode="External"/><Relationship Id="rId20" Type="http://schemas.openxmlformats.org/officeDocument/2006/relationships/hyperlink" Target="https://www.multiresearchjournal.com/admin/uploads/archives/archive-174473011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rberryplc.com/news/corporate/2020/burberry-expands-creative-arts-scholarships--supporting-underrep"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dataiq.global/award-winner/most-innovative-use-of-ai-global-burberry/" TargetMode="External"/><Relationship Id="rId23" Type="http://schemas.openxmlformats.org/officeDocument/2006/relationships/hyperlink" Target="https://runalloy.com/case-studies/burberry/" TargetMode="External"/><Relationship Id="rId10" Type="http://schemas.openxmlformats.org/officeDocument/2006/relationships/hyperlink" Target="https://burberrycareers.com/content/Diversity-and-Inclusion/?locale=en_GB" TargetMode="External"/><Relationship Id="rId19" Type="http://schemas.openxmlformats.org/officeDocument/2006/relationships/hyperlink" Target="https://www.emerald.com/ijchm/article-pdf/36/10/3324/9537909/ijchm-08-2023-1271.pdf" TargetMode="External"/><Relationship Id="rId4" Type="http://schemas.openxmlformats.org/officeDocument/2006/relationships/settings" Target="settings.xml"/><Relationship Id="rId9" Type="http://schemas.openxmlformats.org/officeDocument/2006/relationships/hyperlink" Target="https://www.burberryplc.com/people/learning-and-development" TargetMode="External"/><Relationship Id="rId14" Type="http://schemas.openxmlformats.org/officeDocument/2006/relationships/hyperlink" Target="https://www.burberryplc.com/content/dam/burberryplc/corporate/documents/investors/annual-report-archive/annual-report-2021-22.pdf" TargetMode="External"/><Relationship Id="rId22" Type="http://schemas.openxmlformats.org/officeDocument/2006/relationships/hyperlink" Target="https://bbejournal.com/index.php/BBE/article/download/560/43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044C1B-B083-4C1A-9389-DCD898608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3361</Words>
  <Characters>19163</Characters>
  <Application>Microsoft Office Word</Application>
  <DocSecurity>0</DocSecurity>
  <Lines>159</Lines>
  <Paragraphs>44</Paragraphs>
  <ScaleCrop>false</ScaleCrop>
  <Company/>
  <LinksUpToDate>false</LinksUpToDate>
  <CharactersWithSpaces>22480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 account</cp:lastModifiedBy>
  <cp:revision>14</cp:revision>
  <dcterms:created xsi:type="dcterms:W3CDTF">2026-04-22T09:12:00Z</dcterms:created>
  <dcterms:modified xsi:type="dcterms:W3CDTF">2026-04-27T14:46:00Z</dcterms:modified>
</cp:coreProperties>
</file>