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AB53C2" w14:textId="77777777" w:rsidR="00E22C31" w:rsidRPr="00DB492A" w:rsidRDefault="00E22C31" w:rsidP="00DB492A">
      <w:pPr>
        <w:rPr>
          <w:rStyle w:val="Heading1Char"/>
          <w:rFonts w:ascii="Arial" w:hAnsi="Arial" w:cs="Arial"/>
        </w:rPr>
      </w:pPr>
    </w:p>
    <w:p w14:paraId="27A25370" w14:textId="77777777" w:rsidR="00E22C31" w:rsidRPr="00DB492A" w:rsidRDefault="00E22C31" w:rsidP="00DB492A">
      <w:pPr>
        <w:jc w:val="center"/>
        <w:rPr>
          <w:rFonts w:cs="Arial"/>
          <w:sz w:val="28"/>
          <w:szCs w:val="24"/>
        </w:rPr>
      </w:pPr>
      <w:r w:rsidRPr="00DB492A">
        <w:rPr>
          <w:rFonts w:cs="Arial"/>
          <w:sz w:val="28"/>
          <w:szCs w:val="24"/>
        </w:rPr>
        <w:t>Module: Financial Management for the Hotel Industry</w:t>
      </w:r>
    </w:p>
    <w:p w14:paraId="1967A557" w14:textId="77777777" w:rsidR="00E22C31" w:rsidRPr="00DB492A" w:rsidRDefault="00E22C31" w:rsidP="00DB492A">
      <w:pPr>
        <w:jc w:val="center"/>
        <w:rPr>
          <w:rFonts w:cs="Arial"/>
          <w:sz w:val="28"/>
          <w:szCs w:val="24"/>
        </w:rPr>
      </w:pPr>
      <w:r w:rsidRPr="00DB492A">
        <w:rPr>
          <w:rFonts w:cs="Arial"/>
          <w:sz w:val="28"/>
          <w:szCs w:val="24"/>
        </w:rPr>
        <w:t>Module code: BMIH5007</w:t>
      </w:r>
    </w:p>
    <w:p w14:paraId="383EB02E" w14:textId="77777777" w:rsidR="00E22C31" w:rsidRPr="00DB492A" w:rsidRDefault="00E22C31" w:rsidP="00DB492A">
      <w:pPr>
        <w:jc w:val="center"/>
        <w:rPr>
          <w:rFonts w:cs="Arial"/>
          <w:sz w:val="28"/>
          <w:szCs w:val="24"/>
        </w:rPr>
      </w:pPr>
      <w:r w:rsidRPr="00DB492A">
        <w:rPr>
          <w:rFonts w:cs="Arial"/>
          <w:sz w:val="28"/>
          <w:szCs w:val="24"/>
        </w:rPr>
        <w:t>Assignment Title: Report Case Study: Urban Heights Hotel</w:t>
      </w:r>
    </w:p>
    <w:p w14:paraId="2D3811FA" w14:textId="33698887" w:rsidR="008A2585" w:rsidRPr="00DB492A" w:rsidRDefault="008A2585" w:rsidP="00DB492A">
      <w:pPr>
        <w:jc w:val="center"/>
        <w:rPr>
          <w:rFonts w:cs="Arial"/>
          <w:sz w:val="28"/>
          <w:szCs w:val="24"/>
        </w:rPr>
      </w:pPr>
      <w:r w:rsidRPr="00DB492A">
        <w:rPr>
          <w:rFonts w:cs="Arial"/>
          <w:sz w:val="28"/>
          <w:szCs w:val="24"/>
        </w:rPr>
        <w:t>Student name:</w:t>
      </w:r>
      <w:r w:rsidR="00823C7C" w:rsidRPr="00DB492A">
        <w:rPr>
          <w:rFonts w:cs="Arial"/>
          <w:sz w:val="28"/>
          <w:szCs w:val="24"/>
        </w:rPr>
        <w:t xml:space="preserve"> </w:t>
      </w:r>
      <w:r w:rsidRPr="00DB492A">
        <w:rPr>
          <w:rFonts w:cs="Arial"/>
          <w:sz w:val="28"/>
          <w:szCs w:val="24"/>
        </w:rPr>
        <w:t>Andreea Gama</w:t>
      </w:r>
    </w:p>
    <w:p w14:paraId="4436AA24" w14:textId="73A8F54B" w:rsidR="00E22C31" w:rsidRPr="00DB492A" w:rsidRDefault="008A2585" w:rsidP="00DB492A">
      <w:pPr>
        <w:jc w:val="center"/>
        <w:rPr>
          <w:rStyle w:val="Heading1Char"/>
          <w:rFonts w:ascii="Arial" w:eastAsiaTheme="minorHAnsi" w:hAnsi="Arial" w:cs="Arial"/>
          <w:b w:val="0"/>
          <w:color w:val="auto"/>
          <w:sz w:val="24"/>
          <w:szCs w:val="22"/>
        </w:rPr>
      </w:pPr>
      <w:r w:rsidRPr="00DB492A">
        <w:rPr>
          <w:rFonts w:cs="Arial"/>
          <w:sz w:val="28"/>
          <w:szCs w:val="24"/>
        </w:rPr>
        <w:t>Student ID number:</w:t>
      </w:r>
      <w:r w:rsidR="00C32F29">
        <w:rPr>
          <w:rFonts w:cs="Arial"/>
          <w:sz w:val="28"/>
          <w:szCs w:val="24"/>
        </w:rPr>
        <w:t>2219781</w:t>
      </w:r>
      <w:r w:rsidR="00E22C31" w:rsidRPr="00DB492A">
        <w:rPr>
          <w:rFonts w:cs="Arial"/>
          <w:kern w:val="0"/>
          <w14:ligatures w14:val="none"/>
        </w:rPr>
        <w:br w:type="page"/>
      </w:r>
    </w:p>
    <w:sdt>
      <w:sdtPr>
        <w:rPr>
          <w:rFonts w:ascii="Arial" w:eastAsiaTheme="minorHAnsi" w:hAnsi="Arial" w:cs="Arial"/>
          <w:color w:val="auto"/>
          <w:kern w:val="2"/>
          <w:sz w:val="24"/>
          <w:szCs w:val="22"/>
          <w14:ligatures w14:val="standardContextual"/>
        </w:rPr>
        <w:id w:val="1898695508"/>
        <w:docPartObj>
          <w:docPartGallery w:val="Table of Contents"/>
          <w:docPartUnique/>
        </w:docPartObj>
      </w:sdtPr>
      <w:sdtEndPr>
        <w:rPr>
          <w:b/>
          <w:bCs/>
        </w:rPr>
      </w:sdtEndPr>
      <w:sdtContent>
        <w:p w14:paraId="2ED93D5B" w14:textId="10ECD868" w:rsidR="00E22C31" w:rsidRPr="00DB492A" w:rsidRDefault="00E22C31" w:rsidP="00DB492A">
          <w:pPr>
            <w:pStyle w:val="TOCHeading"/>
            <w:spacing w:line="360" w:lineRule="auto"/>
            <w:jc w:val="center"/>
            <w:rPr>
              <w:rFonts w:ascii="Arial" w:hAnsi="Arial" w:cs="Arial"/>
            </w:rPr>
          </w:pPr>
          <w:r w:rsidRPr="00DB492A">
            <w:rPr>
              <w:rFonts w:ascii="Arial" w:hAnsi="Arial" w:cs="Arial"/>
            </w:rPr>
            <w:t>Table of Contents</w:t>
          </w:r>
        </w:p>
        <w:p w14:paraId="73745C8A" w14:textId="1BEE8E70" w:rsidR="00F85B49" w:rsidRDefault="00C32F29">
          <w:pPr>
            <w:pStyle w:val="TOC1"/>
            <w:tabs>
              <w:tab w:val="right" w:leader="dot" w:pos="9016"/>
            </w:tabs>
            <w:rPr>
              <w:rFonts w:asciiTheme="minorHAnsi" w:eastAsiaTheme="minorEastAsia" w:hAnsiTheme="minorHAnsi"/>
              <w:szCs w:val="24"/>
              <w:lang w:eastAsia="en-GB"/>
            </w:rPr>
          </w:pPr>
          <w:hyperlink w:anchor="_Toc167140635" w:history="1">
            <w:r w:rsidR="00F85B49" w:rsidRPr="00494972">
              <w:rPr>
                <w:rStyle w:val="Hyperlink"/>
                <w:rFonts w:cs="Arial"/>
              </w:rPr>
              <w:t>Introduction</w:t>
            </w:r>
            <w:r w:rsidR="00F85B49">
              <w:rPr>
                <w:webHidden/>
              </w:rPr>
              <w:tab/>
            </w:r>
            <w:r w:rsidR="00F85B49">
              <w:rPr>
                <w:webHidden/>
              </w:rPr>
              <w:fldChar w:fldCharType="begin"/>
            </w:r>
            <w:r w:rsidR="00F85B49">
              <w:rPr>
                <w:webHidden/>
              </w:rPr>
              <w:instrText xml:space="preserve"> PAGEREF _Toc167140635 \h </w:instrText>
            </w:r>
            <w:r w:rsidR="00F85B49">
              <w:rPr>
                <w:webHidden/>
              </w:rPr>
            </w:r>
            <w:r w:rsidR="00F85B49">
              <w:rPr>
                <w:webHidden/>
              </w:rPr>
              <w:fldChar w:fldCharType="separate"/>
            </w:r>
            <w:r w:rsidR="00F85B49">
              <w:rPr>
                <w:webHidden/>
              </w:rPr>
              <w:t>3</w:t>
            </w:r>
            <w:r w:rsidR="00F85B49">
              <w:rPr>
                <w:webHidden/>
              </w:rPr>
              <w:fldChar w:fldCharType="end"/>
            </w:r>
          </w:hyperlink>
        </w:p>
        <w:p w14:paraId="520F0EA5" w14:textId="7B8A7263" w:rsidR="00F85B49" w:rsidRDefault="00C32F29">
          <w:pPr>
            <w:pStyle w:val="TOC1"/>
            <w:tabs>
              <w:tab w:val="right" w:leader="dot" w:pos="9016"/>
            </w:tabs>
            <w:rPr>
              <w:rFonts w:asciiTheme="minorHAnsi" w:eastAsiaTheme="minorEastAsia" w:hAnsiTheme="minorHAnsi"/>
              <w:szCs w:val="24"/>
              <w:lang w:eastAsia="en-GB"/>
            </w:rPr>
          </w:pPr>
          <w:hyperlink w:anchor="_Toc167140636" w:history="1">
            <w:r w:rsidR="00F85B49" w:rsidRPr="00494972">
              <w:rPr>
                <w:rStyle w:val="Hyperlink"/>
                <w:rFonts w:cs="Arial"/>
              </w:rPr>
              <w:t>Evaluation of the Financial Performance</w:t>
            </w:r>
            <w:r w:rsidR="00F85B49">
              <w:rPr>
                <w:webHidden/>
              </w:rPr>
              <w:tab/>
              <w:t>3</w:t>
            </w:r>
          </w:hyperlink>
        </w:p>
        <w:p w14:paraId="26B1BB2A" w14:textId="582EE2F9" w:rsidR="00F85B49" w:rsidRDefault="00C32F29">
          <w:pPr>
            <w:pStyle w:val="TOC1"/>
            <w:tabs>
              <w:tab w:val="right" w:leader="dot" w:pos="9016"/>
            </w:tabs>
            <w:rPr>
              <w:rFonts w:asciiTheme="minorHAnsi" w:eastAsiaTheme="minorEastAsia" w:hAnsiTheme="minorHAnsi"/>
              <w:szCs w:val="24"/>
              <w:lang w:eastAsia="en-GB"/>
            </w:rPr>
          </w:pPr>
          <w:hyperlink w:anchor="_Toc167140637" w:history="1">
            <w:r w:rsidR="00F85B49" w:rsidRPr="00494972">
              <w:rPr>
                <w:rStyle w:val="Hyperlink"/>
                <w:rFonts w:cs="Arial"/>
                <w:bCs/>
              </w:rPr>
              <w:t>Factors Affecting Profitability</w:t>
            </w:r>
            <w:r w:rsidR="00F85B49">
              <w:rPr>
                <w:webHidden/>
              </w:rPr>
              <w:tab/>
              <w:t>8</w:t>
            </w:r>
          </w:hyperlink>
        </w:p>
        <w:p w14:paraId="0B661154" w14:textId="7C981796" w:rsidR="00F85B49" w:rsidRDefault="00C32F29">
          <w:pPr>
            <w:pStyle w:val="TOC1"/>
            <w:tabs>
              <w:tab w:val="right" w:leader="dot" w:pos="9016"/>
            </w:tabs>
            <w:rPr>
              <w:rFonts w:asciiTheme="minorHAnsi" w:eastAsiaTheme="minorEastAsia" w:hAnsiTheme="minorHAnsi"/>
              <w:szCs w:val="24"/>
              <w:lang w:eastAsia="en-GB"/>
            </w:rPr>
          </w:pPr>
          <w:hyperlink w:anchor="_Toc167140638" w:history="1">
            <w:r w:rsidR="00F85B49" w:rsidRPr="00494972">
              <w:rPr>
                <w:rStyle w:val="Hyperlink"/>
                <w:rFonts w:cs="Arial"/>
              </w:rPr>
              <w:t>A Comprehensive Turnaround Strategy</w:t>
            </w:r>
            <w:r w:rsidR="00F85B49">
              <w:rPr>
                <w:webHidden/>
              </w:rPr>
              <w:tab/>
              <w:t>10</w:t>
            </w:r>
          </w:hyperlink>
        </w:p>
        <w:p w14:paraId="65B37989" w14:textId="22C3158F" w:rsidR="00F85B49" w:rsidRDefault="00C32F29">
          <w:pPr>
            <w:pStyle w:val="TOC1"/>
            <w:tabs>
              <w:tab w:val="right" w:leader="dot" w:pos="9016"/>
            </w:tabs>
            <w:rPr>
              <w:rFonts w:asciiTheme="minorHAnsi" w:eastAsiaTheme="minorEastAsia" w:hAnsiTheme="minorHAnsi"/>
              <w:szCs w:val="24"/>
              <w:lang w:eastAsia="en-GB"/>
            </w:rPr>
          </w:pPr>
          <w:hyperlink w:anchor="_Toc167140639" w:history="1">
            <w:r w:rsidR="00F85B49" w:rsidRPr="00494972">
              <w:rPr>
                <w:rStyle w:val="Hyperlink"/>
                <w:rFonts w:cs="Arial"/>
              </w:rPr>
              <w:t>Conclusion</w:t>
            </w:r>
            <w:r w:rsidR="00F85B49">
              <w:rPr>
                <w:webHidden/>
              </w:rPr>
              <w:tab/>
              <w:t>12</w:t>
            </w:r>
          </w:hyperlink>
        </w:p>
        <w:p w14:paraId="314A7B8D" w14:textId="1CB67AFB" w:rsidR="00F85B49" w:rsidRDefault="00C32F29">
          <w:pPr>
            <w:pStyle w:val="TOC1"/>
            <w:tabs>
              <w:tab w:val="right" w:leader="dot" w:pos="9016"/>
            </w:tabs>
            <w:rPr>
              <w:rFonts w:asciiTheme="minorHAnsi" w:eastAsiaTheme="minorEastAsia" w:hAnsiTheme="minorHAnsi"/>
              <w:szCs w:val="24"/>
              <w:lang w:eastAsia="en-GB"/>
            </w:rPr>
          </w:pPr>
          <w:hyperlink w:anchor="_Toc167140640" w:history="1">
            <w:r w:rsidR="00F85B49" w:rsidRPr="00494972">
              <w:rPr>
                <w:rStyle w:val="Hyperlink"/>
                <w:rFonts w:cs="Arial"/>
              </w:rPr>
              <w:t>Reference List</w:t>
            </w:r>
            <w:r w:rsidR="00F85B49">
              <w:rPr>
                <w:webHidden/>
              </w:rPr>
              <w:tab/>
              <w:t>13</w:t>
            </w:r>
          </w:hyperlink>
        </w:p>
        <w:p w14:paraId="5F139184" w14:textId="11729097" w:rsidR="00E22C31" w:rsidRPr="00DB492A" w:rsidRDefault="00C32F29" w:rsidP="00DB492A">
          <w:pPr>
            <w:rPr>
              <w:rFonts w:cs="Arial"/>
            </w:rPr>
          </w:pPr>
        </w:p>
      </w:sdtContent>
    </w:sdt>
    <w:p w14:paraId="48DF3C1C" w14:textId="3711E2CD" w:rsidR="00E22C31" w:rsidRPr="00DB492A" w:rsidRDefault="00E22C31" w:rsidP="00DB492A">
      <w:pPr>
        <w:spacing w:before="0" w:after="160"/>
        <w:jc w:val="left"/>
        <w:rPr>
          <w:rStyle w:val="Heading1Char"/>
          <w:rFonts w:ascii="Arial" w:hAnsi="Arial" w:cs="Arial"/>
        </w:rPr>
      </w:pPr>
      <w:r w:rsidRPr="00DB492A">
        <w:rPr>
          <w:rStyle w:val="Heading1Char"/>
          <w:rFonts w:ascii="Arial" w:hAnsi="Arial" w:cs="Arial"/>
        </w:rPr>
        <w:br w:type="page"/>
      </w:r>
    </w:p>
    <w:p w14:paraId="4AFCBE75" w14:textId="17B8410C" w:rsidR="000073D3" w:rsidRPr="00DB492A" w:rsidRDefault="00857F71" w:rsidP="00DB492A">
      <w:pPr>
        <w:pStyle w:val="NoSpacing"/>
        <w:rPr>
          <w:rFonts w:ascii="Arial" w:hAnsi="Arial" w:cs="Arial"/>
          <w:noProof/>
          <w:lang w:val="en-GB"/>
        </w:rPr>
      </w:pPr>
      <w:bookmarkStart w:id="0" w:name="_Toc167140635"/>
      <w:r w:rsidRPr="00DB492A">
        <w:rPr>
          <w:rStyle w:val="Heading1Char"/>
          <w:rFonts w:ascii="Arial" w:hAnsi="Arial" w:cs="Arial"/>
          <w:noProof/>
          <w:lang w:val="en-GB"/>
        </w:rPr>
        <w:lastRenderedPageBreak/>
        <w:t>Introduction</w:t>
      </w:r>
      <w:bookmarkEnd w:id="0"/>
    </w:p>
    <w:p w14:paraId="10AF82FD" w14:textId="3E2F245F" w:rsidR="00E85C55" w:rsidRPr="00DB492A" w:rsidRDefault="000073D3" w:rsidP="00DB492A">
      <w:pPr>
        <w:rPr>
          <w:rFonts w:cs="Arial"/>
        </w:rPr>
      </w:pPr>
      <w:r w:rsidRPr="00DB492A">
        <w:rPr>
          <w:rFonts w:cs="Arial"/>
        </w:rPr>
        <w:t>Financial management assists as the backbone of the hospitality industry, ensuring that everything runs seamlessly</w:t>
      </w:r>
      <w:r w:rsidR="00954962" w:rsidRPr="00DB492A">
        <w:rPr>
          <w:rFonts w:cs="Arial"/>
        </w:rPr>
        <w:t xml:space="preserve"> (Pavone et al., 2023)</w:t>
      </w:r>
      <w:r w:rsidRPr="00DB492A">
        <w:rPr>
          <w:rFonts w:cs="Arial"/>
        </w:rPr>
        <w:t>. One of the primary purposes of financial management is financial analysis of the hospitality industry</w:t>
      </w:r>
      <w:r w:rsidR="00A37BED" w:rsidRPr="00DB492A">
        <w:rPr>
          <w:rFonts w:cs="Arial"/>
        </w:rPr>
        <w:t xml:space="preserve"> (Aharon et al., 2021)</w:t>
      </w:r>
      <w:r w:rsidRPr="00DB492A">
        <w:rPr>
          <w:rFonts w:cs="Arial"/>
        </w:rPr>
        <w:t>.</w:t>
      </w:r>
      <w:r w:rsidRPr="00DB492A">
        <w:rPr>
          <w:rFonts w:cs="Arial"/>
          <w:color w:val="4D5156"/>
          <w:shd w:val="clear" w:color="auto" w:fill="FFFFFF"/>
        </w:rPr>
        <w:t> </w:t>
      </w:r>
      <w:r w:rsidR="00857F71" w:rsidRPr="00DB492A">
        <w:rPr>
          <w:rFonts w:cs="Arial"/>
        </w:rPr>
        <w:t xml:space="preserve">The Urban Heights </w:t>
      </w:r>
      <w:r w:rsidRPr="00DB492A">
        <w:rPr>
          <w:rFonts w:cs="Arial"/>
        </w:rPr>
        <w:t xml:space="preserve">Hotel </w:t>
      </w:r>
      <w:r w:rsidR="00857F71" w:rsidRPr="00DB492A">
        <w:rPr>
          <w:rFonts w:cs="Arial"/>
        </w:rPr>
        <w:t>is having trouble with falling sales, rental rates, and customer happiness. This report</w:t>
      </w:r>
      <w:r w:rsidRPr="00DB492A">
        <w:rPr>
          <w:rFonts w:cs="Arial"/>
        </w:rPr>
        <w:t xml:space="preserve"> has shown</w:t>
      </w:r>
      <w:r w:rsidR="00857F71" w:rsidRPr="00DB492A">
        <w:rPr>
          <w:rFonts w:cs="Arial"/>
        </w:rPr>
        <w:t xml:space="preserve"> the Urban Heights Hotel's </w:t>
      </w:r>
      <w:r w:rsidRPr="00DB492A">
        <w:rPr>
          <w:rFonts w:cs="Arial"/>
        </w:rPr>
        <w:t>economic</w:t>
      </w:r>
      <w:r w:rsidR="00857F71" w:rsidRPr="00DB492A">
        <w:rPr>
          <w:rFonts w:cs="Arial"/>
        </w:rPr>
        <w:t xml:space="preserve"> situation amidst its problems and </w:t>
      </w:r>
      <w:r w:rsidRPr="00DB492A">
        <w:rPr>
          <w:rFonts w:cs="Arial"/>
        </w:rPr>
        <w:t>suggested</w:t>
      </w:r>
      <w:r w:rsidR="00857F71" w:rsidRPr="00DB492A">
        <w:rPr>
          <w:rFonts w:cs="Arial"/>
        </w:rPr>
        <w:t xml:space="preserve"> a complete plan for turning things around. The report will comprise a comprehensive strategy for planned action, an evaluation of financial results, and an identification of obstacles. </w:t>
      </w:r>
    </w:p>
    <w:p w14:paraId="15596B4F" w14:textId="49926813" w:rsidR="003369E6" w:rsidRPr="00DB492A" w:rsidRDefault="00DC4B7C" w:rsidP="00DB492A">
      <w:pPr>
        <w:pStyle w:val="Heading1"/>
        <w:rPr>
          <w:rFonts w:cs="Arial"/>
        </w:rPr>
      </w:pPr>
      <w:bookmarkStart w:id="1" w:name="_Toc167140636"/>
      <w:r w:rsidRPr="00DB492A">
        <w:rPr>
          <w:rFonts w:cs="Arial"/>
        </w:rPr>
        <w:t>Evaluation of the Financial Performance</w:t>
      </w:r>
      <w:bookmarkEnd w:id="1"/>
    </w:p>
    <w:p w14:paraId="020629D7" w14:textId="7BAB132A" w:rsidR="0057524A" w:rsidRPr="00DB492A" w:rsidRDefault="0057524A" w:rsidP="00DB492A">
      <w:pPr>
        <w:rPr>
          <w:rFonts w:cs="Arial"/>
        </w:rPr>
      </w:pPr>
      <w:r w:rsidRPr="00DB492A">
        <w:rPr>
          <w:rFonts w:cs="Arial"/>
        </w:rPr>
        <w:t>Urban Heights Hotel's growth in revenue over the last three years tells us a lot about how it generates revenue, manages its costs, makes profits, and maintains liquidity, and solvency. A thorough analysis may reveal major issues as well as areas of concern that require instant attention</w:t>
      </w:r>
      <w:r w:rsidR="00327756" w:rsidRPr="00DB492A">
        <w:rPr>
          <w:rFonts w:cs="Arial"/>
        </w:rPr>
        <w:t xml:space="preserve"> </w:t>
      </w:r>
      <w:r w:rsidR="00A37BED" w:rsidRPr="00DB492A">
        <w:rPr>
          <w:rFonts w:cs="Arial"/>
        </w:rPr>
        <w:t>(</w:t>
      </w:r>
      <w:r w:rsidR="006C6713">
        <w:t>De Moraes</w:t>
      </w:r>
      <w:r w:rsidR="00954962" w:rsidRPr="00DB492A">
        <w:rPr>
          <w:rFonts w:cs="Arial"/>
        </w:rPr>
        <w:t xml:space="preserve">, </w:t>
      </w:r>
      <w:r w:rsidR="00A37BED" w:rsidRPr="00DB492A">
        <w:rPr>
          <w:rFonts w:cs="Arial"/>
        </w:rPr>
        <w:t>2023)</w:t>
      </w:r>
      <w:r w:rsidRPr="00DB492A">
        <w:rPr>
          <w:rFonts w:cs="Arial"/>
        </w:rPr>
        <w:t>.</w:t>
      </w:r>
    </w:p>
    <w:p w14:paraId="1FBDD9AE" w14:textId="02A2AB98" w:rsidR="00DC4B7C" w:rsidRPr="00DB492A" w:rsidRDefault="00DC4B7C" w:rsidP="00DB492A">
      <w:pPr>
        <w:rPr>
          <w:rFonts w:cs="Arial"/>
          <w:b/>
          <w:bCs/>
          <w:u w:val="single"/>
          <w:shd w:val="clear" w:color="auto" w:fill="FFFFFF"/>
        </w:rPr>
      </w:pPr>
      <w:r w:rsidRPr="00DB492A">
        <w:rPr>
          <w:rFonts w:cs="Arial"/>
          <w:b/>
          <w:bCs/>
          <w:u w:val="single"/>
          <w:shd w:val="clear" w:color="auto" w:fill="FFFFFF"/>
        </w:rPr>
        <w:t>Revenue Trend</w:t>
      </w:r>
    </w:p>
    <w:tbl>
      <w:tblPr>
        <w:tblStyle w:val="TableGrid"/>
        <w:tblW w:w="0" w:type="auto"/>
        <w:jc w:val="center"/>
        <w:tblLook w:val="04A0" w:firstRow="1" w:lastRow="0" w:firstColumn="1" w:lastColumn="0" w:noHBand="0" w:noVBand="1"/>
      </w:tblPr>
      <w:tblGrid>
        <w:gridCol w:w="2859"/>
        <w:gridCol w:w="2859"/>
      </w:tblGrid>
      <w:tr w:rsidR="005A31B3" w:rsidRPr="00DB492A" w14:paraId="2A46BC76" w14:textId="77777777" w:rsidTr="00A65A57">
        <w:trPr>
          <w:trHeight w:val="667"/>
          <w:jc w:val="center"/>
        </w:trPr>
        <w:tc>
          <w:tcPr>
            <w:tcW w:w="2859" w:type="dxa"/>
            <w:shd w:val="clear" w:color="auto" w:fill="D9E2F3" w:themeFill="accent1" w:themeFillTint="33"/>
          </w:tcPr>
          <w:p w14:paraId="33CC485F" w14:textId="77777777" w:rsidR="005A31B3" w:rsidRPr="00DB492A" w:rsidRDefault="005A31B3" w:rsidP="00DB492A">
            <w:pPr>
              <w:jc w:val="center"/>
              <w:rPr>
                <w:rFonts w:cs="Arial"/>
                <w:b/>
                <w:bCs/>
              </w:rPr>
            </w:pPr>
            <w:r w:rsidRPr="00DB492A">
              <w:rPr>
                <w:rFonts w:cs="Arial"/>
                <w:b/>
                <w:bCs/>
              </w:rPr>
              <w:t>Year</w:t>
            </w:r>
          </w:p>
        </w:tc>
        <w:tc>
          <w:tcPr>
            <w:tcW w:w="2859" w:type="dxa"/>
            <w:shd w:val="clear" w:color="auto" w:fill="D9E2F3" w:themeFill="accent1" w:themeFillTint="33"/>
          </w:tcPr>
          <w:p w14:paraId="3F012720" w14:textId="5B50AFAC" w:rsidR="005A31B3" w:rsidRPr="00DB492A" w:rsidRDefault="005A31B3" w:rsidP="00DB492A">
            <w:pPr>
              <w:jc w:val="center"/>
              <w:rPr>
                <w:rFonts w:cs="Arial"/>
                <w:b/>
                <w:bCs/>
              </w:rPr>
            </w:pPr>
            <w:r w:rsidRPr="00DB492A">
              <w:rPr>
                <w:rFonts w:cs="Arial"/>
                <w:b/>
                <w:bCs/>
              </w:rPr>
              <w:t>Revenue</w:t>
            </w:r>
          </w:p>
        </w:tc>
      </w:tr>
      <w:tr w:rsidR="005A31B3" w:rsidRPr="00DB492A" w14:paraId="71E99FEF" w14:textId="77777777" w:rsidTr="00E85C55">
        <w:trPr>
          <w:trHeight w:val="662"/>
          <w:jc w:val="center"/>
        </w:trPr>
        <w:tc>
          <w:tcPr>
            <w:tcW w:w="2859" w:type="dxa"/>
          </w:tcPr>
          <w:p w14:paraId="76B8B96E" w14:textId="77777777" w:rsidR="005A31B3" w:rsidRPr="00DB492A" w:rsidRDefault="005A31B3" w:rsidP="00DB492A">
            <w:pPr>
              <w:jc w:val="center"/>
              <w:rPr>
                <w:rFonts w:cs="Arial"/>
                <w:b/>
                <w:bCs/>
              </w:rPr>
            </w:pPr>
            <w:r w:rsidRPr="00DB492A">
              <w:rPr>
                <w:rFonts w:cs="Arial"/>
                <w:b/>
                <w:bCs/>
                <w:shd w:val="clear" w:color="auto" w:fill="FFFFFF"/>
              </w:rPr>
              <w:t>2021</w:t>
            </w:r>
          </w:p>
        </w:tc>
        <w:tc>
          <w:tcPr>
            <w:tcW w:w="2859" w:type="dxa"/>
          </w:tcPr>
          <w:p w14:paraId="27AEA481" w14:textId="77777777" w:rsidR="005A31B3" w:rsidRPr="00DB492A" w:rsidRDefault="005A31B3" w:rsidP="00DB492A">
            <w:pPr>
              <w:jc w:val="center"/>
              <w:rPr>
                <w:rFonts w:cs="Arial"/>
                <w:b/>
                <w:bCs/>
              </w:rPr>
            </w:pPr>
            <w:r w:rsidRPr="00DB492A">
              <w:rPr>
                <w:rFonts w:cs="Arial"/>
                <w:b/>
                <w:bCs/>
              </w:rPr>
              <w:t>0</w:t>
            </w:r>
          </w:p>
        </w:tc>
      </w:tr>
      <w:tr w:rsidR="005A31B3" w:rsidRPr="00DB492A" w14:paraId="1FEB0AC7" w14:textId="77777777" w:rsidTr="00E85C55">
        <w:trPr>
          <w:trHeight w:val="667"/>
          <w:jc w:val="center"/>
        </w:trPr>
        <w:tc>
          <w:tcPr>
            <w:tcW w:w="2859" w:type="dxa"/>
          </w:tcPr>
          <w:p w14:paraId="2AA98112" w14:textId="77777777" w:rsidR="005A31B3" w:rsidRPr="00DB492A" w:rsidRDefault="005A31B3" w:rsidP="00DB492A">
            <w:pPr>
              <w:jc w:val="center"/>
              <w:rPr>
                <w:rFonts w:cs="Arial"/>
                <w:b/>
                <w:bCs/>
              </w:rPr>
            </w:pPr>
            <w:r w:rsidRPr="00DB492A">
              <w:rPr>
                <w:rFonts w:cs="Arial"/>
                <w:b/>
                <w:bCs/>
                <w:shd w:val="clear" w:color="auto" w:fill="FFFFFF"/>
              </w:rPr>
              <w:t>2022</w:t>
            </w:r>
          </w:p>
        </w:tc>
        <w:tc>
          <w:tcPr>
            <w:tcW w:w="2859" w:type="dxa"/>
          </w:tcPr>
          <w:p w14:paraId="43C96316" w14:textId="48D6E989" w:rsidR="005A31B3" w:rsidRPr="00DB492A" w:rsidRDefault="005A31B3" w:rsidP="00DB492A">
            <w:pPr>
              <w:jc w:val="center"/>
              <w:rPr>
                <w:rFonts w:cs="Arial"/>
                <w:b/>
                <w:bCs/>
              </w:rPr>
            </w:pPr>
            <w:r w:rsidRPr="00DB492A">
              <w:rPr>
                <w:rFonts w:cs="Arial"/>
                <w:b/>
                <w:bCs/>
              </w:rPr>
              <w:t>-12%</w:t>
            </w:r>
          </w:p>
        </w:tc>
      </w:tr>
      <w:tr w:rsidR="005A31B3" w:rsidRPr="00DB492A" w14:paraId="4902B2E5" w14:textId="77777777" w:rsidTr="00E85C55">
        <w:trPr>
          <w:trHeight w:val="662"/>
          <w:jc w:val="center"/>
        </w:trPr>
        <w:tc>
          <w:tcPr>
            <w:tcW w:w="2859" w:type="dxa"/>
          </w:tcPr>
          <w:p w14:paraId="17092839" w14:textId="77777777" w:rsidR="005A31B3" w:rsidRPr="00DB492A" w:rsidRDefault="005A31B3" w:rsidP="00DB492A">
            <w:pPr>
              <w:jc w:val="center"/>
              <w:rPr>
                <w:rFonts w:cs="Arial"/>
                <w:b/>
                <w:bCs/>
              </w:rPr>
            </w:pPr>
            <w:r w:rsidRPr="00DB492A">
              <w:rPr>
                <w:rFonts w:cs="Arial"/>
                <w:b/>
                <w:bCs/>
              </w:rPr>
              <w:t>2023</w:t>
            </w:r>
          </w:p>
        </w:tc>
        <w:tc>
          <w:tcPr>
            <w:tcW w:w="2859" w:type="dxa"/>
          </w:tcPr>
          <w:p w14:paraId="5558C176" w14:textId="38F0A2CF" w:rsidR="005A31B3" w:rsidRPr="00DB492A" w:rsidRDefault="00A65A57" w:rsidP="00DB492A">
            <w:pPr>
              <w:jc w:val="center"/>
              <w:rPr>
                <w:rFonts w:cs="Arial"/>
                <w:b/>
                <w:bCs/>
              </w:rPr>
            </w:pPr>
            <w:r w:rsidRPr="00DB492A">
              <w:rPr>
                <w:rFonts w:cs="Arial"/>
                <w:b/>
                <w:bCs/>
              </w:rPr>
              <w:t>-18</w:t>
            </w:r>
            <w:r w:rsidR="005A31B3" w:rsidRPr="00DB492A">
              <w:rPr>
                <w:rFonts w:cs="Arial"/>
                <w:b/>
                <w:bCs/>
              </w:rPr>
              <w:t>%</w:t>
            </w:r>
          </w:p>
        </w:tc>
      </w:tr>
    </w:tbl>
    <w:p w14:paraId="3F199C81" w14:textId="69D36A96" w:rsidR="00327756" w:rsidRPr="00DB492A" w:rsidRDefault="00327756" w:rsidP="00DB492A">
      <w:pPr>
        <w:jc w:val="center"/>
        <w:rPr>
          <w:rFonts w:cs="Arial"/>
          <w:i/>
          <w:iCs/>
          <w:shd w:val="clear" w:color="auto" w:fill="FFFFFF"/>
        </w:rPr>
      </w:pPr>
      <w:r w:rsidRPr="00DB492A">
        <w:rPr>
          <w:rFonts w:cs="Arial"/>
          <w:i/>
          <w:iCs/>
        </w:rPr>
        <w:t xml:space="preserve">Table 1: </w:t>
      </w:r>
      <w:r w:rsidRPr="00DB492A">
        <w:rPr>
          <w:rFonts w:cs="Arial"/>
          <w:i/>
          <w:iCs/>
          <w:shd w:val="clear" w:color="auto" w:fill="FFFFFF"/>
        </w:rPr>
        <w:t>Revenue Trend</w:t>
      </w:r>
      <w:r w:rsidR="00694060" w:rsidRPr="00DB492A">
        <w:rPr>
          <w:rFonts w:cs="Arial"/>
          <w:i/>
          <w:iCs/>
          <w:shd w:val="clear" w:color="auto" w:fill="FFFFFF"/>
        </w:rPr>
        <w:t xml:space="preserve"> </w:t>
      </w:r>
      <w:r w:rsidR="00694060" w:rsidRPr="00DB492A">
        <w:rPr>
          <w:rFonts w:cs="Arial"/>
          <w:i/>
          <w:iCs/>
        </w:rPr>
        <w:t>(self-made from case study)</w:t>
      </w:r>
    </w:p>
    <w:p w14:paraId="60238FCF" w14:textId="5495D6E1" w:rsidR="00E84B70" w:rsidRPr="00DB492A" w:rsidRDefault="00E84B70" w:rsidP="00DB492A">
      <w:pPr>
        <w:rPr>
          <w:rFonts w:cs="Arial"/>
        </w:rPr>
      </w:pPr>
    </w:p>
    <w:p w14:paraId="098DFB95" w14:textId="7BCC9723" w:rsidR="00E84B70" w:rsidRPr="00DB492A" w:rsidRDefault="00E84B70" w:rsidP="00DB492A">
      <w:pPr>
        <w:jc w:val="center"/>
        <w:rPr>
          <w:rFonts w:cs="Arial"/>
        </w:rPr>
      </w:pPr>
      <w:r w:rsidRPr="00DB492A">
        <w:rPr>
          <w:rFonts w:cs="Arial"/>
          <w:shd w:val="clear" w:color="auto" w:fill="FFFFFF"/>
        </w:rPr>
        <w:lastRenderedPageBreak/>
        <w:drawing>
          <wp:inline distT="0" distB="0" distL="0" distR="0" wp14:anchorId="72CF0FA6" wp14:editId="3CC83C15">
            <wp:extent cx="3448050" cy="2127250"/>
            <wp:effectExtent l="0" t="0" r="0" b="6350"/>
            <wp:docPr id="1951977626"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BCD0D56" w14:textId="3F4DAF11" w:rsidR="00E84B70" w:rsidRPr="00DB492A" w:rsidRDefault="00694060" w:rsidP="00DB492A">
      <w:pPr>
        <w:jc w:val="center"/>
        <w:rPr>
          <w:rFonts w:cs="Arial"/>
          <w:i/>
          <w:iCs/>
          <w:shd w:val="clear" w:color="auto" w:fill="FFFFFF"/>
        </w:rPr>
      </w:pPr>
      <w:r w:rsidRPr="00DB492A">
        <w:rPr>
          <w:rFonts w:cs="Arial"/>
          <w:i/>
          <w:iCs/>
        </w:rPr>
        <w:t xml:space="preserve">Table 1: </w:t>
      </w:r>
      <w:r w:rsidRPr="00DB492A">
        <w:rPr>
          <w:rFonts w:cs="Arial"/>
          <w:i/>
          <w:iCs/>
          <w:shd w:val="clear" w:color="auto" w:fill="FFFFFF"/>
        </w:rPr>
        <w:t xml:space="preserve">Revenue Trend </w:t>
      </w:r>
      <w:r w:rsidRPr="00DB492A">
        <w:rPr>
          <w:rFonts w:cs="Arial"/>
          <w:i/>
          <w:iCs/>
        </w:rPr>
        <w:t>(self-made from case study)</w:t>
      </w:r>
    </w:p>
    <w:p w14:paraId="468389E3" w14:textId="60A21569" w:rsidR="007746B4" w:rsidRPr="00DB492A" w:rsidRDefault="0091768F" w:rsidP="00DB492A">
      <w:pPr>
        <w:rPr>
          <w:rFonts w:cs="Arial"/>
        </w:rPr>
      </w:pPr>
      <w:r w:rsidRPr="00DB492A">
        <w:rPr>
          <w:rFonts w:cs="Arial"/>
        </w:rPr>
        <w:t xml:space="preserve">There has been a 30% decline in the Urban Heights Hotel's revenue over the two years. </w:t>
      </w:r>
      <w:r w:rsidR="00DC4B7C" w:rsidRPr="00DB492A">
        <w:rPr>
          <w:rFonts w:cs="Arial"/>
        </w:rPr>
        <w:t xml:space="preserve">The </w:t>
      </w:r>
      <w:r w:rsidRPr="00DB492A">
        <w:rPr>
          <w:rFonts w:cs="Arial"/>
        </w:rPr>
        <w:t>repeated</w:t>
      </w:r>
      <w:r w:rsidR="00DC4B7C" w:rsidRPr="00DB492A">
        <w:rPr>
          <w:rFonts w:cs="Arial"/>
        </w:rPr>
        <w:t xml:space="preserve"> decreases in revenue over the two years signify a significant downturn in </w:t>
      </w:r>
      <w:r w:rsidRPr="00DB492A">
        <w:rPr>
          <w:rFonts w:cs="Arial"/>
        </w:rPr>
        <w:t>its</w:t>
      </w:r>
      <w:r w:rsidR="00DC4B7C" w:rsidRPr="00DB492A">
        <w:rPr>
          <w:rFonts w:cs="Arial"/>
        </w:rPr>
        <w:t xml:space="preserve"> financial performance. These </w:t>
      </w:r>
      <w:r w:rsidRPr="00DB492A">
        <w:rPr>
          <w:rFonts w:cs="Arial"/>
        </w:rPr>
        <w:t xml:space="preserve">12% and 18% declines </w:t>
      </w:r>
      <w:r w:rsidR="00DC4B7C" w:rsidRPr="00DB492A">
        <w:rPr>
          <w:rFonts w:cs="Arial"/>
        </w:rPr>
        <w:t>respectively demonstrate a substantial reduction in the hotel's ability to generate income</w:t>
      </w:r>
      <w:r w:rsidR="0004309C" w:rsidRPr="00DB492A">
        <w:rPr>
          <w:rFonts w:cs="Arial"/>
        </w:rPr>
        <w:t xml:space="preserve">. </w:t>
      </w:r>
      <w:r w:rsidR="00D74AFA" w:rsidRPr="00DB492A">
        <w:rPr>
          <w:rFonts w:cs="Arial"/>
        </w:rPr>
        <w:t xml:space="preserve">This downward trend of the hotel’s revenue </w:t>
      </w:r>
      <w:r w:rsidR="001B195E" w:rsidRPr="00DB492A">
        <w:rPr>
          <w:rFonts w:cs="Arial"/>
        </w:rPr>
        <w:t>reflects</w:t>
      </w:r>
      <w:r w:rsidR="00D74AFA" w:rsidRPr="00DB492A">
        <w:rPr>
          <w:rFonts w:cs="Arial"/>
        </w:rPr>
        <w:t xml:space="preserve"> </w:t>
      </w:r>
      <w:r w:rsidR="001B195E" w:rsidRPr="00DB492A">
        <w:rPr>
          <w:rFonts w:cs="Arial"/>
        </w:rPr>
        <w:t>the hotel's incapability to generate income, operational inefficiencies, decreased demand, or pricing pressure</w:t>
      </w:r>
      <w:r w:rsidR="0004309C" w:rsidRPr="00DB492A">
        <w:rPr>
          <w:rFonts w:cs="Arial"/>
        </w:rPr>
        <w:t xml:space="preserve"> (Amen et al., 2021)</w:t>
      </w:r>
      <w:r w:rsidR="001B195E" w:rsidRPr="00DB492A">
        <w:rPr>
          <w:rFonts w:cs="Arial"/>
        </w:rPr>
        <w:t xml:space="preserve">. </w:t>
      </w:r>
      <w:r w:rsidR="00DC4B7C" w:rsidRPr="00DB492A">
        <w:rPr>
          <w:rFonts w:cs="Arial"/>
        </w:rPr>
        <w:t xml:space="preserve">Such decreases may result in financial strain, impacting profitability, investment capacity, and the ability to meet operational expenses. </w:t>
      </w:r>
      <w:r w:rsidR="001B195E" w:rsidRPr="00DB492A">
        <w:rPr>
          <w:rFonts w:cs="Arial"/>
        </w:rPr>
        <w:t>T</w:t>
      </w:r>
      <w:r w:rsidR="00DC4B7C" w:rsidRPr="00DB492A">
        <w:rPr>
          <w:rFonts w:cs="Arial"/>
        </w:rPr>
        <w:t>o reverse this trend and restore the hotel's revenue growth for long-term sustainability</w:t>
      </w:r>
      <w:r w:rsidR="001B195E" w:rsidRPr="00DB492A">
        <w:rPr>
          <w:rFonts w:cs="Arial"/>
        </w:rPr>
        <w:t xml:space="preserve"> urgent intervention is required</w:t>
      </w:r>
      <w:r w:rsidR="00A37BED" w:rsidRPr="00DB492A">
        <w:rPr>
          <w:rFonts w:cs="Arial"/>
        </w:rPr>
        <w:t xml:space="preserve"> (Anguera</w:t>
      </w:r>
      <w:r w:rsidR="00DC56F4" w:rsidRPr="00DB492A">
        <w:rPr>
          <w:rFonts w:cs="Arial"/>
        </w:rPr>
        <w:t xml:space="preserve"> </w:t>
      </w:r>
      <w:r w:rsidR="00A37BED" w:rsidRPr="00DB492A">
        <w:rPr>
          <w:rFonts w:cs="Arial"/>
        </w:rPr>
        <w:t>and Vives, 2020)</w:t>
      </w:r>
      <w:r w:rsidR="001B195E" w:rsidRPr="00DB492A">
        <w:rPr>
          <w:rFonts w:cs="Arial"/>
        </w:rPr>
        <w:t>.</w:t>
      </w:r>
    </w:p>
    <w:p w14:paraId="08050722" w14:textId="36B12FCD" w:rsidR="005B1635" w:rsidRPr="00DB492A" w:rsidRDefault="00DC4B7C" w:rsidP="00DB492A">
      <w:pPr>
        <w:rPr>
          <w:rFonts w:cs="Arial"/>
        </w:rPr>
      </w:pPr>
      <w:r w:rsidRPr="00DB492A">
        <w:rPr>
          <w:rFonts w:cs="Arial"/>
          <w:b/>
          <w:bCs/>
          <w:u w:val="single"/>
        </w:rPr>
        <w:t>Operating expenses</w:t>
      </w:r>
    </w:p>
    <w:tbl>
      <w:tblPr>
        <w:tblStyle w:val="TableGrid"/>
        <w:tblW w:w="0" w:type="auto"/>
        <w:jc w:val="center"/>
        <w:tblLook w:val="04A0" w:firstRow="1" w:lastRow="0" w:firstColumn="1" w:lastColumn="0" w:noHBand="0" w:noVBand="1"/>
      </w:tblPr>
      <w:tblGrid>
        <w:gridCol w:w="2859"/>
        <w:gridCol w:w="2859"/>
      </w:tblGrid>
      <w:tr w:rsidR="005A31B3" w:rsidRPr="00DB492A" w14:paraId="7C695F31" w14:textId="77777777" w:rsidTr="00A65A57">
        <w:trPr>
          <w:trHeight w:val="667"/>
          <w:jc w:val="center"/>
        </w:trPr>
        <w:tc>
          <w:tcPr>
            <w:tcW w:w="2859" w:type="dxa"/>
            <w:shd w:val="clear" w:color="auto" w:fill="D9E2F3" w:themeFill="accent1" w:themeFillTint="33"/>
          </w:tcPr>
          <w:p w14:paraId="3272D97F" w14:textId="68549AA0" w:rsidR="005A31B3" w:rsidRPr="00DB492A" w:rsidRDefault="005A31B3" w:rsidP="00DB492A">
            <w:pPr>
              <w:jc w:val="center"/>
              <w:rPr>
                <w:rFonts w:cs="Arial"/>
                <w:b/>
                <w:bCs/>
              </w:rPr>
            </w:pPr>
            <w:r w:rsidRPr="00DB492A">
              <w:rPr>
                <w:rFonts w:cs="Arial"/>
                <w:b/>
                <w:bCs/>
              </w:rPr>
              <w:t>Year</w:t>
            </w:r>
          </w:p>
        </w:tc>
        <w:tc>
          <w:tcPr>
            <w:tcW w:w="2859" w:type="dxa"/>
            <w:shd w:val="clear" w:color="auto" w:fill="D9E2F3" w:themeFill="accent1" w:themeFillTint="33"/>
          </w:tcPr>
          <w:p w14:paraId="7B0EA8A9" w14:textId="50D6739E" w:rsidR="005A31B3" w:rsidRPr="00DB492A" w:rsidRDefault="005A31B3" w:rsidP="00DB492A">
            <w:pPr>
              <w:jc w:val="center"/>
              <w:rPr>
                <w:rFonts w:cs="Arial"/>
                <w:b/>
                <w:bCs/>
              </w:rPr>
            </w:pPr>
            <w:r w:rsidRPr="00DB492A">
              <w:rPr>
                <w:rFonts w:cs="Arial"/>
                <w:b/>
                <w:bCs/>
              </w:rPr>
              <w:t>Operating Expense</w:t>
            </w:r>
          </w:p>
        </w:tc>
      </w:tr>
      <w:tr w:rsidR="005A31B3" w:rsidRPr="00DB492A" w14:paraId="4B7EE128" w14:textId="77777777" w:rsidTr="005A31B3">
        <w:trPr>
          <w:trHeight w:val="662"/>
          <w:jc w:val="center"/>
        </w:trPr>
        <w:tc>
          <w:tcPr>
            <w:tcW w:w="2859" w:type="dxa"/>
          </w:tcPr>
          <w:p w14:paraId="7175C81E" w14:textId="4383AD2A" w:rsidR="005A31B3" w:rsidRPr="00DB492A" w:rsidRDefault="005A31B3" w:rsidP="00DB492A">
            <w:pPr>
              <w:jc w:val="center"/>
              <w:rPr>
                <w:rFonts w:cs="Arial"/>
                <w:b/>
                <w:bCs/>
              </w:rPr>
            </w:pPr>
            <w:r w:rsidRPr="00DB492A">
              <w:rPr>
                <w:rFonts w:cs="Arial"/>
                <w:b/>
                <w:bCs/>
                <w:shd w:val="clear" w:color="auto" w:fill="FFFFFF"/>
              </w:rPr>
              <w:t>2021</w:t>
            </w:r>
          </w:p>
        </w:tc>
        <w:tc>
          <w:tcPr>
            <w:tcW w:w="2859" w:type="dxa"/>
          </w:tcPr>
          <w:p w14:paraId="4E8B27B3" w14:textId="57162C6E" w:rsidR="005A31B3" w:rsidRPr="00DB492A" w:rsidRDefault="005A31B3" w:rsidP="00DB492A">
            <w:pPr>
              <w:jc w:val="center"/>
              <w:rPr>
                <w:rFonts w:cs="Arial"/>
                <w:b/>
                <w:bCs/>
              </w:rPr>
            </w:pPr>
            <w:r w:rsidRPr="00DB492A">
              <w:rPr>
                <w:rFonts w:cs="Arial"/>
                <w:b/>
                <w:bCs/>
              </w:rPr>
              <w:t>0</w:t>
            </w:r>
          </w:p>
        </w:tc>
      </w:tr>
      <w:tr w:rsidR="005A31B3" w:rsidRPr="00DB492A" w14:paraId="553DBC14" w14:textId="77777777" w:rsidTr="005A31B3">
        <w:trPr>
          <w:trHeight w:val="667"/>
          <w:jc w:val="center"/>
        </w:trPr>
        <w:tc>
          <w:tcPr>
            <w:tcW w:w="2859" w:type="dxa"/>
          </w:tcPr>
          <w:p w14:paraId="5D90A148" w14:textId="409F54FF" w:rsidR="005A31B3" w:rsidRPr="00DB492A" w:rsidRDefault="005A31B3" w:rsidP="00DB492A">
            <w:pPr>
              <w:jc w:val="center"/>
              <w:rPr>
                <w:rFonts w:cs="Arial"/>
                <w:b/>
                <w:bCs/>
              </w:rPr>
            </w:pPr>
            <w:r w:rsidRPr="00DB492A">
              <w:rPr>
                <w:rFonts w:cs="Arial"/>
                <w:b/>
                <w:bCs/>
                <w:shd w:val="clear" w:color="auto" w:fill="FFFFFF"/>
              </w:rPr>
              <w:t>2022</w:t>
            </w:r>
          </w:p>
        </w:tc>
        <w:tc>
          <w:tcPr>
            <w:tcW w:w="2859" w:type="dxa"/>
          </w:tcPr>
          <w:p w14:paraId="10883AA0" w14:textId="3514557C" w:rsidR="005A31B3" w:rsidRPr="00DB492A" w:rsidRDefault="005A31B3" w:rsidP="00DB492A">
            <w:pPr>
              <w:jc w:val="center"/>
              <w:rPr>
                <w:rFonts w:cs="Arial"/>
                <w:b/>
                <w:bCs/>
              </w:rPr>
            </w:pPr>
            <w:r w:rsidRPr="00DB492A">
              <w:rPr>
                <w:rFonts w:cs="Arial"/>
                <w:b/>
                <w:bCs/>
              </w:rPr>
              <w:t>11.1%</w:t>
            </w:r>
          </w:p>
        </w:tc>
      </w:tr>
      <w:tr w:rsidR="005A31B3" w:rsidRPr="00DB492A" w14:paraId="46FD9014" w14:textId="77777777" w:rsidTr="005A31B3">
        <w:trPr>
          <w:trHeight w:val="662"/>
          <w:jc w:val="center"/>
        </w:trPr>
        <w:tc>
          <w:tcPr>
            <w:tcW w:w="2859" w:type="dxa"/>
          </w:tcPr>
          <w:p w14:paraId="3C652EB2" w14:textId="6F317303" w:rsidR="005A31B3" w:rsidRPr="00DB492A" w:rsidRDefault="005A31B3" w:rsidP="00DB492A">
            <w:pPr>
              <w:jc w:val="center"/>
              <w:rPr>
                <w:rFonts w:cs="Arial"/>
                <w:b/>
                <w:bCs/>
              </w:rPr>
            </w:pPr>
            <w:r w:rsidRPr="00DB492A">
              <w:rPr>
                <w:rFonts w:cs="Arial"/>
                <w:b/>
                <w:bCs/>
              </w:rPr>
              <w:t>2023</w:t>
            </w:r>
          </w:p>
        </w:tc>
        <w:tc>
          <w:tcPr>
            <w:tcW w:w="2859" w:type="dxa"/>
          </w:tcPr>
          <w:p w14:paraId="10BD3DEE" w14:textId="4844FED7" w:rsidR="005A31B3" w:rsidRPr="00DB492A" w:rsidRDefault="005A31B3" w:rsidP="00DB492A">
            <w:pPr>
              <w:jc w:val="center"/>
              <w:rPr>
                <w:rFonts w:cs="Arial"/>
                <w:b/>
                <w:bCs/>
              </w:rPr>
            </w:pPr>
            <w:r w:rsidRPr="00DB492A">
              <w:rPr>
                <w:rFonts w:cs="Arial"/>
                <w:b/>
                <w:bCs/>
              </w:rPr>
              <w:t>15%</w:t>
            </w:r>
          </w:p>
        </w:tc>
      </w:tr>
    </w:tbl>
    <w:p w14:paraId="0FF6044F" w14:textId="60D45448" w:rsidR="005A31B3" w:rsidRPr="00DB492A" w:rsidRDefault="00327756" w:rsidP="00DB492A">
      <w:pPr>
        <w:jc w:val="center"/>
        <w:rPr>
          <w:rFonts w:cs="Arial"/>
          <w:i/>
          <w:iCs/>
        </w:rPr>
      </w:pPr>
      <w:r w:rsidRPr="00DB492A">
        <w:rPr>
          <w:rFonts w:cs="Arial"/>
          <w:i/>
          <w:iCs/>
        </w:rPr>
        <w:t>Table 2: Operating expenses</w:t>
      </w:r>
      <w:r w:rsidR="00BE47DF" w:rsidRPr="00DB492A">
        <w:rPr>
          <w:rFonts w:cs="Arial"/>
          <w:i/>
          <w:iCs/>
        </w:rPr>
        <w:t xml:space="preserve"> (self-made from case study)</w:t>
      </w:r>
    </w:p>
    <w:p w14:paraId="009E663C" w14:textId="10C0545C" w:rsidR="00C24F21" w:rsidRPr="00DB492A" w:rsidRDefault="00C24F21" w:rsidP="00DB492A">
      <w:pPr>
        <w:jc w:val="center"/>
        <w:rPr>
          <w:rFonts w:cs="Arial"/>
        </w:rPr>
      </w:pPr>
      <w:r w:rsidRPr="00DB492A">
        <w:rPr>
          <w:rFonts w:cs="Arial"/>
        </w:rPr>
        <w:lastRenderedPageBreak/>
        <w:drawing>
          <wp:inline distT="0" distB="0" distL="0" distR="0" wp14:anchorId="3D711880" wp14:editId="42415E88">
            <wp:extent cx="3549650" cy="2127250"/>
            <wp:effectExtent l="0" t="0" r="12700" b="6350"/>
            <wp:docPr id="168225053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625FB9" w14:textId="77EBCDE8" w:rsidR="00694060" w:rsidRPr="00DB492A" w:rsidRDefault="00694060" w:rsidP="00DB492A">
      <w:pPr>
        <w:jc w:val="center"/>
        <w:rPr>
          <w:rFonts w:cs="Arial"/>
          <w:i/>
          <w:iCs/>
        </w:rPr>
      </w:pPr>
      <w:r w:rsidRPr="00DB492A">
        <w:rPr>
          <w:rFonts w:cs="Arial"/>
          <w:i/>
          <w:iCs/>
        </w:rPr>
        <w:t>Chart Line 2: Operating expenses (self-made from case study)</w:t>
      </w:r>
    </w:p>
    <w:p w14:paraId="305B1D53" w14:textId="5DA11F4C" w:rsidR="00402FE9" w:rsidRPr="00DB492A" w:rsidRDefault="005057DD" w:rsidP="00DB492A">
      <w:pPr>
        <w:rPr>
          <w:rFonts w:cs="Arial"/>
        </w:rPr>
      </w:pPr>
      <w:r w:rsidRPr="00DB492A">
        <w:rPr>
          <w:rFonts w:cs="Arial"/>
        </w:rPr>
        <w:t xml:space="preserve">Operating expense is an ongoing cost for a running business or enterprise. </w:t>
      </w:r>
      <w:r w:rsidR="00DC18D4" w:rsidRPr="00DB492A">
        <w:rPr>
          <w:rFonts w:cs="Arial"/>
        </w:rPr>
        <w:t>An increase in operating costs reduces the amount of revenue as well as the profitability of a business and exacerbates financial challenges</w:t>
      </w:r>
      <w:r w:rsidR="003E70BC" w:rsidRPr="00DB492A">
        <w:rPr>
          <w:rFonts w:cs="Arial"/>
        </w:rPr>
        <w:t xml:space="preserve"> (</w:t>
      </w:r>
      <w:r w:rsidR="00EC5093" w:rsidRPr="00DB492A">
        <w:rPr>
          <w:rFonts w:cs="Arial"/>
        </w:rPr>
        <w:t>Palepu et al.</w:t>
      </w:r>
      <w:r w:rsidR="003E70BC" w:rsidRPr="00DB492A">
        <w:rPr>
          <w:rFonts w:cs="Arial"/>
        </w:rPr>
        <w:t xml:space="preserve">, </w:t>
      </w:r>
      <w:r w:rsidR="00EC5093" w:rsidRPr="00DB492A">
        <w:rPr>
          <w:rFonts w:cs="Arial"/>
        </w:rPr>
        <w:t>2020</w:t>
      </w:r>
      <w:r w:rsidR="003E70BC" w:rsidRPr="00DB492A">
        <w:rPr>
          <w:rFonts w:cs="Arial"/>
        </w:rPr>
        <w:t>)</w:t>
      </w:r>
      <w:r w:rsidR="00DC18D4" w:rsidRPr="00DB492A">
        <w:rPr>
          <w:rFonts w:cs="Arial"/>
        </w:rPr>
        <w:t xml:space="preserve">. </w:t>
      </w:r>
      <w:r w:rsidR="00DC4B7C" w:rsidRPr="00DB492A">
        <w:rPr>
          <w:rFonts w:cs="Arial"/>
        </w:rPr>
        <w:t xml:space="preserve">The rising operating expenses, increasing by 11.1% from 2021 to 2022 and by 15% from 2022 to 2023, have significantly strained Urban Heights Hotel's financial performance. </w:t>
      </w:r>
      <w:r w:rsidR="00DC18D4" w:rsidRPr="00DB492A">
        <w:rPr>
          <w:rFonts w:cs="Arial"/>
        </w:rPr>
        <w:t xml:space="preserve">So it is </w:t>
      </w:r>
      <w:r w:rsidR="00DC4B7C" w:rsidRPr="00DB492A">
        <w:rPr>
          <w:rFonts w:cs="Arial"/>
        </w:rPr>
        <w:t>neces</w:t>
      </w:r>
      <w:r w:rsidR="00DC18D4" w:rsidRPr="00DB492A">
        <w:rPr>
          <w:rFonts w:cs="Arial"/>
        </w:rPr>
        <w:t>sary</w:t>
      </w:r>
      <w:r w:rsidR="00DC4B7C" w:rsidRPr="00DB492A">
        <w:rPr>
          <w:rFonts w:cs="Arial"/>
        </w:rPr>
        <w:t xml:space="preserve"> </w:t>
      </w:r>
      <w:r w:rsidR="00DC18D4" w:rsidRPr="00DB492A">
        <w:rPr>
          <w:rFonts w:cs="Arial"/>
        </w:rPr>
        <w:t xml:space="preserve">to </w:t>
      </w:r>
      <w:r w:rsidR="00DC4B7C" w:rsidRPr="00DB492A">
        <w:rPr>
          <w:rFonts w:cs="Arial"/>
        </w:rPr>
        <w:t>immediate cost-control measures to restore financial stability and improve the hotel's bottom line</w:t>
      </w:r>
      <w:r w:rsidR="00A37BED" w:rsidRPr="00DB492A">
        <w:rPr>
          <w:rFonts w:cs="Arial"/>
        </w:rPr>
        <w:t xml:space="preserve"> (Fernandes and Melo, 2023)</w:t>
      </w:r>
      <w:r w:rsidR="00DC4B7C" w:rsidRPr="00DB492A">
        <w:rPr>
          <w:rFonts w:cs="Arial"/>
        </w:rPr>
        <w:t>.</w:t>
      </w:r>
    </w:p>
    <w:p w14:paraId="7849886A" w14:textId="558B0296" w:rsidR="00A65A57" w:rsidRPr="00DB492A" w:rsidRDefault="005B1635" w:rsidP="00DB492A">
      <w:pPr>
        <w:rPr>
          <w:rFonts w:cs="Arial"/>
          <w:b/>
          <w:bCs/>
          <w:u w:val="single"/>
        </w:rPr>
      </w:pPr>
      <w:r w:rsidRPr="00DB492A">
        <w:rPr>
          <w:rFonts w:cs="Arial"/>
          <w:b/>
          <w:bCs/>
          <w:u w:val="single"/>
        </w:rPr>
        <w:t>Profitability Ratio</w:t>
      </w:r>
    </w:p>
    <w:tbl>
      <w:tblPr>
        <w:tblStyle w:val="TableGrid"/>
        <w:tblW w:w="0" w:type="auto"/>
        <w:jc w:val="center"/>
        <w:tblLook w:val="04A0" w:firstRow="1" w:lastRow="0" w:firstColumn="1" w:lastColumn="0" w:noHBand="0" w:noVBand="1"/>
      </w:tblPr>
      <w:tblGrid>
        <w:gridCol w:w="2859"/>
        <w:gridCol w:w="2859"/>
      </w:tblGrid>
      <w:tr w:rsidR="00A65A57" w:rsidRPr="00DB492A" w14:paraId="3E89E7F0" w14:textId="77777777" w:rsidTr="00A65A57">
        <w:trPr>
          <w:trHeight w:val="667"/>
          <w:jc w:val="center"/>
        </w:trPr>
        <w:tc>
          <w:tcPr>
            <w:tcW w:w="2859" w:type="dxa"/>
            <w:shd w:val="clear" w:color="auto" w:fill="D9E2F3" w:themeFill="accent1" w:themeFillTint="33"/>
          </w:tcPr>
          <w:p w14:paraId="1420222E" w14:textId="77777777" w:rsidR="00A65A57" w:rsidRPr="00DB492A" w:rsidRDefault="00A65A57" w:rsidP="00DB492A">
            <w:pPr>
              <w:jc w:val="center"/>
              <w:rPr>
                <w:rFonts w:cs="Arial"/>
                <w:b/>
                <w:bCs/>
              </w:rPr>
            </w:pPr>
            <w:r w:rsidRPr="00DB492A">
              <w:rPr>
                <w:rFonts w:cs="Arial"/>
                <w:b/>
                <w:bCs/>
              </w:rPr>
              <w:t>Year</w:t>
            </w:r>
          </w:p>
        </w:tc>
        <w:tc>
          <w:tcPr>
            <w:tcW w:w="2859" w:type="dxa"/>
            <w:shd w:val="clear" w:color="auto" w:fill="D9E2F3" w:themeFill="accent1" w:themeFillTint="33"/>
          </w:tcPr>
          <w:p w14:paraId="2FCBF52F" w14:textId="4609E0CF" w:rsidR="00A65A57" w:rsidRPr="00DB492A" w:rsidRDefault="00A65A57" w:rsidP="00DB492A">
            <w:pPr>
              <w:jc w:val="center"/>
              <w:rPr>
                <w:rFonts w:cs="Arial"/>
                <w:b/>
                <w:bCs/>
              </w:rPr>
            </w:pPr>
            <w:r w:rsidRPr="00DB492A">
              <w:rPr>
                <w:rFonts w:cs="Arial"/>
                <w:b/>
                <w:bCs/>
              </w:rPr>
              <w:t>Gross Profit Margin</w:t>
            </w:r>
          </w:p>
        </w:tc>
      </w:tr>
      <w:tr w:rsidR="00A65A57" w:rsidRPr="00DB492A" w14:paraId="1B67FEA6" w14:textId="77777777" w:rsidTr="00E85C55">
        <w:trPr>
          <w:trHeight w:val="662"/>
          <w:jc w:val="center"/>
        </w:trPr>
        <w:tc>
          <w:tcPr>
            <w:tcW w:w="2859" w:type="dxa"/>
          </w:tcPr>
          <w:p w14:paraId="4B93B030" w14:textId="77777777" w:rsidR="00A65A57" w:rsidRPr="00DB492A" w:rsidRDefault="00A65A57" w:rsidP="00DB492A">
            <w:pPr>
              <w:jc w:val="center"/>
              <w:rPr>
                <w:rFonts w:cs="Arial"/>
                <w:b/>
                <w:bCs/>
              </w:rPr>
            </w:pPr>
            <w:r w:rsidRPr="00DB492A">
              <w:rPr>
                <w:rFonts w:cs="Arial"/>
                <w:b/>
                <w:bCs/>
                <w:shd w:val="clear" w:color="auto" w:fill="FFFFFF"/>
              </w:rPr>
              <w:t>2021</w:t>
            </w:r>
          </w:p>
        </w:tc>
        <w:tc>
          <w:tcPr>
            <w:tcW w:w="2859" w:type="dxa"/>
          </w:tcPr>
          <w:p w14:paraId="7BDAFEA5" w14:textId="3B7C8391" w:rsidR="00A65A57" w:rsidRPr="00DB492A" w:rsidRDefault="00A65A57" w:rsidP="00DB492A">
            <w:pPr>
              <w:jc w:val="center"/>
              <w:rPr>
                <w:rFonts w:cs="Arial"/>
                <w:b/>
                <w:bCs/>
              </w:rPr>
            </w:pPr>
            <w:r w:rsidRPr="00DB492A">
              <w:rPr>
                <w:rFonts w:cs="Arial"/>
                <w:b/>
                <w:bCs/>
              </w:rPr>
              <w:t>28%</w:t>
            </w:r>
          </w:p>
        </w:tc>
      </w:tr>
      <w:tr w:rsidR="00A65A57" w:rsidRPr="00DB492A" w14:paraId="26214A4F" w14:textId="77777777" w:rsidTr="00E85C55">
        <w:trPr>
          <w:trHeight w:val="667"/>
          <w:jc w:val="center"/>
        </w:trPr>
        <w:tc>
          <w:tcPr>
            <w:tcW w:w="2859" w:type="dxa"/>
          </w:tcPr>
          <w:p w14:paraId="7FA0DFC5" w14:textId="77777777" w:rsidR="00A65A57" w:rsidRPr="00DB492A" w:rsidRDefault="00A65A57" w:rsidP="00DB492A">
            <w:pPr>
              <w:jc w:val="center"/>
              <w:rPr>
                <w:rFonts w:cs="Arial"/>
                <w:b/>
                <w:bCs/>
              </w:rPr>
            </w:pPr>
            <w:r w:rsidRPr="00DB492A">
              <w:rPr>
                <w:rFonts w:cs="Arial"/>
                <w:b/>
                <w:bCs/>
                <w:shd w:val="clear" w:color="auto" w:fill="FFFFFF"/>
              </w:rPr>
              <w:t>2022</w:t>
            </w:r>
          </w:p>
        </w:tc>
        <w:tc>
          <w:tcPr>
            <w:tcW w:w="2859" w:type="dxa"/>
          </w:tcPr>
          <w:p w14:paraId="59B594FB" w14:textId="7107933F" w:rsidR="00A65A57" w:rsidRPr="00DB492A" w:rsidRDefault="00A65A57" w:rsidP="00DB492A">
            <w:pPr>
              <w:jc w:val="center"/>
              <w:rPr>
                <w:rFonts w:cs="Arial"/>
                <w:b/>
                <w:bCs/>
              </w:rPr>
            </w:pPr>
            <w:r w:rsidRPr="00DB492A">
              <w:rPr>
                <w:rFonts w:cs="Arial"/>
                <w:b/>
                <w:bCs/>
              </w:rPr>
              <w:t>9%</w:t>
            </w:r>
          </w:p>
        </w:tc>
      </w:tr>
      <w:tr w:rsidR="00A65A57" w:rsidRPr="00DB492A" w14:paraId="19B1FC16" w14:textId="77777777" w:rsidTr="00E85C55">
        <w:trPr>
          <w:trHeight w:val="662"/>
          <w:jc w:val="center"/>
        </w:trPr>
        <w:tc>
          <w:tcPr>
            <w:tcW w:w="2859" w:type="dxa"/>
          </w:tcPr>
          <w:p w14:paraId="662C8C78" w14:textId="77777777" w:rsidR="00A65A57" w:rsidRPr="00DB492A" w:rsidRDefault="00A65A57" w:rsidP="00DB492A">
            <w:pPr>
              <w:jc w:val="center"/>
              <w:rPr>
                <w:rFonts w:cs="Arial"/>
                <w:b/>
                <w:bCs/>
              </w:rPr>
            </w:pPr>
            <w:r w:rsidRPr="00DB492A">
              <w:rPr>
                <w:rFonts w:cs="Arial"/>
                <w:b/>
                <w:bCs/>
              </w:rPr>
              <w:t>2023</w:t>
            </w:r>
          </w:p>
        </w:tc>
        <w:tc>
          <w:tcPr>
            <w:tcW w:w="2859" w:type="dxa"/>
          </w:tcPr>
          <w:p w14:paraId="5615B447" w14:textId="67375E2D" w:rsidR="00A65A57" w:rsidRPr="00DB492A" w:rsidRDefault="00A65A57" w:rsidP="00DB492A">
            <w:pPr>
              <w:jc w:val="center"/>
              <w:rPr>
                <w:rFonts w:cs="Arial"/>
                <w:b/>
                <w:bCs/>
              </w:rPr>
            </w:pPr>
            <w:r w:rsidRPr="00DB492A">
              <w:rPr>
                <w:rFonts w:cs="Arial"/>
                <w:b/>
                <w:bCs/>
              </w:rPr>
              <w:t>-27.8%</w:t>
            </w:r>
          </w:p>
        </w:tc>
      </w:tr>
    </w:tbl>
    <w:p w14:paraId="71E5B365" w14:textId="5F008403" w:rsidR="00A65A57" w:rsidRPr="00DB492A" w:rsidRDefault="00327756" w:rsidP="00DB492A">
      <w:pPr>
        <w:jc w:val="center"/>
        <w:rPr>
          <w:rFonts w:cs="Arial"/>
          <w:i/>
          <w:iCs/>
        </w:rPr>
      </w:pPr>
      <w:r w:rsidRPr="00DB492A">
        <w:rPr>
          <w:rFonts w:cs="Arial"/>
          <w:i/>
          <w:iCs/>
        </w:rPr>
        <w:t xml:space="preserve">Table </w:t>
      </w:r>
      <w:r w:rsidR="00BE47DF" w:rsidRPr="00DB492A">
        <w:rPr>
          <w:rFonts w:cs="Arial"/>
          <w:i/>
          <w:iCs/>
        </w:rPr>
        <w:t>3</w:t>
      </w:r>
      <w:r w:rsidRPr="00DB492A">
        <w:rPr>
          <w:rFonts w:cs="Arial"/>
          <w:i/>
          <w:iCs/>
        </w:rPr>
        <w:t xml:space="preserve">: </w:t>
      </w:r>
      <w:r w:rsidR="00320AD6" w:rsidRPr="00DB492A">
        <w:rPr>
          <w:rFonts w:cs="Arial"/>
          <w:i/>
          <w:iCs/>
        </w:rPr>
        <w:t>Profitability Ratio</w:t>
      </w:r>
      <w:r w:rsidR="00BE47DF" w:rsidRPr="00DB492A">
        <w:rPr>
          <w:rFonts w:cs="Arial"/>
          <w:i/>
          <w:iCs/>
        </w:rPr>
        <w:t xml:space="preserve"> (self-made from case study)</w:t>
      </w:r>
    </w:p>
    <w:p w14:paraId="111763E0" w14:textId="6CD9F6D4" w:rsidR="00402FE9" w:rsidRPr="00DB492A" w:rsidRDefault="00402FE9" w:rsidP="00DB492A">
      <w:pPr>
        <w:jc w:val="center"/>
        <w:rPr>
          <w:rFonts w:cs="Arial"/>
        </w:rPr>
      </w:pPr>
      <w:r w:rsidRPr="00DB492A">
        <w:rPr>
          <w:rFonts w:cs="Arial"/>
        </w:rPr>
        <w:lastRenderedPageBreak/>
        <w:drawing>
          <wp:inline distT="0" distB="0" distL="0" distR="0" wp14:anchorId="00DF0759" wp14:editId="4A072F21">
            <wp:extent cx="3905250" cy="2266950"/>
            <wp:effectExtent l="0" t="0" r="0" b="0"/>
            <wp:docPr id="13937777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90ED623" w14:textId="688EFB99" w:rsidR="00694060" w:rsidRPr="00DB492A" w:rsidRDefault="00694060" w:rsidP="00DB492A">
      <w:pPr>
        <w:jc w:val="center"/>
        <w:rPr>
          <w:rFonts w:cs="Arial"/>
          <w:i/>
          <w:iCs/>
        </w:rPr>
      </w:pPr>
      <w:r w:rsidRPr="00DB492A">
        <w:rPr>
          <w:rFonts w:cs="Arial"/>
          <w:i/>
          <w:iCs/>
        </w:rPr>
        <w:t>Chart Line 3: Profitability Ratio (self-made from case study)</w:t>
      </w:r>
    </w:p>
    <w:p w14:paraId="486B5771" w14:textId="26A26E1B" w:rsidR="00DC4B7C" w:rsidRPr="00DB492A" w:rsidRDefault="00F91A6D" w:rsidP="00DB492A">
      <w:pPr>
        <w:rPr>
          <w:rFonts w:cs="Arial"/>
        </w:rPr>
      </w:pPr>
      <w:r w:rsidRPr="00DB492A">
        <w:rPr>
          <w:rFonts w:cs="Arial"/>
        </w:rPr>
        <w:t xml:space="preserve">The profitability ratio measures the ability to generate income or profit </w:t>
      </w:r>
      <w:r w:rsidR="00AE6A60" w:rsidRPr="00DB492A">
        <w:rPr>
          <w:rFonts w:cs="Arial"/>
        </w:rPr>
        <w:t>for</w:t>
      </w:r>
      <w:r w:rsidRPr="00DB492A">
        <w:rPr>
          <w:rFonts w:cs="Arial"/>
        </w:rPr>
        <w:t xml:space="preserve"> a business. </w:t>
      </w:r>
      <w:r w:rsidR="00DC4B7C" w:rsidRPr="00DB492A">
        <w:rPr>
          <w:rFonts w:cs="Arial"/>
        </w:rPr>
        <w:t xml:space="preserve">The dramatic decline in Urban Heights Hotel's gross profit margin from 28% in 2021 to 9% in 2022, and then to a negative -27.8% in 2023, indicates a severe </w:t>
      </w:r>
      <w:r w:rsidR="00AE6A60" w:rsidRPr="00DB492A">
        <w:rPr>
          <w:rFonts w:cs="Arial"/>
        </w:rPr>
        <w:t>fall</w:t>
      </w:r>
      <w:r w:rsidR="00DC4B7C" w:rsidRPr="00DB492A">
        <w:rPr>
          <w:rFonts w:cs="Arial"/>
        </w:rPr>
        <w:t xml:space="preserve"> in profitability. </w:t>
      </w:r>
      <w:r w:rsidR="00D859D3" w:rsidRPr="00DB492A">
        <w:rPr>
          <w:rFonts w:cs="Arial"/>
        </w:rPr>
        <w:t xml:space="preserve">This </w:t>
      </w:r>
      <w:r w:rsidR="00E85C55" w:rsidRPr="00DB492A">
        <w:rPr>
          <w:rFonts w:cs="Arial"/>
        </w:rPr>
        <w:t>decreasing</w:t>
      </w:r>
      <w:r w:rsidR="00DC4B7C" w:rsidRPr="00DB492A">
        <w:rPr>
          <w:rFonts w:cs="Arial"/>
        </w:rPr>
        <w:t xml:space="preserve"> trend </w:t>
      </w:r>
      <w:r w:rsidR="00E85C55" w:rsidRPr="00DB492A">
        <w:rPr>
          <w:rFonts w:cs="Arial"/>
        </w:rPr>
        <w:t>shows</w:t>
      </w:r>
      <w:r w:rsidR="00D859D3" w:rsidRPr="00DB492A">
        <w:rPr>
          <w:rFonts w:cs="Arial"/>
        </w:rPr>
        <w:t xml:space="preserve"> the</w:t>
      </w:r>
      <w:r w:rsidR="00DC4B7C" w:rsidRPr="00DB492A">
        <w:rPr>
          <w:rFonts w:cs="Arial"/>
        </w:rPr>
        <w:t xml:space="preserve"> increasing costs relative to revenue, </w:t>
      </w:r>
      <w:r w:rsidR="00E85C55" w:rsidRPr="00DB492A">
        <w:rPr>
          <w:rFonts w:cs="Arial"/>
        </w:rPr>
        <w:t>principal,</w:t>
      </w:r>
      <w:r w:rsidR="00DC4B7C" w:rsidRPr="00DB492A">
        <w:rPr>
          <w:rFonts w:cs="Arial"/>
        </w:rPr>
        <w:t xml:space="preserve"> </w:t>
      </w:r>
      <w:r w:rsidR="00E85C55" w:rsidRPr="00DB492A">
        <w:rPr>
          <w:rFonts w:cs="Arial"/>
        </w:rPr>
        <w:t>working</w:t>
      </w:r>
      <w:r w:rsidR="00DC4B7C" w:rsidRPr="00DB492A">
        <w:rPr>
          <w:rFonts w:cs="Arial"/>
        </w:rPr>
        <w:t xml:space="preserve"> inefficiencies</w:t>
      </w:r>
      <w:r w:rsidR="00E85C55" w:rsidRPr="00DB492A">
        <w:rPr>
          <w:rFonts w:cs="Arial"/>
        </w:rPr>
        <w:t>,</w:t>
      </w:r>
      <w:r w:rsidR="00DC4B7C" w:rsidRPr="00DB492A">
        <w:rPr>
          <w:rFonts w:cs="Arial"/>
        </w:rPr>
        <w:t xml:space="preserve"> and </w:t>
      </w:r>
      <w:r w:rsidR="00E85C55" w:rsidRPr="00DB492A">
        <w:rPr>
          <w:rFonts w:cs="Arial"/>
        </w:rPr>
        <w:t>noteworthy</w:t>
      </w:r>
      <w:r w:rsidR="00DC4B7C" w:rsidRPr="00DB492A">
        <w:rPr>
          <w:rFonts w:cs="Arial"/>
        </w:rPr>
        <w:t xml:space="preserve"> financial distress</w:t>
      </w:r>
      <w:r w:rsidR="00D859D3" w:rsidRPr="00DB492A">
        <w:rPr>
          <w:rFonts w:cs="Arial"/>
        </w:rPr>
        <w:t xml:space="preserve">. </w:t>
      </w:r>
      <w:r w:rsidR="00E85C55" w:rsidRPr="00DB492A">
        <w:rPr>
          <w:rFonts w:cs="Arial"/>
        </w:rPr>
        <w:t>So,</w:t>
      </w:r>
      <w:r w:rsidR="00D859D3" w:rsidRPr="00DB492A">
        <w:rPr>
          <w:rFonts w:cs="Arial"/>
        </w:rPr>
        <w:t xml:space="preserve"> to overcome this situation </w:t>
      </w:r>
      <w:r w:rsidR="00E85C55" w:rsidRPr="00DB492A">
        <w:rPr>
          <w:rFonts w:cs="Arial"/>
        </w:rPr>
        <w:t>besides</w:t>
      </w:r>
      <w:r w:rsidR="00D859D3" w:rsidRPr="00DB492A">
        <w:rPr>
          <w:rFonts w:cs="Arial"/>
        </w:rPr>
        <w:t xml:space="preserve"> </w:t>
      </w:r>
      <w:r w:rsidR="00E85C55" w:rsidRPr="00DB492A">
        <w:rPr>
          <w:rFonts w:cs="Arial"/>
        </w:rPr>
        <w:t>restoring</w:t>
      </w:r>
      <w:r w:rsidR="00D859D3" w:rsidRPr="00DB492A">
        <w:rPr>
          <w:rFonts w:cs="Arial"/>
        </w:rPr>
        <w:t xml:space="preserve"> profitability it is </w:t>
      </w:r>
      <w:r w:rsidR="00E85C55" w:rsidRPr="00DB492A">
        <w:rPr>
          <w:rFonts w:cs="Arial"/>
        </w:rPr>
        <w:t>required</w:t>
      </w:r>
      <w:r w:rsidR="00D859D3" w:rsidRPr="00DB492A">
        <w:rPr>
          <w:rFonts w:cs="Arial"/>
        </w:rPr>
        <w:t xml:space="preserve"> to take</w:t>
      </w:r>
      <w:r w:rsidR="00DC4B7C" w:rsidRPr="00DB492A">
        <w:rPr>
          <w:rFonts w:cs="Arial"/>
        </w:rPr>
        <w:t xml:space="preserve"> urgent strategic </w:t>
      </w:r>
      <w:r w:rsidR="00D859D3" w:rsidRPr="00DB492A">
        <w:rPr>
          <w:rFonts w:cs="Arial"/>
        </w:rPr>
        <w:t>steps</w:t>
      </w:r>
      <w:r w:rsidR="00A37BED" w:rsidRPr="00DB492A">
        <w:rPr>
          <w:rFonts w:cs="Arial"/>
        </w:rPr>
        <w:t xml:space="preserve"> (Hayes et al., 2021)</w:t>
      </w:r>
      <w:r w:rsidR="00DC4B7C" w:rsidRPr="00DB492A">
        <w:rPr>
          <w:rFonts w:cs="Arial"/>
        </w:rPr>
        <w:t>.</w:t>
      </w:r>
    </w:p>
    <w:p w14:paraId="583C5D85" w14:textId="3B2550FC" w:rsidR="00060EF2" w:rsidRPr="00DB492A" w:rsidRDefault="005B1635" w:rsidP="00DB492A">
      <w:pPr>
        <w:rPr>
          <w:rFonts w:cs="Arial"/>
          <w:b/>
          <w:bCs/>
          <w:u w:val="single"/>
        </w:rPr>
      </w:pPr>
      <w:r w:rsidRPr="00DB492A">
        <w:rPr>
          <w:rFonts w:cs="Arial"/>
          <w:b/>
          <w:bCs/>
          <w:u w:val="single"/>
        </w:rPr>
        <w:t>Liquidity Ratio</w:t>
      </w:r>
    </w:p>
    <w:tbl>
      <w:tblPr>
        <w:tblStyle w:val="TableGrid"/>
        <w:tblW w:w="0" w:type="auto"/>
        <w:jc w:val="center"/>
        <w:tblLook w:val="04A0" w:firstRow="1" w:lastRow="0" w:firstColumn="1" w:lastColumn="0" w:noHBand="0" w:noVBand="1"/>
      </w:tblPr>
      <w:tblGrid>
        <w:gridCol w:w="2859"/>
        <w:gridCol w:w="2859"/>
      </w:tblGrid>
      <w:tr w:rsidR="00A65A57" w:rsidRPr="00DB492A" w14:paraId="46C98F60" w14:textId="77777777" w:rsidTr="00A65A57">
        <w:trPr>
          <w:trHeight w:val="667"/>
          <w:jc w:val="center"/>
        </w:trPr>
        <w:tc>
          <w:tcPr>
            <w:tcW w:w="2859" w:type="dxa"/>
            <w:shd w:val="clear" w:color="auto" w:fill="D9E2F3" w:themeFill="accent1" w:themeFillTint="33"/>
          </w:tcPr>
          <w:p w14:paraId="40AA2D9A" w14:textId="77777777" w:rsidR="00A65A57" w:rsidRPr="00DB492A" w:rsidRDefault="00A65A57" w:rsidP="00DB492A">
            <w:pPr>
              <w:jc w:val="center"/>
              <w:rPr>
                <w:rFonts w:cs="Arial"/>
                <w:b/>
                <w:bCs/>
              </w:rPr>
            </w:pPr>
            <w:r w:rsidRPr="00DB492A">
              <w:rPr>
                <w:rFonts w:cs="Arial"/>
                <w:b/>
                <w:bCs/>
              </w:rPr>
              <w:t>Year</w:t>
            </w:r>
          </w:p>
        </w:tc>
        <w:tc>
          <w:tcPr>
            <w:tcW w:w="2859" w:type="dxa"/>
            <w:shd w:val="clear" w:color="auto" w:fill="D9E2F3" w:themeFill="accent1" w:themeFillTint="33"/>
          </w:tcPr>
          <w:p w14:paraId="5BA43D1E" w14:textId="60C519D2" w:rsidR="00A65A57" w:rsidRPr="00DB492A" w:rsidRDefault="00A65A57" w:rsidP="00DB492A">
            <w:pPr>
              <w:jc w:val="center"/>
              <w:rPr>
                <w:rFonts w:cs="Arial"/>
                <w:b/>
                <w:bCs/>
              </w:rPr>
            </w:pPr>
            <w:r w:rsidRPr="00DB492A">
              <w:rPr>
                <w:rFonts w:cs="Arial"/>
                <w:b/>
                <w:bCs/>
              </w:rPr>
              <w:t>Current Ratio</w:t>
            </w:r>
          </w:p>
        </w:tc>
      </w:tr>
      <w:tr w:rsidR="00A65A57" w:rsidRPr="00DB492A" w14:paraId="48807132" w14:textId="77777777" w:rsidTr="00E85C55">
        <w:trPr>
          <w:trHeight w:val="662"/>
          <w:jc w:val="center"/>
        </w:trPr>
        <w:tc>
          <w:tcPr>
            <w:tcW w:w="2859" w:type="dxa"/>
          </w:tcPr>
          <w:p w14:paraId="3D8E29CC" w14:textId="77777777" w:rsidR="00A65A57" w:rsidRPr="00DB492A" w:rsidRDefault="00A65A57" w:rsidP="00DB492A">
            <w:pPr>
              <w:jc w:val="center"/>
              <w:rPr>
                <w:rFonts w:cs="Arial"/>
                <w:b/>
                <w:bCs/>
              </w:rPr>
            </w:pPr>
            <w:r w:rsidRPr="00DB492A">
              <w:rPr>
                <w:rFonts w:cs="Arial"/>
                <w:b/>
                <w:bCs/>
                <w:shd w:val="clear" w:color="auto" w:fill="FFFFFF"/>
              </w:rPr>
              <w:t>2021</w:t>
            </w:r>
          </w:p>
        </w:tc>
        <w:tc>
          <w:tcPr>
            <w:tcW w:w="2859" w:type="dxa"/>
          </w:tcPr>
          <w:p w14:paraId="11E63B5F" w14:textId="4EF1D459" w:rsidR="00A65A57" w:rsidRPr="00DB492A" w:rsidRDefault="00A65A57" w:rsidP="00DB492A">
            <w:pPr>
              <w:jc w:val="center"/>
              <w:rPr>
                <w:rFonts w:cs="Arial"/>
                <w:b/>
                <w:bCs/>
              </w:rPr>
            </w:pPr>
            <w:r w:rsidRPr="00DB492A">
              <w:rPr>
                <w:rFonts w:cs="Arial"/>
                <w:b/>
                <w:bCs/>
              </w:rPr>
              <w:t>1.8%</w:t>
            </w:r>
          </w:p>
        </w:tc>
      </w:tr>
      <w:tr w:rsidR="00A65A57" w:rsidRPr="00DB492A" w14:paraId="52DBDFD1" w14:textId="77777777" w:rsidTr="00E85C55">
        <w:trPr>
          <w:trHeight w:val="667"/>
          <w:jc w:val="center"/>
        </w:trPr>
        <w:tc>
          <w:tcPr>
            <w:tcW w:w="2859" w:type="dxa"/>
          </w:tcPr>
          <w:p w14:paraId="02836229" w14:textId="77777777" w:rsidR="00A65A57" w:rsidRPr="00DB492A" w:rsidRDefault="00A65A57" w:rsidP="00DB492A">
            <w:pPr>
              <w:jc w:val="center"/>
              <w:rPr>
                <w:rFonts w:cs="Arial"/>
                <w:b/>
                <w:bCs/>
              </w:rPr>
            </w:pPr>
            <w:r w:rsidRPr="00DB492A">
              <w:rPr>
                <w:rFonts w:cs="Arial"/>
                <w:b/>
                <w:bCs/>
                <w:shd w:val="clear" w:color="auto" w:fill="FFFFFF"/>
              </w:rPr>
              <w:t>2022</w:t>
            </w:r>
          </w:p>
        </w:tc>
        <w:tc>
          <w:tcPr>
            <w:tcW w:w="2859" w:type="dxa"/>
          </w:tcPr>
          <w:p w14:paraId="05596DF4" w14:textId="298CFBF7" w:rsidR="00A65A57" w:rsidRPr="00DB492A" w:rsidRDefault="00A65A57" w:rsidP="00DB492A">
            <w:pPr>
              <w:jc w:val="center"/>
              <w:rPr>
                <w:rFonts w:cs="Arial"/>
                <w:b/>
                <w:bCs/>
              </w:rPr>
            </w:pPr>
            <w:r w:rsidRPr="00DB492A">
              <w:rPr>
                <w:rFonts w:cs="Arial"/>
                <w:b/>
                <w:bCs/>
              </w:rPr>
              <w:t>1%</w:t>
            </w:r>
          </w:p>
        </w:tc>
      </w:tr>
      <w:tr w:rsidR="00A65A57" w:rsidRPr="00DB492A" w14:paraId="08545FBC" w14:textId="77777777" w:rsidTr="00E85C55">
        <w:trPr>
          <w:trHeight w:val="662"/>
          <w:jc w:val="center"/>
        </w:trPr>
        <w:tc>
          <w:tcPr>
            <w:tcW w:w="2859" w:type="dxa"/>
          </w:tcPr>
          <w:p w14:paraId="58262BE8" w14:textId="77777777" w:rsidR="00A65A57" w:rsidRPr="00DB492A" w:rsidRDefault="00A65A57" w:rsidP="00DB492A">
            <w:pPr>
              <w:jc w:val="center"/>
              <w:rPr>
                <w:rFonts w:cs="Arial"/>
                <w:b/>
                <w:bCs/>
              </w:rPr>
            </w:pPr>
            <w:r w:rsidRPr="00DB492A">
              <w:rPr>
                <w:rFonts w:cs="Arial"/>
                <w:b/>
                <w:bCs/>
              </w:rPr>
              <w:t>2023</w:t>
            </w:r>
          </w:p>
        </w:tc>
        <w:tc>
          <w:tcPr>
            <w:tcW w:w="2859" w:type="dxa"/>
          </w:tcPr>
          <w:p w14:paraId="4B6F4FC7" w14:textId="2FC5323E" w:rsidR="00A65A57" w:rsidRPr="00DB492A" w:rsidRDefault="00A65A57" w:rsidP="00DB492A">
            <w:pPr>
              <w:jc w:val="center"/>
              <w:rPr>
                <w:rFonts w:cs="Arial"/>
                <w:b/>
                <w:bCs/>
              </w:rPr>
            </w:pPr>
            <w:r w:rsidRPr="00DB492A">
              <w:rPr>
                <w:rFonts w:cs="Arial"/>
                <w:b/>
                <w:bCs/>
              </w:rPr>
              <w:t>0.6%</w:t>
            </w:r>
          </w:p>
        </w:tc>
      </w:tr>
    </w:tbl>
    <w:p w14:paraId="68FCADF3" w14:textId="205EF41B" w:rsidR="00A65A57" w:rsidRPr="00DB492A" w:rsidRDefault="00327756" w:rsidP="00DB492A">
      <w:pPr>
        <w:jc w:val="center"/>
        <w:rPr>
          <w:rFonts w:cs="Arial"/>
          <w:i/>
          <w:iCs/>
        </w:rPr>
      </w:pPr>
      <w:r w:rsidRPr="00DB492A">
        <w:rPr>
          <w:rFonts w:cs="Arial"/>
          <w:i/>
          <w:iCs/>
        </w:rPr>
        <w:t xml:space="preserve">Table </w:t>
      </w:r>
      <w:r w:rsidR="00BE47DF" w:rsidRPr="00DB492A">
        <w:rPr>
          <w:rFonts w:cs="Arial"/>
          <w:i/>
          <w:iCs/>
        </w:rPr>
        <w:t>4</w:t>
      </w:r>
      <w:r w:rsidRPr="00DB492A">
        <w:rPr>
          <w:rFonts w:cs="Arial"/>
          <w:i/>
          <w:iCs/>
        </w:rPr>
        <w:t xml:space="preserve">: </w:t>
      </w:r>
      <w:r w:rsidR="00320AD6" w:rsidRPr="00DB492A">
        <w:rPr>
          <w:rFonts w:cs="Arial"/>
          <w:i/>
          <w:iCs/>
        </w:rPr>
        <w:t>Liquidity Ratio</w:t>
      </w:r>
      <w:r w:rsidR="00BE47DF" w:rsidRPr="00DB492A">
        <w:rPr>
          <w:rFonts w:cs="Arial"/>
          <w:i/>
          <w:iCs/>
        </w:rPr>
        <w:t xml:space="preserve"> (self-made from case study)</w:t>
      </w:r>
    </w:p>
    <w:p w14:paraId="34C58FBB" w14:textId="1A27C85C" w:rsidR="00591C02" w:rsidRPr="00DB492A" w:rsidRDefault="00591C02" w:rsidP="00DB492A">
      <w:pPr>
        <w:jc w:val="center"/>
        <w:rPr>
          <w:rFonts w:cs="Arial"/>
        </w:rPr>
      </w:pPr>
      <w:r w:rsidRPr="00DB492A">
        <w:rPr>
          <w:rFonts w:cs="Arial"/>
        </w:rPr>
        <w:lastRenderedPageBreak/>
        <w:drawing>
          <wp:inline distT="0" distB="0" distL="0" distR="0" wp14:anchorId="033E3995" wp14:editId="4325E8C0">
            <wp:extent cx="3702050" cy="1981200"/>
            <wp:effectExtent l="0" t="0" r="12700" b="0"/>
            <wp:docPr id="1211225838"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685C63" w14:textId="71472F08" w:rsidR="00694060" w:rsidRPr="00DB492A" w:rsidRDefault="00694060" w:rsidP="00DB492A">
      <w:pPr>
        <w:jc w:val="center"/>
        <w:rPr>
          <w:rFonts w:cs="Arial"/>
          <w:i/>
          <w:iCs/>
        </w:rPr>
      </w:pPr>
      <w:r w:rsidRPr="00DB492A">
        <w:rPr>
          <w:rFonts w:cs="Arial"/>
          <w:i/>
          <w:iCs/>
        </w:rPr>
        <w:t>Chart Line 4: Liquidity Ratio (self-made from case study)</w:t>
      </w:r>
    </w:p>
    <w:p w14:paraId="4F94438F" w14:textId="2E3D24D5" w:rsidR="005B1635" w:rsidRPr="00DB492A" w:rsidRDefault="00432549" w:rsidP="00DB492A">
      <w:pPr>
        <w:rPr>
          <w:rFonts w:cs="Arial"/>
        </w:rPr>
      </w:pPr>
      <w:r w:rsidRPr="00DB492A">
        <w:rPr>
          <w:rFonts w:cs="Arial"/>
        </w:rPr>
        <w:t>The liquidity</w:t>
      </w:r>
      <w:r w:rsidR="00884880" w:rsidRPr="00DB492A">
        <w:rPr>
          <w:rFonts w:cs="Arial"/>
        </w:rPr>
        <w:t xml:space="preserve"> ratio </w:t>
      </w:r>
      <w:r w:rsidR="00FD118E" w:rsidRPr="00DB492A">
        <w:rPr>
          <w:rFonts w:cs="Arial"/>
        </w:rPr>
        <w:t xml:space="preserve">states </w:t>
      </w:r>
      <w:r w:rsidR="00884880" w:rsidRPr="00DB492A">
        <w:rPr>
          <w:rFonts w:cs="Arial"/>
        </w:rPr>
        <w:t>the ability to pay</w:t>
      </w:r>
      <w:r w:rsidRPr="00DB492A">
        <w:rPr>
          <w:rFonts w:cs="Arial"/>
        </w:rPr>
        <w:t xml:space="preserve"> the </w:t>
      </w:r>
      <w:r w:rsidR="00FD118E" w:rsidRPr="00DB492A">
        <w:rPr>
          <w:rFonts w:cs="Arial"/>
        </w:rPr>
        <w:t xml:space="preserve">short-term obligations </w:t>
      </w:r>
      <w:r w:rsidRPr="00DB492A">
        <w:rPr>
          <w:rFonts w:cs="Arial"/>
        </w:rPr>
        <w:t xml:space="preserve">of a </w:t>
      </w:r>
      <w:r w:rsidR="00FD118E" w:rsidRPr="00DB492A">
        <w:rPr>
          <w:rFonts w:cs="Arial"/>
        </w:rPr>
        <w:t>commercial</w:t>
      </w:r>
      <w:r w:rsidRPr="00DB492A">
        <w:rPr>
          <w:rFonts w:cs="Arial"/>
        </w:rPr>
        <w:t xml:space="preserve"> with its current assets</w:t>
      </w:r>
      <w:r w:rsidR="00624830">
        <w:rPr>
          <w:rFonts w:cs="Arial"/>
        </w:rPr>
        <w:t xml:space="preserve"> (</w:t>
      </w:r>
      <w:r w:rsidR="00624830" w:rsidRPr="00624830">
        <w:rPr>
          <w:rFonts w:cs="Arial"/>
        </w:rPr>
        <w:t>Tranter</w:t>
      </w:r>
      <w:r w:rsidR="00624830">
        <w:rPr>
          <w:rFonts w:cs="Arial"/>
        </w:rPr>
        <w:t xml:space="preserve"> et al., 2014)</w:t>
      </w:r>
      <w:r w:rsidRPr="00DB492A">
        <w:rPr>
          <w:rFonts w:cs="Arial"/>
        </w:rPr>
        <w:t>.</w:t>
      </w:r>
      <w:r w:rsidR="00884880" w:rsidRPr="00DB492A">
        <w:rPr>
          <w:rFonts w:cs="Arial"/>
        </w:rPr>
        <w:t xml:space="preserve"> </w:t>
      </w:r>
      <w:r w:rsidR="00DC4B7C" w:rsidRPr="00DB492A">
        <w:rPr>
          <w:rFonts w:cs="Arial"/>
        </w:rPr>
        <w:t xml:space="preserve">The </w:t>
      </w:r>
      <w:r w:rsidR="00FD118E" w:rsidRPr="00DB492A">
        <w:rPr>
          <w:rFonts w:cs="Arial"/>
        </w:rPr>
        <w:t>decreasing</w:t>
      </w:r>
      <w:r w:rsidR="00DC4B7C" w:rsidRPr="00DB492A">
        <w:rPr>
          <w:rFonts w:cs="Arial"/>
        </w:rPr>
        <w:t xml:space="preserve"> current ratio </w:t>
      </w:r>
      <w:r w:rsidR="00F0795E" w:rsidRPr="00DB492A">
        <w:rPr>
          <w:rFonts w:cs="Arial"/>
        </w:rPr>
        <w:t>from</w:t>
      </w:r>
      <w:r w:rsidR="00DC4B7C" w:rsidRPr="00DB492A">
        <w:rPr>
          <w:rFonts w:cs="Arial"/>
        </w:rPr>
        <w:t xml:space="preserve"> 1.8 in 2021 to 1 in 2022, and further to 0.6 in 2023, </w:t>
      </w:r>
      <w:r w:rsidR="00FD118E" w:rsidRPr="00DB492A">
        <w:rPr>
          <w:rFonts w:cs="Arial"/>
        </w:rPr>
        <w:t>shows</w:t>
      </w:r>
      <w:r w:rsidR="00DC4B7C" w:rsidRPr="00DB492A">
        <w:rPr>
          <w:rFonts w:cs="Arial"/>
        </w:rPr>
        <w:t xml:space="preserve"> a </w:t>
      </w:r>
      <w:r w:rsidR="00042B6E" w:rsidRPr="00DB492A">
        <w:rPr>
          <w:rFonts w:cs="Arial"/>
        </w:rPr>
        <w:t>falling</w:t>
      </w:r>
      <w:r w:rsidR="00DC4B7C" w:rsidRPr="00DB492A">
        <w:rPr>
          <w:rFonts w:cs="Arial"/>
        </w:rPr>
        <w:t xml:space="preserve"> liquidity position for Urban Heights Hotel. This </w:t>
      </w:r>
      <w:r w:rsidR="00FD118E" w:rsidRPr="00DB492A">
        <w:rPr>
          <w:rFonts w:cs="Arial"/>
        </w:rPr>
        <w:t>tendency</w:t>
      </w:r>
      <w:r w:rsidR="00DC4B7C" w:rsidRPr="00DB492A">
        <w:rPr>
          <w:rFonts w:cs="Arial"/>
        </w:rPr>
        <w:t xml:space="preserve"> suggests </w:t>
      </w:r>
      <w:r w:rsidR="00FD118E" w:rsidRPr="00DB492A">
        <w:rPr>
          <w:rFonts w:cs="Arial"/>
        </w:rPr>
        <w:t>growing</w:t>
      </w:r>
      <w:r w:rsidR="00DC4B7C" w:rsidRPr="00DB492A">
        <w:rPr>
          <w:rFonts w:cs="Arial"/>
        </w:rPr>
        <w:t xml:space="preserve"> difficulty in </w:t>
      </w:r>
      <w:r w:rsidR="00F0795E" w:rsidRPr="00DB492A">
        <w:rPr>
          <w:rFonts w:cs="Arial"/>
        </w:rPr>
        <w:t xml:space="preserve">the </w:t>
      </w:r>
      <w:r w:rsidR="00FD118E" w:rsidRPr="00DB492A">
        <w:rPr>
          <w:rFonts w:cs="Arial"/>
        </w:rPr>
        <w:t>assembly</w:t>
      </w:r>
      <w:r w:rsidR="00DC4B7C" w:rsidRPr="00DB492A">
        <w:rPr>
          <w:rFonts w:cs="Arial"/>
        </w:rPr>
        <w:t xml:space="preserve"> </w:t>
      </w:r>
      <w:r w:rsidR="000C4681" w:rsidRPr="00DB492A">
        <w:rPr>
          <w:rFonts w:cs="Arial"/>
        </w:rPr>
        <w:t xml:space="preserve">of </w:t>
      </w:r>
      <w:r w:rsidR="00DC4B7C" w:rsidRPr="00DB492A">
        <w:rPr>
          <w:rFonts w:cs="Arial"/>
        </w:rPr>
        <w:t xml:space="preserve">short-term obligations, which could </w:t>
      </w:r>
      <w:r w:rsidR="00FD118E" w:rsidRPr="00DB492A">
        <w:rPr>
          <w:rFonts w:cs="Arial"/>
        </w:rPr>
        <w:t>principal</w:t>
      </w:r>
      <w:r w:rsidR="00DC4B7C" w:rsidRPr="00DB492A">
        <w:rPr>
          <w:rFonts w:cs="Arial"/>
        </w:rPr>
        <w:t xml:space="preserve"> to potential cash flow problems </w:t>
      </w:r>
      <w:r w:rsidR="00FD118E" w:rsidRPr="00DB492A">
        <w:rPr>
          <w:rFonts w:cs="Arial"/>
        </w:rPr>
        <w:t>besides</w:t>
      </w:r>
      <w:r w:rsidR="00DC4B7C" w:rsidRPr="00DB492A">
        <w:rPr>
          <w:rFonts w:cs="Arial"/>
        </w:rPr>
        <w:t xml:space="preserve"> operational disruptions</w:t>
      </w:r>
      <w:r w:rsidR="00042B6E" w:rsidRPr="00DB492A">
        <w:rPr>
          <w:rFonts w:cs="Arial"/>
        </w:rPr>
        <w:t xml:space="preserve">. To overcome this </w:t>
      </w:r>
      <w:r w:rsidR="00FD118E" w:rsidRPr="00DB492A">
        <w:rPr>
          <w:rFonts w:cs="Arial"/>
        </w:rPr>
        <w:t>situation,</w:t>
      </w:r>
      <w:r w:rsidR="00042B6E" w:rsidRPr="00DB492A">
        <w:rPr>
          <w:rFonts w:cs="Arial"/>
        </w:rPr>
        <w:t xml:space="preserve"> it is</w:t>
      </w:r>
      <w:r w:rsidR="00DC4B7C" w:rsidRPr="00DB492A">
        <w:rPr>
          <w:rFonts w:cs="Arial"/>
        </w:rPr>
        <w:t xml:space="preserve"> </w:t>
      </w:r>
      <w:r w:rsidR="00FD118E" w:rsidRPr="00DB492A">
        <w:rPr>
          <w:rFonts w:cs="Arial"/>
        </w:rPr>
        <w:t>desirable</w:t>
      </w:r>
      <w:r w:rsidR="00DC4B7C" w:rsidRPr="00DB492A">
        <w:rPr>
          <w:rFonts w:cs="Arial"/>
        </w:rPr>
        <w:t xml:space="preserve"> </w:t>
      </w:r>
      <w:r w:rsidR="00F0795E" w:rsidRPr="00DB492A">
        <w:rPr>
          <w:rFonts w:cs="Arial"/>
        </w:rPr>
        <w:t>to</w:t>
      </w:r>
      <w:r w:rsidR="00DC4B7C" w:rsidRPr="00DB492A">
        <w:rPr>
          <w:rFonts w:cs="Arial"/>
        </w:rPr>
        <w:t xml:space="preserve"> immediate </w:t>
      </w:r>
      <w:r w:rsidR="00FD118E" w:rsidRPr="00DB492A">
        <w:rPr>
          <w:rFonts w:cs="Arial"/>
        </w:rPr>
        <w:t>liquidness</w:t>
      </w:r>
      <w:r w:rsidR="00DC4B7C" w:rsidRPr="00DB492A">
        <w:rPr>
          <w:rFonts w:cs="Arial"/>
        </w:rPr>
        <w:t xml:space="preserve"> management </w:t>
      </w:r>
      <w:r w:rsidR="00FD118E" w:rsidRPr="00DB492A">
        <w:rPr>
          <w:rFonts w:cs="Arial"/>
        </w:rPr>
        <w:t>approaches</w:t>
      </w:r>
      <w:r w:rsidR="00A37BED" w:rsidRPr="00DB492A">
        <w:rPr>
          <w:rFonts w:cs="Arial"/>
        </w:rPr>
        <w:t xml:space="preserve"> (Obinwanne, 2019)</w:t>
      </w:r>
      <w:r w:rsidR="00DC4B7C" w:rsidRPr="00DB492A">
        <w:rPr>
          <w:rFonts w:cs="Arial"/>
        </w:rPr>
        <w:t>.</w:t>
      </w:r>
    </w:p>
    <w:p w14:paraId="2CFD3711" w14:textId="2CEA1285" w:rsidR="00A65A57" w:rsidRPr="00DB492A" w:rsidRDefault="005B1635" w:rsidP="00DB492A">
      <w:pPr>
        <w:rPr>
          <w:rFonts w:cs="Arial"/>
          <w:b/>
          <w:bCs/>
          <w:u w:val="single"/>
        </w:rPr>
      </w:pPr>
      <w:r w:rsidRPr="00DB492A">
        <w:rPr>
          <w:rFonts w:cs="Arial"/>
          <w:b/>
          <w:bCs/>
          <w:u w:val="single"/>
        </w:rPr>
        <w:t>Solvency Ratio</w:t>
      </w:r>
    </w:p>
    <w:tbl>
      <w:tblPr>
        <w:tblStyle w:val="TableGrid"/>
        <w:tblW w:w="0" w:type="auto"/>
        <w:jc w:val="center"/>
        <w:tblLook w:val="04A0" w:firstRow="1" w:lastRow="0" w:firstColumn="1" w:lastColumn="0" w:noHBand="0" w:noVBand="1"/>
      </w:tblPr>
      <w:tblGrid>
        <w:gridCol w:w="2859"/>
        <w:gridCol w:w="2859"/>
      </w:tblGrid>
      <w:tr w:rsidR="00A65A57" w:rsidRPr="00DB492A" w14:paraId="0DD2F259" w14:textId="77777777" w:rsidTr="00A65A57">
        <w:trPr>
          <w:trHeight w:val="667"/>
          <w:jc w:val="center"/>
        </w:trPr>
        <w:tc>
          <w:tcPr>
            <w:tcW w:w="2859" w:type="dxa"/>
            <w:shd w:val="clear" w:color="auto" w:fill="D9E2F3" w:themeFill="accent1" w:themeFillTint="33"/>
          </w:tcPr>
          <w:p w14:paraId="4AA2F2D4" w14:textId="77777777" w:rsidR="00A65A57" w:rsidRPr="00DB492A" w:rsidRDefault="00A65A57" w:rsidP="00DB492A">
            <w:pPr>
              <w:jc w:val="center"/>
              <w:rPr>
                <w:rFonts w:cs="Arial"/>
                <w:b/>
                <w:bCs/>
              </w:rPr>
            </w:pPr>
            <w:r w:rsidRPr="00DB492A">
              <w:rPr>
                <w:rFonts w:cs="Arial"/>
                <w:b/>
                <w:bCs/>
              </w:rPr>
              <w:t>Year</w:t>
            </w:r>
          </w:p>
        </w:tc>
        <w:tc>
          <w:tcPr>
            <w:tcW w:w="2859" w:type="dxa"/>
            <w:shd w:val="clear" w:color="auto" w:fill="D9E2F3" w:themeFill="accent1" w:themeFillTint="33"/>
          </w:tcPr>
          <w:p w14:paraId="684A84BB" w14:textId="0E8645F7" w:rsidR="00A65A57" w:rsidRPr="00DB492A" w:rsidRDefault="00A65A57" w:rsidP="00DB492A">
            <w:pPr>
              <w:jc w:val="center"/>
              <w:rPr>
                <w:rFonts w:cs="Arial"/>
                <w:b/>
                <w:bCs/>
              </w:rPr>
            </w:pPr>
            <w:r w:rsidRPr="00DB492A">
              <w:rPr>
                <w:rFonts w:cs="Arial"/>
                <w:b/>
                <w:bCs/>
              </w:rPr>
              <w:t>Debt-to-Equity Ratio</w:t>
            </w:r>
          </w:p>
        </w:tc>
      </w:tr>
      <w:tr w:rsidR="00A65A57" w:rsidRPr="00DB492A" w14:paraId="668FE145" w14:textId="77777777" w:rsidTr="00E85C55">
        <w:trPr>
          <w:trHeight w:val="662"/>
          <w:jc w:val="center"/>
        </w:trPr>
        <w:tc>
          <w:tcPr>
            <w:tcW w:w="2859" w:type="dxa"/>
          </w:tcPr>
          <w:p w14:paraId="70A7EFD5" w14:textId="77777777" w:rsidR="00A65A57" w:rsidRPr="00DB492A" w:rsidRDefault="00A65A57" w:rsidP="00DB492A">
            <w:pPr>
              <w:jc w:val="center"/>
              <w:rPr>
                <w:rFonts w:cs="Arial"/>
                <w:b/>
                <w:bCs/>
              </w:rPr>
            </w:pPr>
            <w:r w:rsidRPr="00DB492A">
              <w:rPr>
                <w:rFonts w:cs="Arial"/>
                <w:b/>
                <w:bCs/>
                <w:shd w:val="clear" w:color="auto" w:fill="FFFFFF"/>
              </w:rPr>
              <w:t>2021</w:t>
            </w:r>
          </w:p>
        </w:tc>
        <w:tc>
          <w:tcPr>
            <w:tcW w:w="2859" w:type="dxa"/>
          </w:tcPr>
          <w:p w14:paraId="75A8C4B9" w14:textId="4A1B5FCC" w:rsidR="00A65A57" w:rsidRPr="00DB492A" w:rsidRDefault="00A65A57" w:rsidP="00DB492A">
            <w:pPr>
              <w:jc w:val="center"/>
              <w:rPr>
                <w:rFonts w:cs="Arial"/>
                <w:b/>
                <w:bCs/>
              </w:rPr>
            </w:pPr>
            <w:r w:rsidRPr="00DB492A">
              <w:rPr>
                <w:rFonts w:cs="Arial"/>
                <w:b/>
                <w:bCs/>
              </w:rPr>
              <w:t>1.36%</w:t>
            </w:r>
          </w:p>
        </w:tc>
      </w:tr>
      <w:tr w:rsidR="00A65A57" w:rsidRPr="00DB492A" w14:paraId="39FD8FB2" w14:textId="77777777" w:rsidTr="00E85C55">
        <w:trPr>
          <w:trHeight w:val="667"/>
          <w:jc w:val="center"/>
        </w:trPr>
        <w:tc>
          <w:tcPr>
            <w:tcW w:w="2859" w:type="dxa"/>
          </w:tcPr>
          <w:p w14:paraId="38C1FBD8" w14:textId="77777777" w:rsidR="00A65A57" w:rsidRPr="00DB492A" w:rsidRDefault="00A65A57" w:rsidP="00DB492A">
            <w:pPr>
              <w:jc w:val="center"/>
              <w:rPr>
                <w:rFonts w:cs="Arial"/>
                <w:b/>
                <w:bCs/>
              </w:rPr>
            </w:pPr>
            <w:r w:rsidRPr="00DB492A">
              <w:rPr>
                <w:rFonts w:cs="Arial"/>
                <w:b/>
                <w:bCs/>
                <w:shd w:val="clear" w:color="auto" w:fill="FFFFFF"/>
              </w:rPr>
              <w:t>2022</w:t>
            </w:r>
          </w:p>
        </w:tc>
        <w:tc>
          <w:tcPr>
            <w:tcW w:w="2859" w:type="dxa"/>
          </w:tcPr>
          <w:p w14:paraId="04E756E7" w14:textId="40E61FFC" w:rsidR="00A65A57" w:rsidRPr="00DB492A" w:rsidRDefault="00A65A57" w:rsidP="00DB492A">
            <w:pPr>
              <w:jc w:val="center"/>
              <w:rPr>
                <w:rFonts w:cs="Arial"/>
                <w:b/>
                <w:bCs/>
              </w:rPr>
            </w:pPr>
            <w:r w:rsidRPr="00DB492A">
              <w:rPr>
                <w:rFonts w:cs="Arial"/>
                <w:b/>
                <w:bCs/>
              </w:rPr>
              <w:t>1.64%</w:t>
            </w:r>
          </w:p>
        </w:tc>
      </w:tr>
      <w:tr w:rsidR="00A65A57" w:rsidRPr="00DB492A" w14:paraId="09983163" w14:textId="77777777" w:rsidTr="00E85C55">
        <w:trPr>
          <w:trHeight w:val="662"/>
          <w:jc w:val="center"/>
        </w:trPr>
        <w:tc>
          <w:tcPr>
            <w:tcW w:w="2859" w:type="dxa"/>
          </w:tcPr>
          <w:p w14:paraId="4F7E66D8" w14:textId="77777777" w:rsidR="00A65A57" w:rsidRPr="00DB492A" w:rsidRDefault="00A65A57" w:rsidP="00DB492A">
            <w:pPr>
              <w:jc w:val="center"/>
              <w:rPr>
                <w:rFonts w:cs="Arial"/>
                <w:b/>
                <w:bCs/>
              </w:rPr>
            </w:pPr>
            <w:r w:rsidRPr="00DB492A">
              <w:rPr>
                <w:rFonts w:cs="Arial"/>
                <w:b/>
                <w:bCs/>
              </w:rPr>
              <w:t>2023</w:t>
            </w:r>
          </w:p>
        </w:tc>
        <w:tc>
          <w:tcPr>
            <w:tcW w:w="2859" w:type="dxa"/>
          </w:tcPr>
          <w:p w14:paraId="3F3C5BBD" w14:textId="3BEA13D6" w:rsidR="00A65A57" w:rsidRPr="00DB492A" w:rsidRDefault="00A65A57" w:rsidP="00DB492A">
            <w:pPr>
              <w:jc w:val="center"/>
              <w:rPr>
                <w:rFonts w:cs="Arial"/>
                <w:b/>
                <w:bCs/>
              </w:rPr>
            </w:pPr>
            <w:r w:rsidRPr="00DB492A">
              <w:rPr>
                <w:rFonts w:cs="Arial"/>
                <w:b/>
                <w:bCs/>
              </w:rPr>
              <w:t>2.17%</w:t>
            </w:r>
          </w:p>
        </w:tc>
      </w:tr>
    </w:tbl>
    <w:p w14:paraId="008E34F2" w14:textId="7DEAF12B" w:rsidR="004439CD" w:rsidRPr="00DB492A" w:rsidRDefault="00327756" w:rsidP="00DB492A">
      <w:pPr>
        <w:jc w:val="center"/>
        <w:rPr>
          <w:rFonts w:cs="Arial"/>
          <w:i/>
          <w:iCs/>
        </w:rPr>
      </w:pPr>
      <w:r w:rsidRPr="00DB492A">
        <w:rPr>
          <w:rFonts w:cs="Arial"/>
          <w:i/>
          <w:iCs/>
        </w:rPr>
        <w:t xml:space="preserve">Table </w:t>
      </w:r>
      <w:r w:rsidR="00BE47DF" w:rsidRPr="00DB492A">
        <w:rPr>
          <w:rFonts w:cs="Arial"/>
          <w:i/>
          <w:iCs/>
        </w:rPr>
        <w:t>5</w:t>
      </w:r>
      <w:r w:rsidRPr="00DB492A">
        <w:rPr>
          <w:rFonts w:cs="Arial"/>
          <w:i/>
          <w:iCs/>
        </w:rPr>
        <w:t xml:space="preserve">: </w:t>
      </w:r>
      <w:r w:rsidR="00320AD6" w:rsidRPr="00DB492A">
        <w:rPr>
          <w:rFonts w:cs="Arial"/>
          <w:i/>
          <w:iCs/>
        </w:rPr>
        <w:t>Solvency Ratio (self-made from case study)</w:t>
      </w:r>
    </w:p>
    <w:p w14:paraId="76DFB0EA" w14:textId="7E92FAB0" w:rsidR="004439CD" w:rsidRPr="00DB492A" w:rsidRDefault="004439CD" w:rsidP="00DB492A">
      <w:pPr>
        <w:jc w:val="center"/>
        <w:rPr>
          <w:rFonts w:cs="Arial"/>
        </w:rPr>
      </w:pPr>
      <w:r w:rsidRPr="00DB492A">
        <w:rPr>
          <w:rFonts w:cs="Arial"/>
        </w:rPr>
        <w:lastRenderedPageBreak/>
        <w:drawing>
          <wp:inline distT="0" distB="0" distL="0" distR="0" wp14:anchorId="67A8318A" wp14:editId="4D01F428">
            <wp:extent cx="3429000" cy="1714500"/>
            <wp:effectExtent l="0" t="0" r="0" b="0"/>
            <wp:docPr id="513092077"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BD9BC7C" w14:textId="5E1E292D" w:rsidR="00320AD6" w:rsidRPr="00DB492A" w:rsidRDefault="00320AD6" w:rsidP="00DB492A">
      <w:pPr>
        <w:jc w:val="center"/>
        <w:rPr>
          <w:rFonts w:cs="Arial"/>
          <w:i/>
          <w:iCs/>
        </w:rPr>
      </w:pPr>
      <w:r w:rsidRPr="00DB492A">
        <w:rPr>
          <w:rFonts w:cs="Arial"/>
          <w:i/>
          <w:iCs/>
        </w:rPr>
        <w:t>Line Chart 5: Solvency Ratio (self-made from case study)</w:t>
      </w:r>
    </w:p>
    <w:p w14:paraId="2B4DA016" w14:textId="29E210BE" w:rsidR="00DC4B7C" w:rsidRPr="00DB492A" w:rsidRDefault="001F7FAD" w:rsidP="00DB492A">
      <w:pPr>
        <w:rPr>
          <w:rFonts w:cs="Arial"/>
        </w:rPr>
      </w:pPr>
      <w:r w:rsidRPr="00DB492A">
        <w:rPr>
          <w:rFonts w:cs="Arial"/>
        </w:rPr>
        <w:t>The solvency</w:t>
      </w:r>
      <w:r w:rsidR="00ED0D23" w:rsidRPr="00DB492A">
        <w:rPr>
          <w:rFonts w:cs="Arial"/>
        </w:rPr>
        <w:t xml:space="preserve"> ratio </w:t>
      </w:r>
      <w:r w:rsidR="00FD118E" w:rsidRPr="00DB492A">
        <w:rPr>
          <w:rFonts w:cs="Arial"/>
        </w:rPr>
        <w:t>suggests</w:t>
      </w:r>
      <w:r w:rsidRPr="00DB492A">
        <w:rPr>
          <w:rFonts w:cs="Arial"/>
        </w:rPr>
        <w:t xml:space="preserve"> whether a company’s cash flow </w:t>
      </w:r>
      <w:r w:rsidR="00FD118E" w:rsidRPr="00DB492A">
        <w:rPr>
          <w:rFonts w:cs="Arial"/>
        </w:rPr>
        <w:t>remains</w:t>
      </w:r>
      <w:r w:rsidRPr="00DB492A">
        <w:rPr>
          <w:rFonts w:cs="Arial"/>
        </w:rPr>
        <w:t xml:space="preserve"> sufficient enough to </w:t>
      </w:r>
      <w:r w:rsidR="00FD118E" w:rsidRPr="00DB492A">
        <w:rPr>
          <w:rFonts w:cs="Arial"/>
        </w:rPr>
        <w:t>encounter</w:t>
      </w:r>
      <w:r w:rsidRPr="00DB492A">
        <w:rPr>
          <w:rFonts w:cs="Arial"/>
        </w:rPr>
        <w:t xml:space="preserve"> its long-term liabilities</w:t>
      </w:r>
      <w:r w:rsidR="00FD118E" w:rsidRPr="00DB492A">
        <w:rPr>
          <w:rFonts w:cs="Arial"/>
        </w:rPr>
        <w:t xml:space="preserve"> (Mucharreira et al., 2019).</w:t>
      </w:r>
      <w:r w:rsidRPr="00DB492A">
        <w:rPr>
          <w:rFonts w:cs="Arial"/>
        </w:rPr>
        <w:t xml:space="preserve"> </w:t>
      </w:r>
      <w:r w:rsidR="00DC4B7C" w:rsidRPr="00DB492A">
        <w:rPr>
          <w:rFonts w:cs="Arial"/>
        </w:rPr>
        <w:t xml:space="preserve">The increasing debt-to-equity ratio </w:t>
      </w:r>
      <w:r w:rsidR="00F0795E" w:rsidRPr="00DB492A">
        <w:rPr>
          <w:rFonts w:cs="Arial"/>
        </w:rPr>
        <w:t>from</w:t>
      </w:r>
      <w:r w:rsidR="00DC4B7C" w:rsidRPr="00DB492A">
        <w:rPr>
          <w:rFonts w:cs="Arial"/>
        </w:rPr>
        <w:t xml:space="preserve"> 1.36 in 2021 to 1.64 in 2022</w:t>
      </w:r>
      <w:r w:rsidR="00AD53A2" w:rsidRPr="00DB492A">
        <w:rPr>
          <w:rFonts w:cs="Arial"/>
        </w:rPr>
        <w:t xml:space="preserve"> and 2.17 in 2023</w:t>
      </w:r>
      <w:r w:rsidR="00DC4B7C" w:rsidRPr="00DB492A">
        <w:rPr>
          <w:rFonts w:cs="Arial"/>
        </w:rPr>
        <w:t xml:space="preserve"> indicates that Urban Heights Hotel is becoming more </w:t>
      </w:r>
      <w:r w:rsidR="00FD118E" w:rsidRPr="00DB492A">
        <w:rPr>
          <w:rFonts w:cs="Arial"/>
        </w:rPr>
        <w:t>dependent</w:t>
      </w:r>
      <w:r w:rsidR="00DC4B7C" w:rsidRPr="00DB492A">
        <w:rPr>
          <w:rFonts w:cs="Arial"/>
        </w:rPr>
        <w:t xml:space="preserve"> on debt financing. This </w:t>
      </w:r>
      <w:r w:rsidR="00E36BE6" w:rsidRPr="00DB492A">
        <w:rPr>
          <w:rFonts w:cs="Arial"/>
        </w:rPr>
        <w:t>upward</w:t>
      </w:r>
      <w:r w:rsidR="00DC4B7C" w:rsidRPr="00DB492A">
        <w:rPr>
          <w:rFonts w:cs="Arial"/>
        </w:rPr>
        <w:t xml:space="preserve"> trend </w:t>
      </w:r>
      <w:r w:rsidR="00FD118E" w:rsidRPr="00DB492A">
        <w:rPr>
          <w:rFonts w:cs="Arial"/>
        </w:rPr>
        <w:t>offers</w:t>
      </w:r>
      <w:r w:rsidR="00DC4B7C" w:rsidRPr="00DB492A">
        <w:rPr>
          <w:rFonts w:cs="Arial"/>
        </w:rPr>
        <w:t xml:space="preserve"> </w:t>
      </w:r>
      <w:r w:rsidR="0081656D" w:rsidRPr="00DB492A">
        <w:rPr>
          <w:rFonts w:cs="Arial"/>
        </w:rPr>
        <w:t>uplift</w:t>
      </w:r>
      <w:r w:rsidR="00DC4B7C" w:rsidRPr="00DB492A">
        <w:rPr>
          <w:rFonts w:cs="Arial"/>
        </w:rPr>
        <w:t xml:space="preserve">ed financial risk and potential difficulties in </w:t>
      </w:r>
      <w:r w:rsidR="00F0795E" w:rsidRPr="00DB492A">
        <w:rPr>
          <w:rFonts w:cs="Arial"/>
        </w:rPr>
        <w:t xml:space="preserve">the </w:t>
      </w:r>
      <w:r w:rsidR="000C4681" w:rsidRPr="00DB492A">
        <w:rPr>
          <w:rFonts w:cs="Arial"/>
        </w:rPr>
        <w:t>assembly's</w:t>
      </w:r>
      <w:r w:rsidR="00DC4B7C" w:rsidRPr="00DB492A">
        <w:rPr>
          <w:rFonts w:cs="Arial"/>
        </w:rPr>
        <w:t xml:space="preserve"> long-term obligations</w:t>
      </w:r>
      <w:r w:rsidR="0081656D" w:rsidRPr="00DB492A">
        <w:rPr>
          <w:rFonts w:cs="Arial"/>
        </w:rPr>
        <w:t>. It is</w:t>
      </w:r>
      <w:r w:rsidR="00DC4B7C" w:rsidRPr="00DB492A">
        <w:rPr>
          <w:rFonts w:cs="Arial"/>
        </w:rPr>
        <w:t xml:space="preserve"> </w:t>
      </w:r>
      <w:r w:rsidR="00FD118E" w:rsidRPr="00DB492A">
        <w:rPr>
          <w:rFonts w:cs="Arial"/>
        </w:rPr>
        <w:t>desirable</w:t>
      </w:r>
      <w:r w:rsidR="00DC4B7C" w:rsidRPr="00DB492A">
        <w:rPr>
          <w:rFonts w:cs="Arial"/>
        </w:rPr>
        <w:t xml:space="preserve"> for strategic debt management to </w:t>
      </w:r>
      <w:r w:rsidR="00FD118E" w:rsidRPr="00DB492A">
        <w:rPr>
          <w:rFonts w:cs="Arial"/>
        </w:rPr>
        <w:t>confirm</w:t>
      </w:r>
      <w:r w:rsidR="00DC4B7C" w:rsidRPr="00DB492A">
        <w:rPr>
          <w:rFonts w:cs="Arial"/>
        </w:rPr>
        <w:t xml:space="preserve"> financial stability</w:t>
      </w:r>
      <w:r w:rsidR="00A37BED" w:rsidRPr="00DB492A">
        <w:rPr>
          <w:rFonts w:cs="Arial"/>
        </w:rPr>
        <w:t xml:space="preserve"> (Alvarez et al., 2021)</w:t>
      </w:r>
      <w:r w:rsidR="00DC4B7C" w:rsidRPr="00DB492A">
        <w:rPr>
          <w:rFonts w:cs="Arial"/>
        </w:rPr>
        <w:t>.</w:t>
      </w:r>
    </w:p>
    <w:p w14:paraId="300F4863" w14:textId="77777777" w:rsidR="00E22C31" w:rsidRPr="00DB492A" w:rsidRDefault="00E22C31" w:rsidP="00DB492A">
      <w:pPr>
        <w:pStyle w:val="Heading1"/>
        <w:rPr>
          <w:rFonts w:cs="Arial"/>
          <w:bCs/>
        </w:rPr>
      </w:pPr>
      <w:bookmarkStart w:id="2" w:name="_Toc167140637"/>
      <w:r w:rsidRPr="00DB492A">
        <w:rPr>
          <w:rFonts w:cs="Arial"/>
          <w:bCs/>
        </w:rPr>
        <w:t>Factors Affecting Profitability</w:t>
      </w:r>
      <w:bookmarkEnd w:id="2"/>
    </w:p>
    <w:p w14:paraId="5558C346" w14:textId="057A1262" w:rsidR="00E22C31" w:rsidRPr="00DB492A" w:rsidRDefault="00E22C31" w:rsidP="00DB492A">
      <w:pPr>
        <w:rPr>
          <w:rFonts w:cs="Arial"/>
        </w:rPr>
      </w:pPr>
      <w:r w:rsidRPr="00DB492A">
        <w:rPr>
          <w:rFonts w:cs="Arial"/>
        </w:rPr>
        <w:t>Profitability is an imperative part of every organi</w:t>
      </w:r>
      <w:r w:rsidR="00C21912" w:rsidRPr="00DB492A">
        <w:rPr>
          <w:rFonts w:cs="Arial"/>
        </w:rPr>
        <w:t>s</w:t>
      </w:r>
      <w:r w:rsidRPr="00DB492A">
        <w:rPr>
          <w:rFonts w:cs="Arial"/>
        </w:rPr>
        <w:t>ation, including the hospitality sector (Hayes et al., 2021). Many internal and external reasons can elucidate why Urban Heights Hotel is losing revenue in the UK marketplace. Effective strategies to solve the hotel's financial problems while rendering it more profitable. Factors that can affect on hotel industry are the following here:</w:t>
      </w:r>
    </w:p>
    <w:p w14:paraId="49482EF1" w14:textId="77777777" w:rsidR="00E22C31" w:rsidRPr="00DB492A" w:rsidRDefault="00E22C31" w:rsidP="00DB492A">
      <w:pPr>
        <w:rPr>
          <w:rFonts w:cs="Arial"/>
        </w:rPr>
      </w:pPr>
      <w:r w:rsidRPr="00DB492A">
        <w:rPr>
          <w:rFonts w:cs="Arial"/>
          <w:b/>
        </w:rPr>
        <w:t>Pressure from competitors</w:t>
      </w:r>
      <w:r w:rsidRPr="00DB492A">
        <w:rPr>
          <w:rFonts w:cs="Arial"/>
        </w:rPr>
        <w:t>: Pressure from competitors remains a noteworthy factor impacting profitability. Competitors have created different difficulties such as pricing wars, innovation and investment, marketing and, promotions, Customer Loyalty, and differentiation There are numerous hotels, beds, and breakfasts, as well as alternative lodgings competing for market share in the hospitality industry of the United Kingdom, which is extremely competitive (Obinwanne, 2019). Competition determines hotel prices, limiting Urban Heights Hotel's income and profitability. Concentrated competition positions downward pressure on room rates and also limits pricing power for Urban Heights Hotel, affecting its revenue and profitability.</w:t>
      </w:r>
    </w:p>
    <w:p w14:paraId="713DBD92" w14:textId="49BA632E" w:rsidR="00E22C31" w:rsidRPr="00DB492A" w:rsidRDefault="00E22C31" w:rsidP="00DB492A">
      <w:pPr>
        <w:rPr>
          <w:rFonts w:cs="Arial"/>
        </w:rPr>
      </w:pPr>
      <w:r w:rsidRPr="00DB492A">
        <w:rPr>
          <w:rFonts w:cs="Arial"/>
          <w:b/>
        </w:rPr>
        <w:lastRenderedPageBreak/>
        <w:t>Consumer preferences</w:t>
      </w:r>
      <w:r w:rsidRPr="00DB492A">
        <w:rPr>
          <w:rFonts w:cs="Arial"/>
        </w:rPr>
        <w:t xml:space="preserve">: Changing consumer preferences significantly influence the profitability of the UK business, as well as establishments corresponding to Urban Heights Hotel. The travel and tourism industry </w:t>
      </w:r>
      <w:r w:rsidR="00DC56F4" w:rsidRPr="00DB492A">
        <w:rPr>
          <w:rFonts w:cs="Arial"/>
        </w:rPr>
        <w:t>fails</w:t>
      </w:r>
      <w:r w:rsidRPr="00DB492A">
        <w:rPr>
          <w:rFonts w:cs="Arial"/>
        </w:rPr>
        <w:t xml:space="preserve"> to meet some factors that can decrease revenue and profitability such as demand for personalized experiences, lack of sustainability and eco-friendly practices, technological integration, etc</w:t>
      </w:r>
      <w:r w:rsidR="00EC5093" w:rsidRPr="00DB492A">
        <w:rPr>
          <w:rFonts w:cs="Arial"/>
        </w:rPr>
        <w:t>.</w:t>
      </w:r>
      <w:r w:rsidRPr="00DB492A">
        <w:rPr>
          <w:rFonts w:cs="Arial"/>
        </w:rPr>
        <w:t xml:space="preserve"> </w:t>
      </w:r>
      <w:bookmarkStart w:id="3" w:name="_Hlk167118256"/>
      <w:r w:rsidRPr="00DB492A">
        <w:rPr>
          <w:rFonts w:cs="Arial"/>
        </w:rPr>
        <w:t>(Kim et al., 2019)</w:t>
      </w:r>
      <w:bookmarkEnd w:id="3"/>
      <w:r w:rsidRPr="00DB492A">
        <w:rPr>
          <w:rFonts w:cs="Arial"/>
        </w:rPr>
        <w:t>.</w:t>
      </w:r>
    </w:p>
    <w:p w14:paraId="689E8B10" w14:textId="26CEF269" w:rsidR="00E22C31" w:rsidRPr="00DB492A" w:rsidRDefault="00E22C31" w:rsidP="00DB492A">
      <w:pPr>
        <w:rPr>
          <w:rFonts w:cs="Arial"/>
        </w:rPr>
      </w:pPr>
      <w:r w:rsidRPr="00DB492A">
        <w:rPr>
          <w:rFonts w:cs="Arial"/>
          <w:b/>
        </w:rPr>
        <w:t>Economic Factors:</w:t>
      </w:r>
      <w:r w:rsidRPr="00DB492A">
        <w:rPr>
          <w:rFonts w:cs="Arial"/>
        </w:rPr>
        <w:t xml:space="preserve"> Changing economic conditions may </w:t>
      </w:r>
      <w:r w:rsidR="00F0795E" w:rsidRPr="00DB492A">
        <w:rPr>
          <w:rFonts w:cs="Arial"/>
        </w:rPr>
        <w:t>affect</w:t>
      </w:r>
      <w:r w:rsidRPr="00DB492A">
        <w:rPr>
          <w:rFonts w:cs="Arial"/>
        </w:rPr>
        <w:t xml:space="preserve"> on hotel industry. Trave</w:t>
      </w:r>
      <w:r w:rsidR="00772642" w:rsidRPr="00DB492A">
        <w:rPr>
          <w:rFonts w:cs="Arial"/>
        </w:rPr>
        <w:t>l</w:t>
      </w:r>
      <w:r w:rsidRPr="00DB492A">
        <w:rPr>
          <w:rFonts w:cs="Arial"/>
        </w:rPr>
        <w:t>ling and tourist demand is directly affected by factors like GDP growth, occupation numbers, and consumer spending (Hayes et al., 2021). Hotel financial status capacity drops during downturns due to lower travel expenditures and discretionary spending. Economic downturns lead to fewer trave</w:t>
      </w:r>
      <w:r w:rsidR="00772642" w:rsidRPr="00DB492A">
        <w:rPr>
          <w:rFonts w:cs="Arial"/>
        </w:rPr>
        <w:t>l</w:t>
      </w:r>
      <w:r w:rsidRPr="00DB492A">
        <w:rPr>
          <w:rFonts w:cs="Arial"/>
        </w:rPr>
        <w:t xml:space="preserve">lers and lower rental rates, which damages the Urban Heights Hotel's ability to make money and stay in a profitable UK marketplace. </w:t>
      </w:r>
    </w:p>
    <w:p w14:paraId="2549DCED" w14:textId="5A80878F" w:rsidR="00E22C31" w:rsidRPr="00DB492A" w:rsidRDefault="00E22C31" w:rsidP="00DB492A">
      <w:pPr>
        <w:rPr>
          <w:rFonts w:cs="Arial"/>
        </w:rPr>
      </w:pPr>
      <w:r w:rsidRPr="00DB492A">
        <w:rPr>
          <w:rFonts w:cs="Arial"/>
          <w:b/>
        </w:rPr>
        <w:t xml:space="preserve">The COVID-19 Factor: </w:t>
      </w:r>
      <w:r w:rsidRPr="00DB492A">
        <w:rPr>
          <w:rFonts w:cs="Arial"/>
        </w:rPr>
        <w:t>Travel and the travel industry have been significantly affected by the COVID-19 pandemic, which has also had a major effect on the hotel business. Lockdowns, travel limits, and worries about nearby safety have caused hotel occupancy rates and income to drop all over the world. The hotel's profitability has been thrown down because fewer trave</w:t>
      </w:r>
      <w:r w:rsidR="00772642" w:rsidRPr="00DB492A">
        <w:rPr>
          <w:rFonts w:cs="Arial"/>
        </w:rPr>
        <w:t>l</w:t>
      </w:r>
      <w:r w:rsidRPr="00DB492A">
        <w:rPr>
          <w:rFonts w:cs="Arial"/>
        </w:rPr>
        <w:t>lers want to travel, and delays and safety rules have made it tough to make revenue and profitability</w:t>
      </w:r>
      <w:r w:rsidR="00624830">
        <w:rPr>
          <w:rFonts w:cs="Arial"/>
        </w:rPr>
        <w:t xml:space="preserve"> (</w:t>
      </w:r>
      <w:r w:rsidR="00624830" w:rsidRPr="00624830">
        <w:rPr>
          <w:rFonts w:cs="Arial"/>
        </w:rPr>
        <w:t>Walker</w:t>
      </w:r>
      <w:r w:rsidR="00624830">
        <w:rPr>
          <w:rFonts w:cs="Arial"/>
        </w:rPr>
        <w:t>, 2021).</w:t>
      </w:r>
      <w:r w:rsidRPr="00DB492A">
        <w:rPr>
          <w:rFonts w:cs="Arial"/>
        </w:rPr>
        <w:t xml:space="preserve"> </w:t>
      </w:r>
    </w:p>
    <w:p w14:paraId="1DAD2A18" w14:textId="77777777" w:rsidR="00E22C31" w:rsidRPr="00DB492A" w:rsidRDefault="00E22C31" w:rsidP="00DB492A">
      <w:pPr>
        <w:rPr>
          <w:rFonts w:cs="Arial"/>
        </w:rPr>
      </w:pPr>
      <w:r w:rsidRPr="00DB492A">
        <w:rPr>
          <w:rFonts w:cs="Arial"/>
          <w:b/>
        </w:rPr>
        <w:t>Russia and Ukraine war:</w:t>
      </w:r>
      <w:r w:rsidRPr="00DB492A">
        <w:rPr>
          <w:rFonts w:cs="Arial"/>
        </w:rPr>
        <w:t xml:space="preserve"> Disputes and wars in geopolitics, like the war between Russia and Ukraine, can affect businesses and travel habits worldwide. Uncertainty and instability in geopolitics can make people uncertain, which can lower travel and tourism. Tensions in diplomacy can change travel plans, weaken foreign tourists, and hurt the hotel's ability to make revenue and </w:t>
      </w:r>
      <w:bookmarkStart w:id="4" w:name="_Hlk167118061"/>
      <w:r w:rsidRPr="00DB492A">
        <w:rPr>
          <w:rFonts w:cs="Arial"/>
        </w:rPr>
        <w:t>profitability (Alvarez et al., 2021)</w:t>
      </w:r>
      <w:bookmarkEnd w:id="4"/>
      <w:r w:rsidRPr="00DB492A">
        <w:rPr>
          <w:rFonts w:cs="Arial"/>
        </w:rPr>
        <w:t xml:space="preserve">. </w:t>
      </w:r>
    </w:p>
    <w:p w14:paraId="1734A4D3" w14:textId="7DE4E5BD" w:rsidR="00E22C31" w:rsidRPr="00DB492A" w:rsidRDefault="00E22C31" w:rsidP="00DB492A">
      <w:pPr>
        <w:rPr>
          <w:rFonts w:cs="Arial"/>
        </w:rPr>
      </w:pPr>
      <w:r w:rsidRPr="00DB492A">
        <w:rPr>
          <w:rFonts w:cs="Arial"/>
          <w:b/>
        </w:rPr>
        <w:t>Inflation:</w:t>
      </w:r>
      <w:r w:rsidRPr="00DB492A">
        <w:rPr>
          <w:rFonts w:cs="Arial"/>
        </w:rPr>
        <w:t xml:space="preserve"> Inflation meaningfully affects the profitability of the UK hotel industry, with hotels like Urban Heights Hotel, in several ways. That may include increased operating costs, pricing pressure, consumer spending power, investment also financing, etc. (Singal, et al., 2019). The hotel's finances are affected by inflationary trends that reduce profit margins and make things a lesser amount of affordable. The hotel's obtaining margins and ability to make revenue are cut when the prices of goods, utilities, and labo</w:t>
      </w:r>
      <w:r w:rsidR="00772642" w:rsidRPr="00DB492A">
        <w:rPr>
          <w:rFonts w:cs="Arial"/>
        </w:rPr>
        <w:t>u</w:t>
      </w:r>
      <w:r w:rsidRPr="00DB492A">
        <w:rPr>
          <w:rFonts w:cs="Arial"/>
        </w:rPr>
        <w:t xml:space="preserve">r are increasing. </w:t>
      </w:r>
    </w:p>
    <w:p w14:paraId="59A3FEC7" w14:textId="77777777" w:rsidR="00E22C31" w:rsidRPr="00DB492A" w:rsidRDefault="00E22C31" w:rsidP="00DB492A">
      <w:pPr>
        <w:rPr>
          <w:rFonts w:cs="Arial"/>
        </w:rPr>
      </w:pPr>
      <w:r w:rsidRPr="00DB492A">
        <w:rPr>
          <w:rFonts w:cs="Arial"/>
          <w:b/>
        </w:rPr>
        <w:lastRenderedPageBreak/>
        <w:t>Crisis in Energy:</w:t>
      </w:r>
      <w:r w:rsidRPr="00DB492A">
        <w:rPr>
          <w:rFonts w:cs="Arial"/>
        </w:rPr>
        <w:t xml:space="preserve"> Businesses that depend on activities that use a lot of energy are having a hard time because of energy shortages and rising prices. Recent changes in the increasing price rate of electricity have raised running costs, which damages the hotel's ability to generate revenue money (Kim et al., 2019). Higher energy costs make the hotel's running costs go up and its profits go down. That has a great effect on Urban Heights Hotel's profitability.</w:t>
      </w:r>
    </w:p>
    <w:p w14:paraId="0372071E" w14:textId="77777777" w:rsidR="00E22C31" w:rsidRPr="00DB492A" w:rsidRDefault="00E22C31" w:rsidP="00DB492A">
      <w:pPr>
        <w:rPr>
          <w:rFonts w:cs="Arial"/>
        </w:rPr>
      </w:pPr>
      <w:r w:rsidRPr="00DB492A">
        <w:rPr>
          <w:rFonts w:cs="Arial"/>
          <w:b/>
        </w:rPr>
        <w:t>Disruptions in the Supply Chain:</w:t>
      </w:r>
      <w:r w:rsidRPr="00DB492A">
        <w:rPr>
          <w:rFonts w:cs="Arial"/>
        </w:rPr>
        <w:t xml:space="preserve"> Disruptions in the supply chain can meaningfully impact the profitability of the UK hotel industry, with establishments like Urban Heights Hotel, Obtaining, and moving goods are slowed down by global supply chain disruptions like port closures, shipping delays, and material shortages (Mjongwana, 2018). During there are problems in the supply chain, prices proceed up, deliveries are delayed, and businesses can't run as efficiently ways. While there are problems in the supply chain, it costs more to buy things, takes longer to restock, and has trouble running its own company, all of which lower its profitability. </w:t>
      </w:r>
    </w:p>
    <w:p w14:paraId="4887AFD0" w14:textId="77777777" w:rsidR="00E22C31" w:rsidRPr="00DB492A" w:rsidRDefault="00E22C31" w:rsidP="00DB492A">
      <w:pPr>
        <w:rPr>
          <w:rFonts w:cs="Arial"/>
        </w:rPr>
      </w:pPr>
      <w:r w:rsidRPr="00DB492A">
        <w:rPr>
          <w:rFonts w:cs="Arial"/>
          <w:b/>
        </w:rPr>
        <w:t>Problems with Operations:</w:t>
      </w:r>
      <w:r w:rsidRPr="00DB492A">
        <w:rPr>
          <w:rFonts w:cs="Arial"/>
        </w:rPr>
        <w:t xml:space="preserve"> The hotel could not provide excellent services and experiences because of inefficient operations, bad equipment, besides an inadequate number of workers. Problems with operations can make guests unhappy, hinder them from coming back, and hurt total profits. Difficulties with operations cause poor service, dissatisfied guests, and bad word-of-mouth, which may greatly impact on lower income and profitability of Urban Heights Hotel (Quan et al., 2022).</w:t>
      </w:r>
    </w:p>
    <w:p w14:paraId="320F3F0A" w14:textId="69A1F13F" w:rsidR="00E22C31" w:rsidRPr="00DB492A" w:rsidRDefault="00E22C31" w:rsidP="00DB492A">
      <w:pPr>
        <w:pStyle w:val="Heading1"/>
        <w:rPr>
          <w:rFonts w:cs="Arial"/>
        </w:rPr>
      </w:pPr>
      <w:bookmarkStart w:id="5" w:name="_Toc167140638"/>
      <w:r w:rsidRPr="00DB492A">
        <w:rPr>
          <w:rFonts w:cs="Arial"/>
        </w:rPr>
        <w:t>A Comprehensive Turnaround Strategy</w:t>
      </w:r>
      <w:bookmarkEnd w:id="5"/>
    </w:p>
    <w:p w14:paraId="0DF239C7" w14:textId="493148D5" w:rsidR="00E22C31" w:rsidRPr="00DB492A" w:rsidRDefault="00E22C31" w:rsidP="00DB492A">
      <w:pPr>
        <w:rPr>
          <w:rFonts w:cs="Arial"/>
        </w:rPr>
      </w:pPr>
      <w:r w:rsidRPr="00DB492A">
        <w:rPr>
          <w:rFonts w:cs="Arial"/>
        </w:rPr>
        <w:t>To overcome the challenges the hotel industry must follow a numerous strategy.  Urban Heights Hotel involves a robust turnaround approach to discourse its financial challenges and restores its reputation in the UK marketplace</w:t>
      </w:r>
      <w:r w:rsidR="00EC5093" w:rsidRPr="00DB492A">
        <w:rPr>
          <w:rFonts w:cs="Arial"/>
        </w:rPr>
        <w:t xml:space="preserve">. </w:t>
      </w:r>
      <w:r w:rsidRPr="00DB492A">
        <w:rPr>
          <w:rFonts w:cs="Arial"/>
        </w:rPr>
        <w:t>This comprehensive approach incorporates numerous key components aimed at improving operational efficiency, diversifying revenue streams, enhancing customer experience, strengthening marketing and branding efforts, and implementing financial restructuring measures</w:t>
      </w:r>
      <w:r w:rsidR="00EC5093" w:rsidRPr="00DB492A">
        <w:rPr>
          <w:rFonts w:cs="Arial"/>
        </w:rPr>
        <w:t xml:space="preserve"> (Hao et al., 2020).</w:t>
      </w:r>
    </w:p>
    <w:p w14:paraId="0113B81F" w14:textId="77777777" w:rsidR="00E22C31" w:rsidRPr="00DB492A" w:rsidRDefault="00E22C31" w:rsidP="00DB492A">
      <w:pPr>
        <w:rPr>
          <w:rFonts w:cs="Arial"/>
        </w:rPr>
      </w:pPr>
      <w:r w:rsidRPr="00DB492A">
        <w:rPr>
          <w:rFonts w:cs="Arial"/>
          <w:b/>
        </w:rPr>
        <w:t>Operational Efficiency:</w:t>
      </w:r>
      <w:r w:rsidRPr="00DB492A">
        <w:rPr>
          <w:rFonts w:cs="Arial"/>
        </w:rPr>
        <w:t xml:space="preserve">  Streamlining operations is essential for reducing costs and maximizing resource utilization. This involves optimizing staffing levels, improving </w:t>
      </w:r>
      <w:r w:rsidRPr="00DB492A">
        <w:rPr>
          <w:rFonts w:cs="Arial"/>
        </w:rPr>
        <w:lastRenderedPageBreak/>
        <w:t>workflow processes, and implementing technology solutions to enhance productivity besides competence (Ouyang et al., 2019). By attractive operational efficiency, Urban Heights Hotel container reduces functioning expenses, advances profit limitations, and increases overall financial presentation. Efficient actions also contribute to amended provision quality and guest satisfaction, ornamental to the hotel's standing.</w:t>
      </w:r>
    </w:p>
    <w:p w14:paraId="6826AAA9" w14:textId="0D2C8C6C" w:rsidR="00E22C31" w:rsidRPr="00DB492A" w:rsidRDefault="00E22C31" w:rsidP="00DB492A">
      <w:pPr>
        <w:rPr>
          <w:rFonts w:cs="Arial"/>
        </w:rPr>
      </w:pPr>
      <w:r w:rsidRPr="00DB492A">
        <w:rPr>
          <w:rFonts w:cs="Arial"/>
          <w:b/>
        </w:rPr>
        <w:t>Financial Management:</w:t>
      </w:r>
      <w:r w:rsidRPr="00DB492A">
        <w:rPr>
          <w:rFonts w:cs="Arial"/>
        </w:rPr>
        <w:t xml:space="preserve"> Urban Heights Hotel should enhance robust financial management by adopting dynamic pricing policies, showing unvarying financial audits, closely monitoring key performance indicators (KPIs), improving cost controls, and educating cash flow management (Yousaf et al., 2021). This guarantees financial health, improves profitability, and supports sustainable growth in a reasonable market.</w:t>
      </w:r>
    </w:p>
    <w:p w14:paraId="4FE36464" w14:textId="77777777" w:rsidR="00E22C31" w:rsidRPr="00DB492A" w:rsidRDefault="00E22C31" w:rsidP="00DB492A">
      <w:pPr>
        <w:rPr>
          <w:rFonts w:cs="Arial"/>
          <w:kern w:val="0"/>
          <w14:ligatures w14:val="none"/>
        </w:rPr>
      </w:pPr>
      <w:r w:rsidRPr="00DB492A">
        <w:rPr>
          <w:rFonts w:cs="Arial"/>
          <w:b/>
        </w:rPr>
        <w:t>Revenue Diversification:</w:t>
      </w:r>
      <w:r w:rsidRPr="00DB492A">
        <w:rPr>
          <w:rFonts w:cs="Arial"/>
        </w:rPr>
        <w:t xml:space="preserve"> </w:t>
      </w:r>
      <w:r w:rsidRPr="00DB492A">
        <w:rPr>
          <w:rFonts w:eastAsia="Times New Roman" w:cs="Arial"/>
          <w:kern w:val="0"/>
          <w:szCs w:val="24"/>
          <w14:ligatures w14:val="none"/>
        </w:rPr>
        <w:t>Relying exclusively on accommodation reservations could potentially restrict the scale of revenue generation</w:t>
      </w:r>
      <w:r w:rsidRPr="00DB492A">
        <w:rPr>
          <w:rFonts w:eastAsia="Times New Roman" w:cs="Arial"/>
          <w:szCs w:val="24"/>
        </w:rPr>
        <w:t xml:space="preserve"> </w:t>
      </w:r>
      <w:r w:rsidRPr="00DB492A">
        <w:rPr>
          <w:rFonts w:cs="Arial"/>
        </w:rPr>
        <w:t>(Pavlatos et al., 2021)</w:t>
      </w:r>
      <w:r w:rsidRPr="00DB492A">
        <w:rPr>
          <w:rFonts w:eastAsia="Times New Roman" w:cs="Arial"/>
          <w:kern w:val="0"/>
          <w:szCs w:val="24"/>
          <w14:ligatures w14:val="none"/>
        </w:rPr>
        <w:t xml:space="preserve">. The Urban Heights Hotel must search </w:t>
      </w:r>
      <w:r w:rsidRPr="00DB492A">
        <w:rPr>
          <w:rFonts w:eastAsia="Times New Roman" w:cs="Arial"/>
          <w:szCs w:val="24"/>
        </w:rPr>
        <w:t>for</w:t>
      </w:r>
      <w:r w:rsidRPr="00DB492A">
        <w:rPr>
          <w:rFonts w:eastAsia="Times New Roman" w:cs="Arial"/>
          <w:kern w:val="0"/>
          <w:szCs w:val="24"/>
          <w14:ligatures w14:val="none"/>
        </w:rPr>
        <w:t xml:space="preserve"> other methods to make revenue, like providing food and drinks, having events, and partnering up with other businesses in the area to offer deals and encounters. Diversifying revenue lines made it less reliant on room bookings and consequently more stable. By providing a range of services and activities, Urban Heights Hotel can transport more customers while making more money, which will help the business </w:t>
      </w:r>
      <w:r w:rsidRPr="00DB492A">
        <w:rPr>
          <w:rFonts w:eastAsia="Times New Roman" w:cs="Arial"/>
          <w:szCs w:val="24"/>
        </w:rPr>
        <w:t>sustainably</w:t>
      </w:r>
      <w:r w:rsidRPr="00DB492A">
        <w:rPr>
          <w:rFonts w:eastAsia="Times New Roman" w:cs="Arial"/>
          <w:kern w:val="0"/>
          <w:szCs w:val="24"/>
          <w14:ligatures w14:val="none"/>
        </w:rPr>
        <w:t xml:space="preserve"> in business.</w:t>
      </w:r>
    </w:p>
    <w:p w14:paraId="618F3A80" w14:textId="08C46017" w:rsidR="00E22C31" w:rsidRPr="00DB492A" w:rsidRDefault="00E22C31" w:rsidP="00DB492A">
      <w:pPr>
        <w:rPr>
          <w:rFonts w:cs="Arial"/>
        </w:rPr>
      </w:pPr>
      <w:r w:rsidRPr="00DB492A">
        <w:rPr>
          <w:rFonts w:cs="Arial"/>
          <w:b/>
        </w:rPr>
        <w:t>Customer Experience Enhancement:</w:t>
      </w:r>
      <w:r w:rsidRPr="00DB492A">
        <w:rPr>
          <w:rFonts w:cs="Arial"/>
        </w:rPr>
        <w:t xml:space="preserve"> Enchanting exceptional customer involvement is crucial for attracting as well as retaining guests. Urban Heights Hotel would focus on personalized service, and attention to detail, besides creating memorable moments for guests throughout their stay</w:t>
      </w:r>
      <w:r w:rsidR="0004309C" w:rsidRPr="00DB492A">
        <w:rPr>
          <w:rFonts w:cs="Arial"/>
        </w:rPr>
        <w:t xml:space="preserve">. </w:t>
      </w:r>
      <w:r w:rsidRPr="00DB492A">
        <w:rPr>
          <w:rFonts w:cs="Arial"/>
        </w:rPr>
        <w:t>Enhancing the customer experience leads to higher invitee satisfaction, amplified loyalty, and positive word-of-mouth referrals</w:t>
      </w:r>
      <w:r w:rsidR="0004309C" w:rsidRPr="00DB492A">
        <w:rPr>
          <w:rFonts w:cs="Arial"/>
        </w:rPr>
        <w:t xml:space="preserve"> (Rahimian et al., 2021)</w:t>
      </w:r>
      <w:r w:rsidRPr="00DB492A">
        <w:rPr>
          <w:rFonts w:cs="Arial"/>
        </w:rPr>
        <w:t>. Fulfilled guests are more likely to return and commend the hotel to others, pouring revenue growth and educating financial presentation.</w:t>
      </w:r>
    </w:p>
    <w:p w14:paraId="4EC42919" w14:textId="514E7C5E" w:rsidR="00E22C31" w:rsidRPr="00DB492A" w:rsidRDefault="00E22C31" w:rsidP="00DB492A">
      <w:pPr>
        <w:rPr>
          <w:rFonts w:cs="Arial"/>
        </w:rPr>
      </w:pPr>
      <w:r w:rsidRPr="00DB492A">
        <w:rPr>
          <w:rFonts w:cs="Arial"/>
          <w:b/>
        </w:rPr>
        <w:t>Marketing and Branding:</w:t>
      </w:r>
      <w:r w:rsidRPr="00DB492A">
        <w:rPr>
          <w:rFonts w:cs="Arial"/>
        </w:rPr>
        <w:t xml:space="preserve"> Operative marketing then branding exertions are essential for raising awareness and appealing businesses to at Urban Heights Hotel. This comprises targeted digital marketing movements, social media appointments, and planned partnerships with travel influencers and local businesses (Mucharreira et al., 2019). Strong marketing and branding creativities increase conspicuousness, </w:t>
      </w:r>
      <w:r w:rsidRPr="00DB492A">
        <w:rPr>
          <w:rFonts w:cs="Arial"/>
        </w:rPr>
        <w:lastRenderedPageBreak/>
        <w:t>fascinate newfangled customers and drive bookings. By locating Urban Heights Hotel as a desirable terminus with unique offerings and exceptional service, these labo</w:t>
      </w:r>
      <w:r w:rsidR="00772642" w:rsidRPr="00DB492A">
        <w:rPr>
          <w:rFonts w:cs="Arial"/>
        </w:rPr>
        <w:t>u</w:t>
      </w:r>
      <w:r w:rsidRPr="00DB492A">
        <w:rPr>
          <w:rFonts w:cs="Arial"/>
        </w:rPr>
        <w:t>rers pay for revenue growth and economic success.</w:t>
      </w:r>
    </w:p>
    <w:p w14:paraId="566993CD" w14:textId="77777777" w:rsidR="00E22C31" w:rsidRPr="00DB492A" w:rsidRDefault="00E22C31" w:rsidP="00DB492A">
      <w:pPr>
        <w:rPr>
          <w:rFonts w:cs="Arial"/>
        </w:rPr>
      </w:pPr>
      <w:r w:rsidRPr="00DB492A">
        <w:rPr>
          <w:rFonts w:cs="Arial"/>
          <w:b/>
          <w:kern w:val="0"/>
          <w14:ligatures w14:val="none"/>
        </w:rPr>
        <w:t>Strategic Planning:</w:t>
      </w:r>
      <w:r w:rsidRPr="00DB492A">
        <w:rPr>
          <w:rFonts w:cs="Arial"/>
        </w:rPr>
        <w:t xml:space="preserve"> Urban Heights Hotel might engage in tactical planning by conducting a SWOT analysis, situation clear short-term and long-term goalmouths, and evolving action plans. Regularly evaluate and adjust strategies based on market trends and presentation data to ensure alignment with the hotel's vision, improve competitiveness, and accomplish maintainable growth.</w:t>
      </w:r>
    </w:p>
    <w:p w14:paraId="7A95FE26" w14:textId="3C8EF64F" w:rsidR="00E22C31" w:rsidRPr="00DB492A" w:rsidRDefault="00E22C31" w:rsidP="00DB492A">
      <w:pPr>
        <w:rPr>
          <w:rFonts w:cs="Arial"/>
        </w:rPr>
      </w:pPr>
      <w:r w:rsidRPr="00DB492A">
        <w:rPr>
          <w:rFonts w:cs="Arial"/>
          <w:b/>
        </w:rPr>
        <w:t>Financial Restructuring:</w:t>
      </w:r>
      <w:r w:rsidRPr="00DB492A">
        <w:rPr>
          <w:rFonts w:cs="Arial"/>
        </w:rPr>
        <w:t xml:space="preserve"> Evaluating and restructuring the hotel's financial obligations is critical for cultivating cash flow and reducing debt burdens (Obinwanne, 2019). This might involve renegotiating loan terms, and refinancing existing debt, besides improving cash flow management performance. The enchanted of financial restructuring measures improves fluidness, reduces financial strain, and improves the hotel's ability to meet financial obligations. By improving capital structure and educating financial stability, Urban Heights Hotel can regain investor self-assurance in addition strengthen its financial position and profitability (Alvarez et al., 2021).</w:t>
      </w:r>
    </w:p>
    <w:p w14:paraId="06D22432" w14:textId="538C1282" w:rsidR="001F2E99" w:rsidRPr="00DB492A" w:rsidRDefault="001F2E99" w:rsidP="00DB492A">
      <w:pPr>
        <w:pStyle w:val="NoSpacing"/>
        <w:rPr>
          <w:rFonts w:ascii="Arial" w:hAnsi="Arial" w:cs="Arial"/>
          <w:noProof/>
          <w:lang w:val="en-GB"/>
        </w:rPr>
      </w:pPr>
      <w:bookmarkStart w:id="6" w:name="_Toc167140639"/>
      <w:r w:rsidRPr="00DB492A">
        <w:rPr>
          <w:rStyle w:val="Heading1Char"/>
          <w:rFonts w:ascii="Arial" w:hAnsi="Arial" w:cs="Arial"/>
          <w:noProof/>
          <w:lang w:val="en-GB"/>
        </w:rPr>
        <w:t>Conclusion</w:t>
      </w:r>
      <w:bookmarkEnd w:id="6"/>
      <w:r w:rsidRPr="00DB492A">
        <w:rPr>
          <w:rStyle w:val="Heading1Char"/>
          <w:rFonts w:ascii="Arial" w:hAnsi="Arial" w:cs="Arial"/>
          <w:noProof/>
          <w:lang w:val="en-GB"/>
        </w:rPr>
        <w:br/>
      </w:r>
      <w:r w:rsidRPr="00DB492A">
        <w:rPr>
          <w:rFonts w:ascii="Arial" w:hAnsi="Arial" w:cs="Arial"/>
          <w:noProof/>
          <w:lang w:val="en-GB"/>
        </w:rPr>
        <w:t>In essence, the study of Urban Heights Hotel's business performance showed that it was facing big problems, such as decreasing profits, cash flow, and income due to a mix of external and internal causes. Exploring the elements that impact profits made it clear how important it is to fix inefficient operations, find new approaches to make revenue and profitability, improve the customer experience as well as take steps to restructure the business's finances</w:t>
      </w:r>
      <w:r w:rsidR="00A37BED" w:rsidRPr="00DB492A">
        <w:rPr>
          <w:rFonts w:ascii="Arial" w:hAnsi="Arial" w:cs="Arial"/>
          <w:noProof/>
          <w:lang w:val="en-GB"/>
        </w:rPr>
        <w:t xml:space="preserve"> (Hotelling, 2021)</w:t>
      </w:r>
      <w:r w:rsidRPr="00DB492A">
        <w:rPr>
          <w:rFonts w:ascii="Arial" w:hAnsi="Arial" w:cs="Arial"/>
          <w:noProof/>
          <w:lang w:val="en-GB"/>
        </w:rPr>
        <w:t xml:space="preserve">. The reversal technique that has been proposed presents a holistic method for dealing with these obstacles and putting Urban Heights Hotel in an advantageous position for following triumphs. The hotel can get past its current problems and build a long-term future in the tough hospitality business if it follows the plan well. </w:t>
      </w:r>
    </w:p>
    <w:p w14:paraId="3BE7F9D3" w14:textId="06BC3EA4" w:rsidR="00CC5458" w:rsidRPr="00DB492A" w:rsidRDefault="00CC5458" w:rsidP="00DB492A">
      <w:pPr>
        <w:pStyle w:val="NoSpacing"/>
        <w:rPr>
          <w:rFonts w:ascii="Arial" w:hAnsi="Arial" w:cs="Arial"/>
          <w:noProof/>
          <w:lang w:val="en-GB"/>
        </w:rPr>
      </w:pPr>
      <w:r w:rsidRPr="00DB492A">
        <w:rPr>
          <w:rFonts w:ascii="Arial" w:hAnsi="Arial" w:cs="Arial"/>
          <w:noProof/>
          <w:lang w:val="en-GB"/>
        </w:rPr>
        <w:br w:type="page"/>
      </w:r>
    </w:p>
    <w:p w14:paraId="35171DD2" w14:textId="63A4755A" w:rsidR="00CC5458" w:rsidRPr="00DB492A" w:rsidRDefault="00CC5458" w:rsidP="00DB492A">
      <w:pPr>
        <w:pStyle w:val="Heading1"/>
        <w:spacing w:before="0"/>
        <w:rPr>
          <w:rFonts w:cs="Arial"/>
          <w:sz w:val="36"/>
          <w:szCs w:val="36"/>
        </w:rPr>
      </w:pPr>
      <w:bookmarkStart w:id="7" w:name="_Toc167140640"/>
      <w:r w:rsidRPr="00DB492A">
        <w:rPr>
          <w:rFonts w:cs="Arial"/>
          <w:sz w:val="36"/>
          <w:szCs w:val="36"/>
        </w:rPr>
        <w:lastRenderedPageBreak/>
        <w:t>Reference</w:t>
      </w:r>
      <w:r w:rsidR="00954962" w:rsidRPr="00DB492A">
        <w:rPr>
          <w:rFonts w:cs="Arial"/>
          <w:sz w:val="36"/>
          <w:szCs w:val="36"/>
        </w:rPr>
        <w:t xml:space="preserve"> List</w:t>
      </w:r>
      <w:bookmarkEnd w:id="7"/>
    </w:p>
    <w:p w14:paraId="01078713" w14:textId="77777777" w:rsidR="003A562A" w:rsidRPr="003A562A" w:rsidRDefault="003A562A" w:rsidP="003A562A">
      <w:pPr>
        <w:rPr>
          <w:rFonts w:cs="Arial"/>
        </w:rPr>
      </w:pPr>
      <w:r w:rsidRPr="003A562A">
        <w:rPr>
          <w:rFonts w:cs="Arial"/>
        </w:rPr>
        <w:t xml:space="preserve">Aharon, D.Y., Jacobi, A., Cohen, E., Tzur, J. and Qadan, M. (2021) COVID-19, government measures, and hospitality industry performance. </w:t>
      </w:r>
      <w:r w:rsidRPr="003A562A">
        <w:rPr>
          <w:rFonts w:cs="Arial"/>
          <w:i/>
          <w:iCs/>
        </w:rPr>
        <w:t>PLOS ONE</w:t>
      </w:r>
      <w:r w:rsidRPr="003A562A">
        <w:rPr>
          <w:rFonts w:cs="Arial"/>
        </w:rPr>
        <w:t xml:space="preserve">, [online] 16(8), p.e0255819. </w:t>
      </w:r>
    </w:p>
    <w:p w14:paraId="18D5895F" w14:textId="77777777" w:rsidR="003A562A" w:rsidRPr="003A562A" w:rsidRDefault="003A562A" w:rsidP="003A562A">
      <w:pPr>
        <w:rPr>
          <w:rFonts w:cs="Arial"/>
          <w:shd w:val="clear" w:color="auto" w:fill="FFFFFF"/>
        </w:rPr>
      </w:pPr>
      <w:r w:rsidRPr="003A562A">
        <w:rPr>
          <w:rFonts w:cs="Arial"/>
          <w:shd w:val="clear" w:color="auto" w:fill="FFFFFF"/>
        </w:rPr>
        <w:t>Alvarez, T., Sensini, L., Bello, C. and Vazquez, M., (2021) Management accounting practices and performance of SMEs in the Hotel industry: Evidence from an emerging economy. </w:t>
      </w:r>
      <w:r w:rsidRPr="003A562A">
        <w:rPr>
          <w:rFonts w:cs="Arial"/>
          <w:i/>
          <w:iCs/>
          <w:shd w:val="clear" w:color="auto" w:fill="FFFFFF"/>
        </w:rPr>
        <w:t>International Journal of Business and Social Science</w:t>
      </w:r>
      <w:r w:rsidRPr="003A562A">
        <w:rPr>
          <w:rFonts w:cs="Arial"/>
          <w:shd w:val="clear" w:color="auto" w:fill="FFFFFF"/>
        </w:rPr>
        <w:t>, </w:t>
      </w:r>
      <w:r w:rsidRPr="003A562A">
        <w:rPr>
          <w:rFonts w:cs="Arial"/>
          <w:i/>
          <w:iCs/>
          <w:shd w:val="clear" w:color="auto" w:fill="FFFFFF"/>
        </w:rPr>
        <w:t>12</w:t>
      </w:r>
      <w:r w:rsidRPr="003A562A">
        <w:rPr>
          <w:rFonts w:cs="Arial"/>
          <w:shd w:val="clear" w:color="auto" w:fill="FFFFFF"/>
        </w:rPr>
        <w:t>(2), pp.24-35.</w:t>
      </w:r>
    </w:p>
    <w:p w14:paraId="5303AE18" w14:textId="77777777" w:rsidR="003A562A" w:rsidRPr="003A562A" w:rsidRDefault="003A562A" w:rsidP="003A562A">
      <w:pPr>
        <w:rPr>
          <w:rFonts w:cs="Arial"/>
        </w:rPr>
      </w:pPr>
      <w:r w:rsidRPr="003A562A">
        <w:rPr>
          <w:rFonts w:cs="Arial"/>
        </w:rPr>
        <w:t xml:space="preserve">Amen, K., Mahmood, K.I., Shabu, S.A. and Shabila, N.P. (2021) Exploring perspectives on COVID-19 risk, protective behavior, and control measures. </w:t>
      </w:r>
      <w:r w:rsidRPr="003A562A">
        <w:rPr>
          <w:rFonts w:cs="Arial"/>
          <w:i/>
          <w:iCs/>
        </w:rPr>
        <w:t>Journal of Risk Research</w:t>
      </w:r>
      <w:r w:rsidRPr="003A562A">
        <w:rPr>
          <w:rFonts w:cs="Arial"/>
        </w:rPr>
        <w:t xml:space="preserve">, pp.1–13. </w:t>
      </w:r>
    </w:p>
    <w:p w14:paraId="4F3AB6FB" w14:textId="77777777" w:rsidR="003A562A" w:rsidRPr="003A562A" w:rsidRDefault="003A562A" w:rsidP="003A562A">
      <w:pPr>
        <w:rPr>
          <w:rFonts w:cs="Arial"/>
        </w:rPr>
      </w:pPr>
      <w:r w:rsidRPr="003A562A">
        <w:rPr>
          <w:rFonts w:cs="Arial"/>
        </w:rPr>
        <w:t xml:space="preserve">Anguera-Torrell, O., Aznar-Alarcón, J.P. and Vives-Perez, J. (2020) COVID-19: hotel industry response to the pandemic evolution and to the public sector economic measures. </w:t>
      </w:r>
      <w:r w:rsidRPr="003A562A">
        <w:rPr>
          <w:rFonts w:cs="Arial"/>
          <w:i/>
          <w:iCs/>
        </w:rPr>
        <w:t>Tourism Recreation Research</w:t>
      </w:r>
      <w:r w:rsidRPr="003A562A">
        <w:rPr>
          <w:rFonts w:cs="Arial"/>
        </w:rPr>
        <w:t>, 46(2), pp.1–10.</w:t>
      </w:r>
    </w:p>
    <w:p w14:paraId="1A8A9EB1" w14:textId="4C6B56C3" w:rsidR="003A562A" w:rsidRPr="003A562A" w:rsidRDefault="006C6713" w:rsidP="003A562A">
      <w:pPr>
        <w:rPr>
          <w:rFonts w:cs="Arial"/>
        </w:rPr>
      </w:pPr>
      <w:r>
        <w:t xml:space="preserve">De Moraes, A.J. </w:t>
      </w:r>
      <w:r w:rsidR="003A562A" w:rsidRPr="003A562A">
        <w:rPr>
          <w:rFonts w:cs="Arial"/>
        </w:rPr>
        <w:t xml:space="preserve">(2023) </w:t>
      </w:r>
      <w:r w:rsidR="003A562A" w:rsidRPr="003A562A">
        <w:rPr>
          <w:rFonts w:cs="Arial"/>
          <w:i/>
          <w:iCs/>
        </w:rPr>
        <w:t>Strategic Management and International Business Policies for Maintaining Competitive Advantage</w:t>
      </w:r>
      <w:r w:rsidR="003A562A" w:rsidRPr="003A562A">
        <w:rPr>
          <w:rFonts w:cs="Arial"/>
        </w:rPr>
        <w:t>. IGI Global.</w:t>
      </w:r>
    </w:p>
    <w:p w14:paraId="52F6A82B" w14:textId="77777777" w:rsidR="003A562A" w:rsidRPr="003A562A" w:rsidRDefault="003A562A" w:rsidP="003A562A">
      <w:pPr>
        <w:rPr>
          <w:rFonts w:cs="Arial"/>
        </w:rPr>
      </w:pPr>
      <w:r w:rsidRPr="003A562A">
        <w:rPr>
          <w:rFonts w:cs="Arial"/>
        </w:rPr>
        <w:t xml:space="preserve">Fernandes, G.P. and Melo, A.S. (2023) </w:t>
      </w:r>
      <w:r w:rsidRPr="003A562A">
        <w:rPr>
          <w:rFonts w:cs="Arial"/>
          <w:i/>
          <w:iCs/>
        </w:rPr>
        <w:t>Handbook of Research on Innovation, Differentiation, and New Technologies in Tourism, Hotels, and Food Service</w:t>
      </w:r>
      <w:r w:rsidRPr="003A562A">
        <w:rPr>
          <w:rFonts w:cs="Arial"/>
        </w:rPr>
        <w:t>. IGI Global.</w:t>
      </w:r>
    </w:p>
    <w:p w14:paraId="5B9E587B" w14:textId="77777777" w:rsidR="003A562A" w:rsidRPr="003A562A" w:rsidRDefault="003A562A" w:rsidP="003A562A">
      <w:pPr>
        <w:rPr>
          <w:rFonts w:cs="Arial"/>
          <w:shd w:val="clear" w:color="auto" w:fill="FFFFFF"/>
        </w:rPr>
      </w:pPr>
      <w:r w:rsidRPr="003A562A">
        <w:rPr>
          <w:rFonts w:cs="Arial"/>
          <w:shd w:val="clear" w:color="auto" w:fill="FFFFFF"/>
        </w:rPr>
        <w:t>Hao, F., Xiao, Q. and Chon, K., (2020) COVID-19 and China’s hotel industry: Impacts, a disaster management framework, and post-pandemic agenda. </w:t>
      </w:r>
      <w:r w:rsidRPr="003A562A">
        <w:rPr>
          <w:rFonts w:cs="Arial"/>
          <w:i/>
          <w:iCs/>
          <w:shd w:val="clear" w:color="auto" w:fill="FFFFFF"/>
        </w:rPr>
        <w:t>International journal of hospitality management</w:t>
      </w:r>
      <w:r w:rsidRPr="003A562A">
        <w:rPr>
          <w:rFonts w:cs="Arial"/>
          <w:shd w:val="clear" w:color="auto" w:fill="FFFFFF"/>
        </w:rPr>
        <w:t>, </w:t>
      </w:r>
      <w:r w:rsidRPr="003A562A">
        <w:rPr>
          <w:rFonts w:cs="Arial"/>
          <w:i/>
          <w:iCs/>
          <w:shd w:val="clear" w:color="auto" w:fill="FFFFFF"/>
        </w:rPr>
        <w:t>90</w:t>
      </w:r>
      <w:r w:rsidRPr="003A562A">
        <w:rPr>
          <w:rFonts w:cs="Arial"/>
          <w:shd w:val="clear" w:color="auto" w:fill="FFFFFF"/>
        </w:rPr>
        <w:t>, p.102636.</w:t>
      </w:r>
    </w:p>
    <w:p w14:paraId="64B53EDF" w14:textId="77777777" w:rsidR="003A562A" w:rsidRPr="003A562A" w:rsidRDefault="003A562A" w:rsidP="003A562A">
      <w:pPr>
        <w:rPr>
          <w:rFonts w:cs="Arial"/>
          <w:shd w:val="clear" w:color="auto" w:fill="FFFFFF"/>
        </w:rPr>
      </w:pPr>
      <w:r w:rsidRPr="003A562A">
        <w:rPr>
          <w:rFonts w:cs="Arial"/>
        </w:rPr>
        <w:t xml:space="preserve">Hayes, D.K., Hayes, J.D. and Hayes, P.A. (2021) </w:t>
      </w:r>
      <w:r w:rsidRPr="003A562A">
        <w:rPr>
          <w:rFonts w:cs="Arial"/>
          <w:i/>
          <w:iCs/>
        </w:rPr>
        <w:t>Revenue management for the hospitality industry</w:t>
      </w:r>
      <w:r w:rsidRPr="003A562A">
        <w:rPr>
          <w:rFonts w:cs="Arial"/>
        </w:rPr>
        <w:t>. John Wiley &amp; Sons.</w:t>
      </w:r>
    </w:p>
    <w:p w14:paraId="1839E933" w14:textId="77777777" w:rsidR="003A562A" w:rsidRPr="003A562A" w:rsidRDefault="003A562A" w:rsidP="003A562A">
      <w:pPr>
        <w:rPr>
          <w:rFonts w:cs="Arial"/>
        </w:rPr>
      </w:pPr>
      <w:r w:rsidRPr="003A562A">
        <w:rPr>
          <w:rFonts w:cs="Arial"/>
        </w:rPr>
        <w:t xml:space="preserve">Hotelling, H. (2021) The Economics of Exhaustible Resources. </w:t>
      </w:r>
      <w:r w:rsidRPr="003A562A">
        <w:rPr>
          <w:rFonts w:cs="Arial"/>
          <w:i/>
          <w:iCs/>
        </w:rPr>
        <w:t>Journal of Political Economy</w:t>
      </w:r>
      <w:r w:rsidRPr="003A562A">
        <w:rPr>
          <w:rFonts w:cs="Arial"/>
        </w:rPr>
        <w:t xml:space="preserve">, 39(2), pp.137–175. </w:t>
      </w:r>
    </w:p>
    <w:p w14:paraId="00B40A7F" w14:textId="77777777" w:rsidR="003A562A" w:rsidRPr="003A562A" w:rsidRDefault="003A562A" w:rsidP="003A562A">
      <w:pPr>
        <w:rPr>
          <w:rFonts w:cs="Arial"/>
          <w:shd w:val="clear" w:color="auto" w:fill="FFFFFF"/>
        </w:rPr>
      </w:pPr>
      <w:r w:rsidRPr="003A562A">
        <w:rPr>
          <w:rFonts w:cs="Arial"/>
          <w:shd w:val="clear" w:color="auto" w:fill="FFFFFF"/>
        </w:rPr>
        <w:lastRenderedPageBreak/>
        <w:t>Kim, Y.H., Barber, N. and Kim, D.K., (2019) Sustainability research in the hotel industry: Past, present, and future. </w:t>
      </w:r>
      <w:r w:rsidRPr="003A562A">
        <w:rPr>
          <w:rFonts w:cs="Arial"/>
          <w:i/>
          <w:iCs/>
          <w:shd w:val="clear" w:color="auto" w:fill="FFFFFF"/>
        </w:rPr>
        <w:t>Journal of Hospitality Marketing &amp; Management</w:t>
      </w:r>
      <w:r w:rsidRPr="003A562A">
        <w:rPr>
          <w:rFonts w:cs="Arial"/>
          <w:shd w:val="clear" w:color="auto" w:fill="FFFFFF"/>
        </w:rPr>
        <w:t>, </w:t>
      </w:r>
      <w:r w:rsidRPr="003A562A">
        <w:rPr>
          <w:rFonts w:cs="Arial"/>
          <w:i/>
          <w:iCs/>
          <w:shd w:val="clear" w:color="auto" w:fill="FFFFFF"/>
        </w:rPr>
        <w:t>28</w:t>
      </w:r>
      <w:r w:rsidRPr="003A562A">
        <w:rPr>
          <w:rFonts w:cs="Arial"/>
          <w:shd w:val="clear" w:color="auto" w:fill="FFFFFF"/>
        </w:rPr>
        <w:t>(5), pp.576-620.</w:t>
      </w:r>
    </w:p>
    <w:p w14:paraId="160349C2" w14:textId="77777777" w:rsidR="003A562A" w:rsidRPr="003A562A" w:rsidRDefault="003A562A" w:rsidP="003A562A">
      <w:pPr>
        <w:rPr>
          <w:rFonts w:cs="Arial"/>
          <w:shd w:val="clear" w:color="auto" w:fill="FFFFFF"/>
        </w:rPr>
      </w:pPr>
      <w:r w:rsidRPr="003A562A">
        <w:rPr>
          <w:rFonts w:cs="Arial"/>
          <w:shd w:val="clear" w:color="auto" w:fill="FFFFFF"/>
        </w:rPr>
        <w:t>Li, Y. and Singal, M., (2019) Capital structure in the hospitality industry: The role of the asset-light and fee-oriented strategy. </w:t>
      </w:r>
      <w:r w:rsidRPr="003A562A">
        <w:rPr>
          <w:rFonts w:cs="Arial"/>
          <w:i/>
          <w:iCs/>
          <w:shd w:val="clear" w:color="auto" w:fill="FFFFFF"/>
        </w:rPr>
        <w:t>Tourism Management</w:t>
      </w:r>
      <w:r w:rsidRPr="003A562A">
        <w:rPr>
          <w:rFonts w:cs="Arial"/>
          <w:shd w:val="clear" w:color="auto" w:fill="FFFFFF"/>
        </w:rPr>
        <w:t>, </w:t>
      </w:r>
      <w:r w:rsidRPr="003A562A">
        <w:rPr>
          <w:rFonts w:cs="Arial"/>
          <w:i/>
          <w:iCs/>
          <w:shd w:val="clear" w:color="auto" w:fill="FFFFFF"/>
        </w:rPr>
        <w:t>70</w:t>
      </w:r>
      <w:r w:rsidRPr="003A562A">
        <w:rPr>
          <w:rFonts w:cs="Arial"/>
          <w:shd w:val="clear" w:color="auto" w:fill="FFFFFF"/>
        </w:rPr>
        <w:t>, pp.124-133.</w:t>
      </w:r>
    </w:p>
    <w:p w14:paraId="173163FB" w14:textId="77777777" w:rsidR="003A562A" w:rsidRPr="003A562A" w:rsidRDefault="003A562A" w:rsidP="003A562A">
      <w:pPr>
        <w:rPr>
          <w:rFonts w:cs="Arial"/>
          <w:shd w:val="clear" w:color="auto" w:fill="FFFFFF"/>
        </w:rPr>
      </w:pPr>
      <w:r w:rsidRPr="003A562A">
        <w:rPr>
          <w:rFonts w:cs="Arial"/>
          <w:shd w:val="clear" w:color="auto" w:fill="FFFFFF"/>
        </w:rPr>
        <w:t>Mjongwana, A., (2018) The use of non-financial performance measures by small and medium enterprises operating in the hotel industry, in the Cape Metropole (Doctoral dissertation, Cape Peninsula University of Technology).</w:t>
      </w:r>
    </w:p>
    <w:p w14:paraId="5CD5649E" w14:textId="77777777" w:rsidR="003A562A" w:rsidRPr="003A562A" w:rsidRDefault="003A562A" w:rsidP="003A562A">
      <w:pPr>
        <w:rPr>
          <w:rFonts w:cs="Arial"/>
          <w:shd w:val="clear" w:color="auto" w:fill="FFFFFF"/>
        </w:rPr>
      </w:pPr>
      <w:r w:rsidRPr="003A562A">
        <w:rPr>
          <w:rFonts w:cs="Arial"/>
          <w:shd w:val="clear" w:color="auto" w:fill="FFFFFF"/>
        </w:rPr>
        <w:t>Mucharreira, P.R., Antunes, M.G., Abranja, N., Justino, M.R.T. and Quirós, J.T., (2019) The relevance of tourism in the financial sustainability of hotels. </w:t>
      </w:r>
      <w:r w:rsidRPr="003A562A">
        <w:rPr>
          <w:rFonts w:cs="Arial"/>
          <w:i/>
          <w:iCs/>
          <w:shd w:val="clear" w:color="auto" w:fill="FFFFFF"/>
        </w:rPr>
        <w:t>European Research on Management and Business Economics,</w:t>
      </w:r>
      <w:r w:rsidRPr="003A562A">
        <w:rPr>
          <w:rFonts w:cs="Arial"/>
          <w:shd w:val="clear" w:color="auto" w:fill="FFFFFF"/>
        </w:rPr>
        <w:t> 25(3), pp.165-174.</w:t>
      </w:r>
    </w:p>
    <w:p w14:paraId="0181EE16" w14:textId="77777777" w:rsidR="003A562A" w:rsidRPr="003A562A" w:rsidRDefault="003A562A" w:rsidP="003A562A">
      <w:pPr>
        <w:rPr>
          <w:rFonts w:cs="Arial"/>
          <w:shd w:val="clear" w:color="auto" w:fill="FFFFFF"/>
        </w:rPr>
      </w:pPr>
      <w:r w:rsidRPr="003A562A">
        <w:rPr>
          <w:rFonts w:cs="Arial"/>
          <w:shd w:val="clear" w:color="auto" w:fill="FFFFFF"/>
        </w:rPr>
        <w:t>Obinwanne, C.O., (2019) The Role of Effective Internal Control System to the Financial Management of Hotel Operations. </w:t>
      </w:r>
      <w:r w:rsidRPr="003A562A">
        <w:rPr>
          <w:rFonts w:cs="Arial"/>
          <w:i/>
          <w:iCs/>
          <w:shd w:val="clear" w:color="auto" w:fill="FFFFFF"/>
        </w:rPr>
        <w:t>International Journal of Research in Tourism and Hospitality (IJRTH),</w:t>
      </w:r>
      <w:r w:rsidRPr="003A562A">
        <w:rPr>
          <w:rFonts w:cs="Arial"/>
          <w:shd w:val="clear" w:color="auto" w:fill="FFFFFF"/>
        </w:rPr>
        <w:t xml:space="preserve"> pp.17-24.</w:t>
      </w:r>
    </w:p>
    <w:p w14:paraId="70977457" w14:textId="2988340E" w:rsidR="003A562A" w:rsidRPr="003A562A" w:rsidRDefault="003A562A" w:rsidP="003A562A">
      <w:pPr>
        <w:rPr>
          <w:rFonts w:cs="Arial"/>
          <w:shd w:val="clear" w:color="auto" w:fill="FFFFFF"/>
        </w:rPr>
      </w:pPr>
      <w:r w:rsidRPr="003A562A">
        <w:rPr>
          <w:rFonts w:cs="Arial"/>
          <w:shd w:val="clear" w:color="auto" w:fill="FFFFFF"/>
        </w:rPr>
        <w:t>Ouyang, Z., Wei, W. and Chi, C.G.</w:t>
      </w:r>
      <w:r w:rsidR="00865C15">
        <w:rPr>
          <w:rFonts w:cs="Arial"/>
          <w:shd w:val="clear" w:color="auto" w:fill="FFFFFF"/>
        </w:rPr>
        <w:t xml:space="preserve"> (</w:t>
      </w:r>
      <w:r w:rsidRPr="003A562A">
        <w:rPr>
          <w:rFonts w:cs="Arial"/>
          <w:shd w:val="clear" w:color="auto" w:fill="FFFFFF"/>
        </w:rPr>
        <w:t>2019</w:t>
      </w:r>
      <w:r w:rsidR="00865C15">
        <w:rPr>
          <w:rFonts w:cs="Arial"/>
          <w:shd w:val="clear" w:color="auto" w:fill="FFFFFF"/>
        </w:rPr>
        <w:t>)</w:t>
      </w:r>
      <w:r w:rsidRPr="003A562A">
        <w:rPr>
          <w:rFonts w:cs="Arial"/>
          <w:shd w:val="clear" w:color="auto" w:fill="FFFFFF"/>
        </w:rPr>
        <w:t xml:space="preserve"> Environment management in the hotel industry: does institutional environment matter? </w:t>
      </w:r>
      <w:r w:rsidRPr="003A562A">
        <w:rPr>
          <w:rFonts w:cs="Arial"/>
          <w:i/>
          <w:iCs/>
          <w:shd w:val="clear" w:color="auto" w:fill="FFFFFF"/>
        </w:rPr>
        <w:t>International Journal of Hospitality Management</w:t>
      </w:r>
      <w:r w:rsidRPr="003A562A">
        <w:rPr>
          <w:rFonts w:cs="Arial"/>
          <w:shd w:val="clear" w:color="auto" w:fill="FFFFFF"/>
        </w:rPr>
        <w:t>, 77, pp.353-364.</w:t>
      </w:r>
    </w:p>
    <w:p w14:paraId="7D573034" w14:textId="77777777" w:rsidR="003A562A" w:rsidRPr="003A562A" w:rsidRDefault="003A562A" w:rsidP="003A562A">
      <w:pPr>
        <w:rPr>
          <w:rFonts w:cs="Arial"/>
        </w:rPr>
      </w:pPr>
      <w:r w:rsidRPr="003A562A">
        <w:rPr>
          <w:rFonts w:cs="Arial"/>
        </w:rPr>
        <w:t xml:space="preserve">Palepu, K.G., Healy, P.M., Wright, S., Bradbury, M. and Coulton, J. (2020) </w:t>
      </w:r>
      <w:r w:rsidRPr="003A562A">
        <w:rPr>
          <w:rFonts w:cs="Arial"/>
          <w:i/>
          <w:iCs/>
        </w:rPr>
        <w:t>Business analysis and valuation: Using financial statements</w:t>
      </w:r>
      <w:r w:rsidRPr="003A562A">
        <w:rPr>
          <w:rFonts w:cs="Arial"/>
        </w:rPr>
        <w:t>. Cengage AU.</w:t>
      </w:r>
    </w:p>
    <w:p w14:paraId="14E13759" w14:textId="77777777" w:rsidR="003A562A" w:rsidRPr="003A562A" w:rsidRDefault="003A562A" w:rsidP="003A562A">
      <w:pPr>
        <w:rPr>
          <w:rFonts w:cs="Arial"/>
          <w:shd w:val="clear" w:color="auto" w:fill="FFFFFF"/>
        </w:rPr>
      </w:pPr>
      <w:r w:rsidRPr="003A562A">
        <w:rPr>
          <w:rFonts w:cs="Arial"/>
          <w:shd w:val="clear" w:color="auto" w:fill="FFFFFF"/>
        </w:rPr>
        <w:t>Pavlatos, O., Kostakis, H. and Digkas, D., (2021) Crisis management in the Greek hotel industry in response to the COVID-19 pandemic. </w:t>
      </w:r>
      <w:r w:rsidRPr="003A562A">
        <w:rPr>
          <w:rFonts w:cs="Arial"/>
          <w:i/>
          <w:iCs/>
          <w:shd w:val="clear" w:color="auto" w:fill="FFFFFF"/>
        </w:rPr>
        <w:t>Anatolia</w:t>
      </w:r>
      <w:r w:rsidRPr="003A562A">
        <w:rPr>
          <w:rFonts w:cs="Arial"/>
          <w:shd w:val="clear" w:color="auto" w:fill="FFFFFF"/>
        </w:rPr>
        <w:t>, 32(1), pp.80-92.</w:t>
      </w:r>
    </w:p>
    <w:p w14:paraId="1F151FEF" w14:textId="77777777" w:rsidR="003A562A" w:rsidRPr="003A562A" w:rsidRDefault="003A562A" w:rsidP="003A562A">
      <w:pPr>
        <w:rPr>
          <w:rFonts w:cs="Arial"/>
          <w:szCs w:val="24"/>
        </w:rPr>
      </w:pPr>
      <w:r w:rsidRPr="003A562A">
        <w:rPr>
          <w:rFonts w:cs="Arial"/>
          <w:szCs w:val="24"/>
        </w:rPr>
        <w:t xml:space="preserve">Pavone, P., Migliaccio, G. and Simonetti, B. (2023) Investigating financial statements in hospitality: a quantitative approach. </w:t>
      </w:r>
      <w:r w:rsidRPr="003A562A">
        <w:rPr>
          <w:rFonts w:cs="Arial"/>
          <w:i/>
          <w:iCs/>
          <w:szCs w:val="24"/>
        </w:rPr>
        <w:t>Quality &amp; Quantity</w:t>
      </w:r>
      <w:r w:rsidRPr="003A562A">
        <w:rPr>
          <w:rFonts w:cs="Arial"/>
          <w:szCs w:val="24"/>
        </w:rPr>
        <w:t xml:space="preserve">, </w:t>
      </w:r>
      <w:r w:rsidRPr="003A562A">
        <w:rPr>
          <w:rFonts w:cs="Arial"/>
          <w:i/>
          <w:iCs/>
          <w:szCs w:val="24"/>
        </w:rPr>
        <w:t>57</w:t>
      </w:r>
      <w:r w:rsidRPr="003A562A">
        <w:rPr>
          <w:rFonts w:cs="Arial"/>
          <w:szCs w:val="24"/>
        </w:rPr>
        <w:t>(Suppl 3), pp.383-407.</w:t>
      </w:r>
    </w:p>
    <w:p w14:paraId="0876DC0F" w14:textId="77777777" w:rsidR="003A562A" w:rsidRPr="003A562A" w:rsidRDefault="003A562A" w:rsidP="003A562A">
      <w:pPr>
        <w:rPr>
          <w:rFonts w:cs="Arial"/>
          <w:shd w:val="clear" w:color="auto" w:fill="FFFFFF"/>
        </w:rPr>
      </w:pPr>
      <w:r w:rsidRPr="003A562A">
        <w:rPr>
          <w:rFonts w:cs="Arial"/>
          <w:shd w:val="clear" w:color="auto" w:fill="FFFFFF"/>
        </w:rPr>
        <w:t>Quan, L., Al-Ansi, A. and Han, H.,( 2022) Assessing customer financial risk perception and attitude in the hotel industry: Exploring the role of protective measures against COVID-19. </w:t>
      </w:r>
      <w:r w:rsidRPr="003A562A">
        <w:rPr>
          <w:rFonts w:cs="Arial"/>
          <w:i/>
          <w:iCs/>
          <w:shd w:val="clear" w:color="auto" w:fill="FFFFFF"/>
        </w:rPr>
        <w:t>International Journal of Hospitality Management</w:t>
      </w:r>
      <w:r w:rsidRPr="003A562A">
        <w:rPr>
          <w:rFonts w:cs="Arial"/>
          <w:shd w:val="clear" w:color="auto" w:fill="FFFFFF"/>
        </w:rPr>
        <w:t>, </w:t>
      </w:r>
      <w:r w:rsidRPr="003A562A">
        <w:rPr>
          <w:rFonts w:cs="Arial"/>
          <w:i/>
          <w:iCs/>
          <w:shd w:val="clear" w:color="auto" w:fill="FFFFFF"/>
        </w:rPr>
        <w:t>101</w:t>
      </w:r>
      <w:r w:rsidRPr="003A562A">
        <w:rPr>
          <w:rFonts w:cs="Arial"/>
          <w:shd w:val="clear" w:color="auto" w:fill="FFFFFF"/>
        </w:rPr>
        <w:t>, p.103123.</w:t>
      </w:r>
    </w:p>
    <w:p w14:paraId="52E4E2D2" w14:textId="77777777" w:rsidR="003A562A" w:rsidRPr="003A562A" w:rsidRDefault="003A562A" w:rsidP="003A562A">
      <w:pPr>
        <w:rPr>
          <w:rFonts w:cs="Arial"/>
          <w:shd w:val="clear" w:color="auto" w:fill="FFFFFF"/>
        </w:rPr>
      </w:pPr>
      <w:r w:rsidRPr="003A562A">
        <w:rPr>
          <w:rFonts w:cs="Arial"/>
          <w:shd w:val="clear" w:color="auto" w:fill="FFFFFF"/>
        </w:rPr>
        <w:lastRenderedPageBreak/>
        <w:t>Rahimian, S., ShamiZanjani, M., Manian, A. and Esfidani, M.R., (2021) A framework of customer experience management for the hotel industry. </w:t>
      </w:r>
      <w:r w:rsidRPr="003A562A">
        <w:rPr>
          <w:rFonts w:cs="Arial"/>
          <w:i/>
          <w:iCs/>
          <w:shd w:val="clear" w:color="auto" w:fill="FFFFFF"/>
        </w:rPr>
        <w:t>International Journal of Contemporary Hospitality Management</w:t>
      </w:r>
      <w:r w:rsidRPr="003A562A">
        <w:rPr>
          <w:rFonts w:cs="Arial"/>
          <w:shd w:val="clear" w:color="auto" w:fill="FFFFFF"/>
        </w:rPr>
        <w:t>, </w:t>
      </w:r>
      <w:r w:rsidRPr="003A562A">
        <w:rPr>
          <w:rFonts w:cs="Arial"/>
          <w:i/>
          <w:iCs/>
          <w:shd w:val="clear" w:color="auto" w:fill="FFFFFF"/>
        </w:rPr>
        <w:t>33</w:t>
      </w:r>
      <w:r w:rsidRPr="003A562A">
        <w:rPr>
          <w:rFonts w:cs="Arial"/>
          <w:shd w:val="clear" w:color="auto" w:fill="FFFFFF"/>
        </w:rPr>
        <w:t>(5), pp.1413-1436.</w:t>
      </w:r>
    </w:p>
    <w:p w14:paraId="31DE750C" w14:textId="77777777" w:rsidR="003A562A" w:rsidRPr="003A562A" w:rsidRDefault="003A562A" w:rsidP="003A562A">
      <w:pPr>
        <w:rPr>
          <w:rFonts w:cs="Arial"/>
        </w:rPr>
      </w:pPr>
      <w:r w:rsidRPr="003A562A">
        <w:rPr>
          <w:rFonts w:cs="Arial"/>
        </w:rPr>
        <w:t xml:space="preserve">Tranter, K. Stuart-Hill,T. and Parker, J. (2014) </w:t>
      </w:r>
      <w:r w:rsidRPr="003A562A">
        <w:rPr>
          <w:rFonts w:cs="Arial"/>
          <w:i/>
          <w:iCs/>
        </w:rPr>
        <w:t>Introduction to Revenue Management for the Hospitality Industry</w:t>
      </w:r>
      <w:r w:rsidRPr="003A562A">
        <w:rPr>
          <w:rFonts w:cs="Arial"/>
        </w:rPr>
        <w:t>. London, Pearson.</w:t>
      </w:r>
    </w:p>
    <w:p w14:paraId="3E3D1045" w14:textId="77777777" w:rsidR="003A562A" w:rsidRPr="003A562A" w:rsidRDefault="003A562A" w:rsidP="003A562A">
      <w:pPr>
        <w:rPr>
          <w:rFonts w:cs="Arial"/>
        </w:rPr>
      </w:pPr>
      <w:r w:rsidRPr="003A562A">
        <w:rPr>
          <w:rFonts w:cs="Arial"/>
        </w:rPr>
        <w:t xml:space="preserve">Walker, J. (2021) </w:t>
      </w:r>
      <w:r w:rsidRPr="003A562A">
        <w:rPr>
          <w:rFonts w:cs="Arial"/>
          <w:i/>
          <w:iCs/>
        </w:rPr>
        <w:t>Introduction to Hospitality</w:t>
      </w:r>
      <w:r w:rsidRPr="003A562A">
        <w:rPr>
          <w:rFonts w:cs="Arial"/>
        </w:rPr>
        <w:t>. Harlow, Pearson.</w:t>
      </w:r>
    </w:p>
    <w:p w14:paraId="47A608C6" w14:textId="77777777" w:rsidR="003A562A" w:rsidRPr="003A562A" w:rsidRDefault="003A562A" w:rsidP="003A562A">
      <w:pPr>
        <w:rPr>
          <w:rFonts w:cs="Arial"/>
          <w:shd w:val="clear" w:color="auto" w:fill="FFFFFF"/>
        </w:rPr>
      </w:pPr>
      <w:r w:rsidRPr="003A562A">
        <w:rPr>
          <w:rFonts w:cs="Arial"/>
          <w:shd w:val="clear" w:color="auto" w:fill="FFFFFF"/>
        </w:rPr>
        <w:t>Yousaf, Z., Radulescu, M., Nassani, A., Aldakhil, A.M. and Jianu, E., (2021) Environmental management system towards the environmental performance of hotel industry: does corporate social Responsibility authenticity matter? </w:t>
      </w:r>
      <w:r w:rsidRPr="003A562A">
        <w:rPr>
          <w:rFonts w:cs="Arial"/>
          <w:i/>
          <w:iCs/>
          <w:shd w:val="clear" w:color="auto" w:fill="FFFFFF"/>
        </w:rPr>
        <w:t>Engineering Economics</w:t>
      </w:r>
      <w:r w:rsidRPr="003A562A">
        <w:rPr>
          <w:rFonts w:cs="Arial"/>
          <w:shd w:val="clear" w:color="auto" w:fill="FFFFFF"/>
        </w:rPr>
        <w:t>, </w:t>
      </w:r>
      <w:r w:rsidRPr="003A562A">
        <w:rPr>
          <w:rFonts w:cs="Arial"/>
          <w:i/>
          <w:iCs/>
          <w:shd w:val="clear" w:color="auto" w:fill="FFFFFF"/>
        </w:rPr>
        <w:t>32</w:t>
      </w:r>
      <w:r w:rsidRPr="003A562A">
        <w:rPr>
          <w:rFonts w:cs="Arial"/>
          <w:shd w:val="clear" w:color="auto" w:fill="FFFFFF"/>
        </w:rPr>
        <w:t>(5), pp.484-498.</w:t>
      </w:r>
    </w:p>
    <w:sectPr w:rsidR="003A562A" w:rsidRPr="003A562A" w:rsidSect="008A2585">
      <w:footerReference w:type="default" r:id="rId13"/>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9C67C" w14:textId="77777777" w:rsidR="00D110D7" w:rsidRPr="00145CFE" w:rsidRDefault="00D110D7" w:rsidP="00E22C31">
      <w:pPr>
        <w:spacing w:before="0" w:after="0" w:line="240" w:lineRule="auto"/>
      </w:pPr>
      <w:r w:rsidRPr="00145CFE">
        <w:separator/>
      </w:r>
    </w:p>
  </w:endnote>
  <w:endnote w:type="continuationSeparator" w:id="0">
    <w:p w14:paraId="73C934BE" w14:textId="77777777" w:rsidR="00D110D7" w:rsidRPr="00145CFE" w:rsidRDefault="00D110D7" w:rsidP="00E22C31">
      <w:pPr>
        <w:spacing w:before="0" w:after="0" w:line="240" w:lineRule="auto"/>
      </w:pPr>
      <w:r w:rsidRPr="00145C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1188988"/>
      <w:docPartObj>
        <w:docPartGallery w:val="Page Numbers (Bottom of Page)"/>
        <w:docPartUnique/>
      </w:docPartObj>
    </w:sdtPr>
    <w:sdtEndPr/>
    <w:sdtContent>
      <w:p w14:paraId="32F1429A" w14:textId="284A9328" w:rsidR="00E85C55" w:rsidRPr="00145CFE" w:rsidRDefault="00E85C55">
        <w:pPr>
          <w:pStyle w:val="Footer"/>
          <w:jc w:val="center"/>
        </w:pPr>
        <w:r w:rsidRPr="00145CFE">
          <w:fldChar w:fldCharType="begin"/>
        </w:r>
        <w:r w:rsidRPr="00145CFE">
          <w:instrText xml:space="preserve"> PAGE   \* MERGEFORMAT </w:instrText>
        </w:r>
        <w:r w:rsidRPr="00145CFE">
          <w:fldChar w:fldCharType="separate"/>
        </w:r>
        <w:r w:rsidRPr="00145CFE">
          <w:t>2</w:t>
        </w:r>
        <w:r w:rsidRPr="00145CFE">
          <w:fldChar w:fldCharType="end"/>
        </w:r>
      </w:p>
    </w:sdtContent>
  </w:sdt>
  <w:p w14:paraId="173EC3D1" w14:textId="77777777" w:rsidR="00E85C55" w:rsidRPr="00145CFE" w:rsidRDefault="00E85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CFF78" w14:textId="77777777" w:rsidR="00D110D7" w:rsidRPr="00145CFE" w:rsidRDefault="00D110D7" w:rsidP="00E22C31">
      <w:pPr>
        <w:spacing w:before="0" w:after="0" w:line="240" w:lineRule="auto"/>
      </w:pPr>
      <w:r w:rsidRPr="00145CFE">
        <w:separator/>
      </w:r>
    </w:p>
  </w:footnote>
  <w:footnote w:type="continuationSeparator" w:id="0">
    <w:p w14:paraId="10F1A670" w14:textId="77777777" w:rsidR="00D110D7" w:rsidRPr="00145CFE" w:rsidRDefault="00D110D7" w:rsidP="00E22C31">
      <w:pPr>
        <w:spacing w:before="0" w:after="0" w:line="240" w:lineRule="auto"/>
      </w:pPr>
      <w:r w:rsidRPr="00145CF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ED63BA"/>
    <w:multiLevelType w:val="hybridMultilevel"/>
    <w:tmpl w:val="43904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162842"/>
    <w:multiLevelType w:val="hybridMultilevel"/>
    <w:tmpl w:val="5CF457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4720237">
    <w:abstractNumId w:val="1"/>
  </w:num>
  <w:num w:numId="2" w16cid:durableId="8773577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CzNDEwNDS0MDU0MDNT0lEKTi0uzszPAykwrAUACG5hpywAAAA="/>
  </w:docVars>
  <w:rsids>
    <w:rsidRoot w:val="00DC4B7C"/>
    <w:rsid w:val="000073D3"/>
    <w:rsid w:val="0001155A"/>
    <w:rsid w:val="00042B6E"/>
    <w:rsid w:val="0004309C"/>
    <w:rsid w:val="00060EF2"/>
    <w:rsid w:val="00071914"/>
    <w:rsid w:val="000C4681"/>
    <w:rsid w:val="000D18D1"/>
    <w:rsid w:val="00143F67"/>
    <w:rsid w:val="00145CFE"/>
    <w:rsid w:val="001B195E"/>
    <w:rsid w:val="001E7E4A"/>
    <w:rsid w:val="001F2E99"/>
    <w:rsid w:val="001F6F6C"/>
    <w:rsid w:val="001F7FAD"/>
    <w:rsid w:val="00244E4F"/>
    <w:rsid w:val="002E44B0"/>
    <w:rsid w:val="00320AD6"/>
    <w:rsid w:val="00327756"/>
    <w:rsid w:val="003369E6"/>
    <w:rsid w:val="003A562A"/>
    <w:rsid w:val="003E70BC"/>
    <w:rsid w:val="003F17B4"/>
    <w:rsid w:val="00402FE9"/>
    <w:rsid w:val="00432549"/>
    <w:rsid w:val="004439CD"/>
    <w:rsid w:val="005057DD"/>
    <w:rsid w:val="0057524A"/>
    <w:rsid w:val="00591073"/>
    <w:rsid w:val="00591C02"/>
    <w:rsid w:val="005A2C00"/>
    <w:rsid w:val="005A31B3"/>
    <w:rsid w:val="005B1635"/>
    <w:rsid w:val="00624830"/>
    <w:rsid w:val="00694060"/>
    <w:rsid w:val="006C6713"/>
    <w:rsid w:val="006E178F"/>
    <w:rsid w:val="00772642"/>
    <w:rsid w:val="007746B4"/>
    <w:rsid w:val="0081656D"/>
    <w:rsid w:val="00823C7C"/>
    <w:rsid w:val="00854178"/>
    <w:rsid w:val="00857F71"/>
    <w:rsid w:val="00865C15"/>
    <w:rsid w:val="00884880"/>
    <w:rsid w:val="008A2585"/>
    <w:rsid w:val="0091768F"/>
    <w:rsid w:val="00954962"/>
    <w:rsid w:val="00A37BED"/>
    <w:rsid w:val="00A65A57"/>
    <w:rsid w:val="00AA5236"/>
    <w:rsid w:val="00AD53A2"/>
    <w:rsid w:val="00AE6A60"/>
    <w:rsid w:val="00B265D0"/>
    <w:rsid w:val="00B74865"/>
    <w:rsid w:val="00BE47DF"/>
    <w:rsid w:val="00C21912"/>
    <w:rsid w:val="00C24F21"/>
    <w:rsid w:val="00C32F29"/>
    <w:rsid w:val="00CC5458"/>
    <w:rsid w:val="00CE5957"/>
    <w:rsid w:val="00D110D7"/>
    <w:rsid w:val="00D74AFA"/>
    <w:rsid w:val="00D85889"/>
    <w:rsid w:val="00D859D3"/>
    <w:rsid w:val="00DB492A"/>
    <w:rsid w:val="00DC18D4"/>
    <w:rsid w:val="00DC4B7C"/>
    <w:rsid w:val="00DC56F4"/>
    <w:rsid w:val="00DE1AEA"/>
    <w:rsid w:val="00E132B5"/>
    <w:rsid w:val="00E22C31"/>
    <w:rsid w:val="00E36BE6"/>
    <w:rsid w:val="00E70F59"/>
    <w:rsid w:val="00E84B70"/>
    <w:rsid w:val="00E85C55"/>
    <w:rsid w:val="00EC5093"/>
    <w:rsid w:val="00ED0D23"/>
    <w:rsid w:val="00EE221E"/>
    <w:rsid w:val="00F0795E"/>
    <w:rsid w:val="00F101C5"/>
    <w:rsid w:val="00F119EB"/>
    <w:rsid w:val="00F17ADA"/>
    <w:rsid w:val="00F85B49"/>
    <w:rsid w:val="00F91A6D"/>
    <w:rsid w:val="00FB53BB"/>
    <w:rsid w:val="00FD11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6C6CD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19EB"/>
    <w:pPr>
      <w:spacing w:before="120" w:after="240" w:line="360" w:lineRule="auto"/>
      <w:jc w:val="both"/>
    </w:pPr>
    <w:rPr>
      <w:rFonts w:ascii="Arial" w:hAnsi="Arial"/>
      <w:noProof/>
      <w:sz w:val="24"/>
      <w:lang w:val="en-GB"/>
    </w:rPr>
  </w:style>
  <w:style w:type="paragraph" w:styleId="Heading1">
    <w:name w:val="heading 1"/>
    <w:basedOn w:val="Normal"/>
    <w:next w:val="Normal"/>
    <w:link w:val="Heading1Char"/>
    <w:uiPriority w:val="9"/>
    <w:qFormat/>
    <w:rsid w:val="00DC4B7C"/>
    <w:pPr>
      <w:keepNext/>
      <w:keepLines/>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B1635"/>
    <w:pPr>
      <w:keepNext/>
      <w:keepLines/>
      <w:spacing w:before="40" w:after="0"/>
      <w:outlineLvl w:val="1"/>
    </w:pPr>
    <w:rPr>
      <w:rFonts w:eastAsiaTheme="majorEastAsia" w:cstheme="majorBidi"/>
      <w:color w:val="2F5496"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4B7C"/>
    <w:rPr>
      <w:rFonts w:ascii="Times New Roman" w:eastAsiaTheme="majorEastAsia" w:hAnsi="Times New Roman" w:cstheme="majorBidi"/>
      <w:b/>
      <w:color w:val="2F5496" w:themeColor="accent1" w:themeShade="BF"/>
      <w:sz w:val="32"/>
      <w:szCs w:val="32"/>
    </w:rPr>
  </w:style>
  <w:style w:type="table" w:styleId="TableGrid">
    <w:name w:val="Table Grid"/>
    <w:basedOn w:val="TableNormal"/>
    <w:uiPriority w:val="39"/>
    <w:rsid w:val="00DC4B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5B1635"/>
    <w:rPr>
      <w:rFonts w:ascii="Times New Roman" w:eastAsiaTheme="majorEastAsia" w:hAnsi="Times New Roman" w:cstheme="majorBidi"/>
      <w:color w:val="2F5496" w:themeColor="accent1" w:themeShade="BF"/>
      <w:sz w:val="28"/>
      <w:szCs w:val="26"/>
    </w:rPr>
  </w:style>
  <w:style w:type="paragraph" w:styleId="NoSpacing">
    <w:name w:val="No Spacing"/>
    <w:uiPriority w:val="1"/>
    <w:qFormat/>
    <w:rsid w:val="00F0795E"/>
    <w:pPr>
      <w:spacing w:after="0" w:line="360" w:lineRule="auto"/>
      <w:jc w:val="both"/>
    </w:pPr>
    <w:rPr>
      <w:rFonts w:ascii="Times New Roman" w:hAnsi="Times New Roman"/>
      <w:sz w:val="24"/>
    </w:rPr>
  </w:style>
  <w:style w:type="paragraph" w:styleId="NormalWeb">
    <w:name w:val="Normal (Web)"/>
    <w:basedOn w:val="Normal"/>
    <w:uiPriority w:val="99"/>
    <w:semiHidden/>
    <w:unhideWhenUsed/>
    <w:rsid w:val="00CC5458"/>
    <w:pPr>
      <w:spacing w:before="100" w:beforeAutospacing="1" w:after="100" w:afterAutospacing="1" w:line="240" w:lineRule="auto"/>
      <w:jc w:val="left"/>
    </w:pPr>
    <w:rPr>
      <w:rFonts w:eastAsia="Times New Roman" w:cs="Times New Roman"/>
      <w:kern w:val="0"/>
      <w:szCs w:val="24"/>
      <w14:ligatures w14:val="none"/>
    </w:rPr>
  </w:style>
  <w:style w:type="paragraph" w:styleId="ListParagraph">
    <w:name w:val="List Paragraph"/>
    <w:basedOn w:val="Normal"/>
    <w:uiPriority w:val="34"/>
    <w:qFormat/>
    <w:rsid w:val="00E22C31"/>
    <w:pPr>
      <w:ind w:left="720"/>
      <w:contextualSpacing/>
    </w:pPr>
  </w:style>
  <w:style w:type="paragraph" w:styleId="TOCHeading">
    <w:name w:val="TOC Heading"/>
    <w:basedOn w:val="Heading1"/>
    <w:next w:val="Normal"/>
    <w:uiPriority w:val="39"/>
    <w:unhideWhenUsed/>
    <w:qFormat/>
    <w:rsid w:val="00E22C31"/>
    <w:pPr>
      <w:spacing w:before="240" w:after="0" w:line="259" w:lineRule="auto"/>
      <w:jc w:val="left"/>
      <w:outlineLvl w:val="9"/>
    </w:pPr>
    <w:rPr>
      <w:rFonts w:asciiTheme="majorHAnsi" w:hAnsiTheme="majorHAnsi"/>
      <w:b w:val="0"/>
      <w:kern w:val="0"/>
      <w14:ligatures w14:val="none"/>
    </w:rPr>
  </w:style>
  <w:style w:type="paragraph" w:styleId="TOC1">
    <w:name w:val="toc 1"/>
    <w:basedOn w:val="Normal"/>
    <w:next w:val="Normal"/>
    <w:autoRedefine/>
    <w:uiPriority w:val="39"/>
    <w:unhideWhenUsed/>
    <w:rsid w:val="00E22C31"/>
    <w:pPr>
      <w:spacing w:after="100"/>
    </w:pPr>
  </w:style>
  <w:style w:type="character" w:styleId="Hyperlink">
    <w:name w:val="Hyperlink"/>
    <w:basedOn w:val="DefaultParagraphFont"/>
    <w:uiPriority w:val="99"/>
    <w:unhideWhenUsed/>
    <w:rsid w:val="00E22C31"/>
    <w:rPr>
      <w:color w:val="0563C1" w:themeColor="hyperlink"/>
      <w:u w:val="single"/>
    </w:rPr>
  </w:style>
  <w:style w:type="paragraph" w:customStyle="1" w:styleId="TableParagraph">
    <w:name w:val="Table Paragraph"/>
    <w:basedOn w:val="Normal"/>
    <w:uiPriority w:val="1"/>
    <w:qFormat/>
    <w:rsid w:val="00E22C31"/>
    <w:pPr>
      <w:widowControl w:val="0"/>
      <w:autoSpaceDE w:val="0"/>
      <w:autoSpaceDN w:val="0"/>
      <w:spacing w:before="0" w:after="0" w:line="240" w:lineRule="auto"/>
      <w:jc w:val="left"/>
    </w:pPr>
    <w:rPr>
      <w:rFonts w:ascii="Arial MT" w:eastAsia="Arial MT" w:hAnsi="Arial MT" w:cs="Arial MT"/>
      <w:kern w:val="0"/>
      <w:sz w:val="22"/>
      <w14:ligatures w14:val="none"/>
    </w:rPr>
  </w:style>
  <w:style w:type="paragraph" w:styleId="Header">
    <w:name w:val="header"/>
    <w:basedOn w:val="Normal"/>
    <w:link w:val="HeaderChar"/>
    <w:uiPriority w:val="99"/>
    <w:unhideWhenUsed/>
    <w:rsid w:val="00E22C31"/>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E22C31"/>
    <w:rPr>
      <w:rFonts w:ascii="Times New Roman" w:hAnsi="Times New Roman"/>
      <w:sz w:val="24"/>
    </w:rPr>
  </w:style>
  <w:style w:type="paragraph" w:styleId="Footer">
    <w:name w:val="footer"/>
    <w:basedOn w:val="Normal"/>
    <w:link w:val="FooterChar"/>
    <w:uiPriority w:val="99"/>
    <w:unhideWhenUsed/>
    <w:rsid w:val="00E22C31"/>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E22C3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861688">
      <w:bodyDiv w:val="1"/>
      <w:marLeft w:val="0"/>
      <w:marRight w:val="0"/>
      <w:marTop w:val="0"/>
      <w:marBottom w:val="0"/>
      <w:divBdr>
        <w:top w:val="none" w:sz="0" w:space="0" w:color="auto"/>
        <w:left w:val="none" w:sz="0" w:space="0" w:color="auto"/>
        <w:bottom w:val="none" w:sz="0" w:space="0" w:color="auto"/>
        <w:right w:val="none" w:sz="0" w:space="0" w:color="auto"/>
      </w:divBdr>
    </w:div>
    <w:div w:id="282537861">
      <w:bodyDiv w:val="1"/>
      <w:marLeft w:val="0"/>
      <w:marRight w:val="0"/>
      <w:marTop w:val="0"/>
      <w:marBottom w:val="0"/>
      <w:divBdr>
        <w:top w:val="none" w:sz="0" w:space="0" w:color="auto"/>
        <w:left w:val="none" w:sz="0" w:space="0" w:color="auto"/>
        <w:bottom w:val="none" w:sz="0" w:space="0" w:color="auto"/>
        <w:right w:val="none" w:sz="0" w:space="0" w:color="auto"/>
      </w:divBdr>
    </w:div>
    <w:div w:id="344941358">
      <w:bodyDiv w:val="1"/>
      <w:marLeft w:val="0"/>
      <w:marRight w:val="0"/>
      <w:marTop w:val="0"/>
      <w:marBottom w:val="0"/>
      <w:divBdr>
        <w:top w:val="none" w:sz="0" w:space="0" w:color="auto"/>
        <w:left w:val="none" w:sz="0" w:space="0" w:color="auto"/>
        <w:bottom w:val="none" w:sz="0" w:space="0" w:color="auto"/>
        <w:right w:val="none" w:sz="0" w:space="0" w:color="auto"/>
      </w:divBdr>
      <w:divsChild>
        <w:div w:id="154076548">
          <w:marLeft w:val="0"/>
          <w:marRight w:val="0"/>
          <w:marTop w:val="0"/>
          <w:marBottom w:val="0"/>
          <w:divBdr>
            <w:top w:val="none" w:sz="0" w:space="0" w:color="auto"/>
            <w:left w:val="none" w:sz="0" w:space="0" w:color="auto"/>
            <w:bottom w:val="none" w:sz="0" w:space="0" w:color="auto"/>
            <w:right w:val="none" w:sz="0" w:space="0" w:color="auto"/>
          </w:divBdr>
        </w:div>
      </w:divsChild>
    </w:div>
    <w:div w:id="744494793">
      <w:bodyDiv w:val="1"/>
      <w:marLeft w:val="0"/>
      <w:marRight w:val="0"/>
      <w:marTop w:val="0"/>
      <w:marBottom w:val="0"/>
      <w:divBdr>
        <w:top w:val="none" w:sz="0" w:space="0" w:color="auto"/>
        <w:left w:val="none" w:sz="0" w:space="0" w:color="auto"/>
        <w:bottom w:val="none" w:sz="0" w:space="0" w:color="auto"/>
        <w:right w:val="none" w:sz="0" w:space="0" w:color="auto"/>
      </w:divBdr>
    </w:div>
    <w:div w:id="830561201">
      <w:bodyDiv w:val="1"/>
      <w:marLeft w:val="0"/>
      <w:marRight w:val="0"/>
      <w:marTop w:val="0"/>
      <w:marBottom w:val="0"/>
      <w:divBdr>
        <w:top w:val="none" w:sz="0" w:space="0" w:color="auto"/>
        <w:left w:val="none" w:sz="0" w:space="0" w:color="auto"/>
        <w:bottom w:val="none" w:sz="0" w:space="0" w:color="auto"/>
        <w:right w:val="none" w:sz="0" w:space="0" w:color="auto"/>
      </w:divBdr>
    </w:div>
    <w:div w:id="2021814298">
      <w:bodyDiv w:val="1"/>
      <w:marLeft w:val="0"/>
      <w:marRight w:val="0"/>
      <w:marTop w:val="0"/>
      <w:marBottom w:val="0"/>
      <w:divBdr>
        <w:top w:val="none" w:sz="0" w:space="0" w:color="auto"/>
        <w:left w:val="none" w:sz="0" w:space="0" w:color="auto"/>
        <w:bottom w:val="none" w:sz="0" w:space="0" w:color="auto"/>
        <w:right w:val="none" w:sz="0" w:space="0" w:color="auto"/>
      </w:divBdr>
      <w:divsChild>
        <w:div w:id="170032620">
          <w:marLeft w:val="0"/>
          <w:marRight w:val="0"/>
          <w:marTop w:val="0"/>
          <w:marBottom w:val="0"/>
          <w:divBdr>
            <w:top w:val="none" w:sz="0" w:space="0" w:color="auto"/>
            <w:left w:val="none" w:sz="0" w:space="0" w:color="auto"/>
            <w:bottom w:val="none" w:sz="0" w:space="0" w:color="auto"/>
            <w:right w:val="none" w:sz="0" w:space="0" w:color="auto"/>
          </w:divBdr>
        </w:div>
      </w:divsChild>
    </w:div>
    <w:div w:id="2032799566">
      <w:bodyDiv w:val="1"/>
      <w:marLeft w:val="0"/>
      <w:marRight w:val="0"/>
      <w:marTop w:val="0"/>
      <w:marBottom w:val="0"/>
      <w:divBdr>
        <w:top w:val="none" w:sz="0" w:space="0" w:color="auto"/>
        <w:left w:val="none" w:sz="0" w:space="0" w:color="auto"/>
        <w:bottom w:val="none" w:sz="0" w:space="0" w:color="auto"/>
        <w:right w:val="none" w:sz="0" w:space="0" w:color="auto"/>
      </w:divBdr>
      <w:divsChild>
        <w:div w:id="1157185470">
          <w:marLeft w:val="0"/>
          <w:marRight w:val="0"/>
          <w:marTop w:val="0"/>
          <w:marBottom w:val="0"/>
          <w:divBdr>
            <w:top w:val="none" w:sz="0" w:space="0" w:color="auto"/>
            <w:left w:val="none" w:sz="0" w:space="0" w:color="auto"/>
            <w:bottom w:val="none" w:sz="0" w:space="0" w:color="auto"/>
            <w:right w:val="none" w:sz="0" w:space="0" w:color="auto"/>
          </w:divBdr>
        </w:div>
      </w:divsChild>
    </w:div>
    <w:div w:id="209559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3.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r>
              <a:rPr lang="en-US">
                <a:solidFill>
                  <a:srgbClr val="0070C0"/>
                </a:solidFill>
              </a:rPr>
              <a:t>Revenue</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General</c:formatCode>
                <c:ptCount val="4"/>
                <c:pt idx="0">
                  <c:v>0</c:v>
                </c:pt>
                <c:pt idx="1">
                  <c:v>-12</c:v>
                </c:pt>
                <c:pt idx="2">
                  <c:v>-18</c:v>
                </c:pt>
              </c:numCache>
            </c:numRef>
          </c:val>
          <c:smooth val="0"/>
          <c:extLst>
            <c:ext xmlns:c16="http://schemas.microsoft.com/office/drawing/2014/chart" uri="{C3380CC4-5D6E-409C-BE32-E72D297353CC}">
              <c16:uniqueId val="{00000000-3BD0-4546-AB2C-76455E8753FC}"/>
            </c:ext>
          </c:extLst>
        </c:ser>
        <c:ser>
          <c:idx val="1"/>
          <c:order val="1"/>
          <c:tx>
            <c:strRef>
              <c:f>Sheet1!$C$1</c:f>
              <c:strCache>
                <c:ptCount val="1"/>
                <c:pt idx="0">
                  <c:v>Column1</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Sheet1!$C$2:$C$5</c:f>
              <c:numCache>
                <c:formatCode>General</c:formatCode>
                <c:ptCount val="4"/>
              </c:numCache>
            </c:numRef>
          </c:val>
          <c:smooth val="0"/>
          <c:extLst>
            <c:ext xmlns:c16="http://schemas.microsoft.com/office/drawing/2014/chart" uri="{C3380CC4-5D6E-409C-BE32-E72D297353CC}">
              <c16:uniqueId val="{00000001-3BD0-4546-AB2C-76455E8753FC}"/>
            </c:ext>
          </c:extLst>
        </c:ser>
        <c:ser>
          <c:idx val="2"/>
          <c:order val="2"/>
          <c:tx>
            <c:strRef>
              <c:f>Sheet1!$D$1</c:f>
              <c:strCache>
                <c:ptCount val="1"/>
                <c:pt idx="0">
                  <c:v>Column2</c:v>
                </c:pt>
              </c:strCache>
            </c:strRef>
          </c:tx>
          <c:spPr>
            <a:ln w="22225" cap="rnd" cmpd="sng" algn="ctr">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Sheet1!$D$2:$D$5</c:f>
              <c:numCache>
                <c:formatCode>General</c:formatCode>
                <c:ptCount val="4"/>
              </c:numCache>
            </c:numRef>
          </c:val>
          <c:smooth val="0"/>
          <c:extLst>
            <c:ext xmlns:c16="http://schemas.microsoft.com/office/drawing/2014/chart" uri="{C3380CC4-5D6E-409C-BE32-E72D297353CC}">
              <c16:uniqueId val="{00000002-3BD0-4546-AB2C-76455E8753FC}"/>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037950367"/>
        <c:axId val="1037951807"/>
      </c:lineChart>
      <c:catAx>
        <c:axId val="1037950367"/>
        <c:scaling>
          <c:orientation val="minMax"/>
        </c:scaling>
        <c:delete val="0"/>
        <c:axPos val="b"/>
        <c:title>
          <c:tx>
            <c:rich>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037951807"/>
        <c:crosses val="autoZero"/>
        <c:auto val="1"/>
        <c:lblAlgn val="ctr"/>
        <c:lblOffset val="100"/>
        <c:noMultiLvlLbl val="0"/>
      </c:catAx>
      <c:valAx>
        <c:axId val="1037951807"/>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Changes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037950367"/>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r>
              <a:rPr lang="en-US">
                <a:solidFill>
                  <a:srgbClr val="0070C0"/>
                </a:solidFill>
              </a:rPr>
              <a:t>Operating Expense</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0.00%</c:formatCode>
                <c:ptCount val="4"/>
                <c:pt idx="0" formatCode="General">
                  <c:v>0</c:v>
                </c:pt>
                <c:pt idx="1">
                  <c:v>0.111</c:v>
                </c:pt>
                <c:pt idx="2" formatCode="0%">
                  <c:v>0.15</c:v>
                </c:pt>
              </c:numCache>
            </c:numRef>
          </c:val>
          <c:smooth val="0"/>
          <c:extLst>
            <c:ext xmlns:c16="http://schemas.microsoft.com/office/drawing/2014/chart" uri="{C3380CC4-5D6E-409C-BE32-E72D297353CC}">
              <c16:uniqueId val="{00000000-8CA0-4F6A-B33A-5BEB2697EAE6}"/>
            </c:ext>
          </c:extLst>
        </c:ser>
        <c:ser>
          <c:idx val="1"/>
          <c:order val="1"/>
          <c:tx>
            <c:strRef>
              <c:f>Sheet1!$C$1</c:f>
              <c:strCache>
                <c:ptCount val="1"/>
                <c:pt idx="0">
                  <c:v>Column1</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Sheet1!$C$2:$C$5</c:f>
              <c:numCache>
                <c:formatCode>General</c:formatCode>
                <c:ptCount val="4"/>
              </c:numCache>
            </c:numRef>
          </c:val>
          <c:smooth val="0"/>
          <c:extLst>
            <c:ext xmlns:c16="http://schemas.microsoft.com/office/drawing/2014/chart" uri="{C3380CC4-5D6E-409C-BE32-E72D297353CC}">
              <c16:uniqueId val="{00000001-8CA0-4F6A-B33A-5BEB2697EAE6}"/>
            </c:ext>
          </c:extLst>
        </c:ser>
        <c:ser>
          <c:idx val="2"/>
          <c:order val="2"/>
          <c:tx>
            <c:strRef>
              <c:f>Sheet1!$D$1</c:f>
              <c:strCache>
                <c:ptCount val="1"/>
                <c:pt idx="0">
                  <c:v>Column2</c:v>
                </c:pt>
              </c:strCache>
            </c:strRef>
          </c:tx>
          <c:spPr>
            <a:ln w="22225" cap="rnd" cmpd="sng" algn="ctr">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Sheet1!$D$2:$D$5</c:f>
              <c:numCache>
                <c:formatCode>General</c:formatCode>
                <c:ptCount val="4"/>
              </c:numCache>
            </c:numRef>
          </c:val>
          <c:smooth val="0"/>
          <c:extLst>
            <c:ext xmlns:c16="http://schemas.microsoft.com/office/drawing/2014/chart" uri="{C3380CC4-5D6E-409C-BE32-E72D297353CC}">
              <c16:uniqueId val="{00000002-8CA0-4F6A-B33A-5BEB2697EAE6}"/>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87365823"/>
        <c:axId val="1287369663"/>
      </c:lineChart>
      <c:catAx>
        <c:axId val="1287365823"/>
        <c:scaling>
          <c:orientation val="minMax"/>
        </c:scaling>
        <c:delete val="0"/>
        <c:axPos val="b"/>
        <c:title>
          <c:tx>
            <c:rich>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9663"/>
        <c:crosses val="autoZero"/>
        <c:auto val="1"/>
        <c:lblAlgn val="ctr"/>
        <c:lblOffset val="100"/>
        <c:noMultiLvlLbl val="0"/>
      </c:catAx>
      <c:valAx>
        <c:axId val="1287369663"/>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CHANGES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5823"/>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r>
              <a:rPr lang="en-US">
                <a:solidFill>
                  <a:srgbClr val="0070C0"/>
                </a:solidFill>
              </a:rPr>
              <a:t>Gross Profit Margin</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0.00%</c:formatCode>
                <c:ptCount val="4"/>
                <c:pt idx="0" formatCode="0%">
                  <c:v>0.28000000000000003</c:v>
                </c:pt>
                <c:pt idx="1">
                  <c:v>0.09</c:v>
                </c:pt>
                <c:pt idx="2" formatCode="0%">
                  <c:v>-0.27800000000000002</c:v>
                </c:pt>
              </c:numCache>
            </c:numRef>
          </c:val>
          <c:smooth val="0"/>
          <c:extLst>
            <c:ext xmlns:c16="http://schemas.microsoft.com/office/drawing/2014/chart" uri="{C3380CC4-5D6E-409C-BE32-E72D297353CC}">
              <c16:uniqueId val="{00000000-75F9-4907-829A-B593264B6EED}"/>
            </c:ext>
          </c:extLst>
        </c:ser>
        <c:ser>
          <c:idx val="1"/>
          <c:order val="1"/>
          <c:tx>
            <c:strRef>
              <c:f>Sheet1!$C$1</c:f>
              <c:strCache>
                <c:ptCount val="1"/>
                <c:pt idx="0">
                  <c:v>Column1</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Sheet1!$C$2:$C$5</c:f>
              <c:numCache>
                <c:formatCode>General</c:formatCode>
                <c:ptCount val="4"/>
              </c:numCache>
            </c:numRef>
          </c:val>
          <c:smooth val="0"/>
          <c:extLst>
            <c:ext xmlns:c16="http://schemas.microsoft.com/office/drawing/2014/chart" uri="{C3380CC4-5D6E-409C-BE32-E72D297353CC}">
              <c16:uniqueId val="{00000001-75F9-4907-829A-B593264B6EED}"/>
            </c:ext>
          </c:extLst>
        </c:ser>
        <c:ser>
          <c:idx val="2"/>
          <c:order val="2"/>
          <c:tx>
            <c:strRef>
              <c:f>Sheet1!$D$1</c:f>
              <c:strCache>
                <c:ptCount val="1"/>
                <c:pt idx="0">
                  <c:v>Column2</c:v>
                </c:pt>
              </c:strCache>
            </c:strRef>
          </c:tx>
          <c:spPr>
            <a:ln w="22225" cap="rnd" cmpd="sng" algn="ctr">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Sheet1!$D$2:$D$5</c:f>
              <c:numCache>
                <c:formatCode>General</c:formatCode>
                <c:ptCount val="4"/>
              </c:numCache>
            </c:numRef>
          </c:val>
          <c:smooth val="0"/>
          <c:extLst>
            <c:ext xmlns:c16="http://schemas.microsoft.com/office/drawing/2014/chart" uri="{C3380CC4-5D6E-409C-BE32-E72D297353CC}">
              <c16:uniqueId val="{00000002-75F9-4907-829A-B593264B6EED}"/>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87365823"/>
        <c:axId val="1287369663"/>
      </c:lineChart>
      <c:catAx>
        <c:axId val="1287365823"/>
        <c:scaling>
          <c:orientation val="minMax"/>
        </c:scaling>
        <c:delete val="0"/>
        <c:axPos val="b"/>
        <c:title>
          <c:tx>
            <c:rich>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9663"/>
        <c:crosses val="autoZero"/>
        <c:auto val="1"/>
        <c:lblAlgn val="ctr"/>
        <c:lblOffset val="100"/>
        <c:noMultiLvlLbl val="0"/>
      </c:catAx>
      <c:valAx>
        <c:axId val="1287369663"/>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CHANGES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5823"/>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r>
              <a:rPr lang="en-US">
                <a:solidFill>
                  <a:srgbClr val="0070C0"/>
                </a:solidFill>
              </a:rPr>
              <a:t>Current Ratio</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0.00%</c:formatCode>
                <c:ptCount val="4"/>
                <c:pt idx="0">
                  <c:v>1.7999999999999999E-2</c:v>
                </c:pt>
                <c:pt idx="1">
                  <c:v>0.01</c:v>
                </c:pt>
                <c:pt idx="2">
                  <c:v>6.0000000000000001E-3</c:v>
                </c:pt>
              </c:numCache>
            </c:numRef>
          </c:val>
          <c:smooth val="0"/>
          <c:extLst>
            <c:ext xmlns:c16="http://schemas.microsoft.com/office/drawing/2014/chart" uri="{C3380CC4-5D6E-409C-BE32-E72D297353CC}">
              <c16:uniqueId val="{00000000-6F20-4835-9046-ED4833F35BC9}"/>
            </c:ext>
          </c:extLst>
        </c:ser>
        <c:ser>
          <c:idx val="1"/>
          <c:order val="1"/>
          <c:tx>
            <c:strRef>
              <c:f>Sheet1!$C$1</c:f>
              <c:strCache>
                <c:ptCount val="1"/>
                <c:pt idx="0">
                  <c:v>Column1</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Sheet1!$C$2:$C$5</c:f>
              <c:numCache>
                <c:formatCode>General</c:formatCode>
                <c:ptCount val="4"/>
              </c:numCache>
            </c:numRef>
          </c:val>
          <c:smooth val="0"/>
          <c:extLst>
            <c:ext xmlns:c16="http://schemas.microsoft.com/office/drawing/2014/chart" uri="{C3380CC4-5D6E-409C-BE32-E72D297353CC}">
              <c16:uniqueId val="{00000001-6F20-4835-9046-ED4833F35BC9}"/>
            </c:ext>
          </c:extLst>
        </c:ser>
        <c:ser>
          <c:idx val="2"/>
          <c:order val="2"/>
          <c:tx>
            <c:strRef>
              <c:f>Sheet1!$D$1</c:f>
              <c:strCache>
                <c:ptCount val="1"/>
                <c:pt idx="0">
                  <c:v>Column2</c:v>
                </c:pt>
              </c:strCache>
            </c:strRef>
          </c:tx>
          <c:spPr>
            <a:ln w="22225" cap="rnd" cmpd="sng" algn="ctr">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Sheet1!$D$2:$D$5</c:f>
              <c:numCache>
                <c:formatCode>General</c:formatCode>
                <c:ptCount val="4"/>
              </c:numCache>
            </c:numRef>
          </c:val>
          <c:smooth val="0"/>
          <c:extLst>
            <c:ext xmlns:c16="http://schemas.microsoft.com/office/drawing/2014/chart" uri="{C3380CC4-5D6E-409C-BE32-E72D297353CC}">
              <c16:uniqueId val="{00000002-6F20-4835-9046-ED4833F35BC9}"/>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87365823"/>
        <c:axId val="1287369663"/>
      </c:lineChart>
      <c:catAx>
        <c:axId val="1287365823"/>
        <c:scaling>
          <c:orientation val="minMax"/>
        </c:scaling>
        <c:delete val="0"/>
        <c:axPos val="b"/>
        <c:title>
          <c:tx>
            <c:rich>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9663"/>
        <c:crosses val="autoZero"/>
        <c:auto val="1"/>
        <c:lblAlgn val="ctr"/>
        <c:lblOffset val="100"/>
        <c:noMultiLvlLbl val="0"/>
      </c:catAx>
      <c:valAx>
        <c:axId val="1287369663"/>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CHANGES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5823"/>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r>
              <a:rPr lang="en-US">
                <a:solidFill>
                  <a:srgbClr val="0070C0"/>
                </a:solidFill>
              </a:rPr>
              <a:t>Debt-to-Equity Ratio</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rgbClr val="0070C0"/>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Sheet1!$B$2:$B$5</c:f>
              <c:numCache>
                <c:formatCode>0.00%</c:formatCode>
                <c:ptCount val="4"/>
                <c:pt idx="0">
                  <c:v>1.3599999999999999E-2</c:v>
                </c:pt>
                <c:pt idx="1">
                  <c:v>1.6400000000000001E-2</c:v>
                </c:pt>
                <c:pt idx="2">
                  <c:v>2.1700000000000001E-2</c:v>
                </c:pt>
              </c:numCache>
            </c:numRef>
          </c:val>
          <c:smooth val="0"/>
          <c:extLst>
            <c:ext xmlns:c16="http://schemas.microsoft.com/office/drawing/2014/chart" uri="{C3380CC4-5D6E-409C-BE32-E72D297353CC}">
              <c16:uniqueId val="{00000000-2B50-4AE5-8A00-B7D08BDF3FB7}"/>
            </c:ext>
          </c:extLst>
        </c:ser>
        <c:ser>
          <c:idx val="1"/>
          <c:order val="1"/>
          <c:tx>
            <c:strRef>
              <c:f>Sheet1!$C$1</c:f>
              <c:strCache>
                <c:ptCount val="1"/>
                <c:pt idx="0">
                  <c:v>Column1</c:v>
                </c:pt>
              </c:strCache>
            </c:strRef>
          </c:tx>
          <c:spPr>
            <a:ln w="22225" cap="rnd" cmpd="sng" algn="ctr">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Sheet1!$C$2:$C$5</c:f>
              <c:numCache>
                <c:formatCode>General</c:formatCode>
                <c:ptCount val="4"/>
              </c:numCache>
            </c:numRef>
          </c:val>
          <c:smooth val="0"/>
          <c:extLst>
            <c:ext xmlns:c16="http://schemas.microsoft.com/office/drawing/2014/chart" uri="{C3380CC4-5D6E-409C-BE32-E72D297353CC}">
              <c16:uniqueId val="{00000001-2B50-4AE5-8A00-B7D08BDF3FB7}"/>
            </c:ext>
          </c:extLst>
        </c:ser>
        <c:ser>
          <c:idx val="2"/>
          <c:order val="2"/>
          <c:tx>
            <c:strRef>
              <c:f>Sheet1!$D$1</c:f>
              <c:strCache>
                <c:ptCount val="1"/>
                <c:pt idx="0">
                  <c:v>Column2</c:v>
                </c:pt>
              </c:strCache>
            </c:strRef>
          </c:tx>
          <c:spPr>
            <a:ln w="22225" cap="rnd" cmpd="sng" algn="ctr">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Sheet1!$A$2:$A$5</c:f>
              <c:numCache>
                <c:formatCode>General</c:formatCode>
                <c:ptCount val="4"/>
                <c:pt idx="0">
                  <c:v>2021</c:v>
                </c:pt>
                <c:pt idx="1">
                  <c:v>2022</c:v>
                </c:pt>
                <c:pt idx="2">
                  <c:v>2023</c:v>
                </c:pt>
              </c:numCache>
            </c:numRef>
          </c:cat>
          <c:val>
            <c:numRef>
              <c:f>Sheet1!$D$2:$D$5</c:f>
              <c:numCache>
                <c:formatCode>General</c:formatCode>
                <c:ptCount val="4"/>
              </c:numCache>
            </c:numRef>
          </c:val>
          <c:smooth val="0"/>
          <c:extLst>
            <c:ext xmlns:c16="http://schemas.microsoft.com/office/drawing/2014/chart" uri="{C3380CC4-5D6E-409C-BE32-E72D297353CC}">
              <c16:uniqueId val="{00000002-2B50-4AE5-8A00-B7D08BDF3FB7}"/>
            </c:ext>
          </c:extLst>
        </c:ser>
        <c:dLbls>
          <c:dLblPos val="t"/>
          <c:showLegendKey val="0"/>
          <c:showVal val="1"/>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87365823"/>
        <c:axId val="1287369663"/>
      </c:lineChart>
      <c:catAx>
        <c:axId val="1287365823"/>
        <c:scaling>
          <c:orientation val="minMax"/>
        </c:scaling>
        <c:delete val="0"/>
        <c:axPos val="b"/>
        <c:title>
          <c:tx>
            <c:rich>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YEARS</a:t>
                </a:r>
              </a:p>
            </c:rich>
          </c:tx>
          <c:overlay val="0"/>
          <c:spPr>
            <a:noFill/>
            <a:ln>
              <a:noFill/>
            </a:ln>
            <a:effectLst/>
          </c:spPr>
          <c:txPr>
            <a:bodyPr rot="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9663"/>
        <c:crosses val="autoZero"/>
        <c:auto val="1"/>
        <c:lblAlgn val="ctr"/>
        <c:lblOffset val="100"/>
        <c:noMultiLvlLbl val="0"/>
      </c:catAx>
      <c:valAx>
        <c:axId val="1287369663"/>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r>
                  <a:rPr lang="en-US">
                    <a:solidFill>
                      <a:srgbClr val="0070C0"/>
                    </a:solidFill>
                  </a:rPr>
                  <a:t>CHANGES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rgbClr val="0070C0"/>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87365823"/>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901E9-265C-4348-BB24-6E9713996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2801</Words>
  <Characters>17259</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2024-06-06T15:47:00Z</dcterms:created>
  <dcterms:modified xsi:type="dcterms:W3CDTF">2024-06-06T15:47:00Z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2024-05-20T15:59:56Z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c05fec80-6747-4a8a-9e55-2c28673bdbab</vt:lpwstr>
  </property>
  <property fmtid="{D5CDD505-2E9C-101B-9397-08002B2CF9AE}" pid="8" name="MSIP_Label_defa4170-0d19-0005-0004-bc88714345d2_ContentBits">
    <vt:lpwstr>0</vt:lpwstr>
  </property>
</Properties>
</file>