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Student Name: Aneesa Khatoon</w:t>
      </w:r>
    </w:p>
    <w:p w:rsidR="00000000" w:rsidDel="00000000" w:rsidP="00000000" w:rsidRDefault="00000000" w:rsidRPr="00000000" w14:paraId="00000002">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Student Number: 2425422</w:t>
      </w:r>
    </w:p>
    <w:p w:rsidR="00000000" w:rsidDel="00000000" w:rsidP="00000000" w:rsidRDefault="00000000" w:rsidRPr="00000000" w14:paraId="00000003">
      <w:pPr>
        <w:jc w:val="center"/>
        <w:rPr>
          <w:rFonts w:ascii="Arial" w:cs="Arial" w:eastAsia="Arial" w:hAnsi="Arial"/>
          <w:b w:val="1"/>
          <w:bCs w:val="1"/>
        </w:rPr>
      </w:pPr>
      <w:r w:rsidDel="00000000" w:rsidR="00000000" w:rsidRPr="00000000">
        <w:rPr>
          <w:rFonts w:ascii="Arial" w:cs="Arial" w:eastAsia="Arial" w:hAnsi="Arial"/>
          <w:b w:val="1"/>
          <w:bCs w:val="1"/>
          <w:sz w:val="28"/>
          <w:szCs w:val="28"/>
          <w:rtl w:val="0"/>
        </w:rPr>
        <w:t xml:space="preserve">Lecturer Name: Helen Parsons</w:t>
      </w:r>
      <w:r w:rsidDel="00000000" w:rsidR="00000000" w:rsidRPr="00000000">
        <w:rPr>
          <w:rtl w:val="0"/>
        </w:rPr>
      </w:r>
    </w:p>
    <w:p w:rsidR="00000000" w:rsidDel="00000000" w:rsidP="00000000" w:rsidRDefault="00000000" w:rsidRPr="00000000" w14:paraId="00000004">
      <w:pPr>
        <w:jc w:val="center"/>
        <w:rPr>
          <w:b w:val="1"/>
          <w:bCs w:val="1"/>
          <w:sz w:val="28"/>
          <w:szCs w:val="28"/>
        </w:rPr>
      </w:pPr>
      <w:r w:rsidDel="00000000" w:rsidR="00000000" w:rsidRPr="00000000">
        <w:rPr>
          <w:b w:val="1"/>
          <w:bCs w:val="1"/>
          <w:sz w:val="28"/>
          <w:szCs w:val="28"/>
          <w:rtl w:val="0"/>
        </w:rPr>
        <w:t xml:space="preserve">Module: Psychology in Health and Social Care</w:t>
      </w:r>
    </w:p>
    <w:p w:rsidR="00000000" w:rsidDel="00000000" w:rsidP="00000000" w:rsidRDefault="00000000" w:rsidRPr="00000000" w14:paraId="00000005">
      <w:pPr>
        <w:jc w:val="center"/>
        <w:rPr>
          <w:b w:val="1"/>
          <w:bCs w:val="1"/>
          <w:sz w:val="28"/>
          <w:szCs w:val="28"/>
        </w:rPr>
      </w:pPr>
      <w:r w:rsidDel="00000000" w:rsidR="00000000" w:rsidRPr="00000000">
        <w:rPr>
          <w:b w:val="1"/>
          <w:bCs w:val="1"/>
          <w:sz w:val="28"/>
          <w:szCs w:val="28"/>
          <w:rtl w:val="0"/>
        </w:rPr>
        <w:t xml:space="preserve">Module code: LCHS4010</w:t>
      </w:r>
    </w:p>
    <w:p w:rsidR="00000000" w:rsidDel="00000000" w:rsidP="00000000" w:rsidRDefault="00000000" w:rsidRPr="00000000" w14:paraId="00000006">
      <w:pPr>
        <w:jc w:val="center"/>
        <w:rPr>
          <w:rFonts w:ascii="Arial" w:cs="Arial" w:eastAsia="Arial" w:hAnsi="Arial"/>
          <w:b w:val="1"/>
          <w:bCs w:val="1"/>
          <w:sz w:val="28"/>
          <w:szCs w:val="28"/>
        </w:rPr>
      </w:pPr>
      <w:r w:rsidDel="00000000" w:rsidR="00000000" w:rsidRPr="00000000">
        <w:rPr>
          <w:b w:val="1"/>
          <w:bCs w:val="1"/>
          <w:sz w:val="28"/>
          <w:szCs w:val="28"/>
          <w:rtl w:val="0"/>
        </w:rPr>
        <w:t xml:space="preserve">Assignment Title: Assessment 2: Bibliography &amp; Report</w:t>
      </w:r>
      <w:r w:rsidDel="00000000" w:rsidR="00000000" w:rsidRPr="00000000">
        <w:rPr>
          <w:rtl w:val="0"/>
        </w:rPr>
      </w:r>
    </w:p>
    <w:p w:rsidR="00000000" w:rsidDel="00000000" w:rsidP="00000000" w:rsidRDefault="00000000" w:rsidRPr="00000000" w14:paraId="00000007">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8">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9">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A">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B">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C">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D">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E">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F">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0">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1">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2">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3">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4">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5">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6">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7">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8">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Play" w:cs="Play" w:eastAsia="Play" w:hAnsi="Play"/>
          <w:b w:val="1"/>
          <w:bCs w:val="1"/>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1"/>
          <w:bCs w:val="1"/>
          <w:i w:val="0"/>
          <w:iCs w:val="0"/>
          <w:smallCaps w:val="0"/>
          <w:strike w:val="0"/>
          <w:color w:val="0f4761"/>
          <w:sz w:val="32"/>
          <w:szCs w:val="32"/>
          <w:u w:val="none"/>
          <w:shd w:fill="auto" w:val="clear"/>
          <w:vertAlign w:val="baseline"/>
          <w:rtl w:val="0"/>
        </w:rPr>
        <w:t xml:space="preserve">Table of Contents</w:t>
      </w:r>
    </w:p>
    <w:sdt>
      <w:sdtPr>
        <w:id w:val="-1610087338"/>
        <w:docPartObj>
          <w:docPartGallery w:val="Table of Contents"/>
          <w:docPartUnique w:val="1"/>
        </w:docPartObj>
      </w:sdtPr>
      <w:sdtContent>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360" w:lineRule="auto"/>
            <w:ind w:left="0" w:right="0" w:firstLine="0"/>
            <w:jc w:val="left"/>
            <w:rPr>
              <w:rFonts w:ascii="Aptos" w:cs="Aptos" w:eastAsia="Aptos" w:hAnsi="Aptos"/>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tle0ossw1bze">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Part A: Annotated Bibliography</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20" w:right="0" w:firstLine="0"/>
            <w:jc w:val="left"/>
            <w:rPr>
              <w:rFonts w:ascii="Aptos" w:cs="Aptos" w:eastAsia="Aptos" w:hAnsi="Aptos"/>
              <w:b w:val="0"/>
              <w:bCs w:val="0"/>
              <w:i w:val="1"/>
              <w:iCs w:val="1"/>
              <w:smallCaps w:val="0"/>
              <w:strike w:val="0"/>
              <w:color w:val="000000"/>
              <w:sz w:val="22"/>
              <w:szCs w:val="22"/>
              <w:u w:val="none"/>
              <w:shd w:fill="auto" w:val="clear"/>
              <w:vertAlign w:val="baseline"/>
            </w:rPr>
          </w:pPr>
          <w:hyperlink w:anchor="_heading=h.nd0k791zlzbb">
            <w:r w:rsidDel="00000000" w:rsidR="00000000" w:rsidRPr="00000000">
              <w:rPr>
                <w:rFonts w:ascii="Aptos" w:cs="Aptos" w:eastAsia="Aptos" w:hAnsi="Aptos"/>
                <w:b w:val="0"/>
                <w:bCs w:val="0"/>
                <w:i w:val="1"/>
                <w:iCs w:val="1"/>
                <w:smallCaps w:val="0"/>
                <w:strike w:val="0"/>
                <w:color w:val="000000"/>
                <w:sz w:val="22"/>
                <w:szCs w:val="22"/>
                <w:u w:val="none"/>
                <w:shd w:fill="auto" w:val="clear"/>
                <w:vertAlign w:val="baseline"/>
                <w:rtl w:val="0"/>
              </w:rPr>
              <w:t xml:space="preserve">Piaget’s Theory of Cognitive Development</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20" w:right="0" w:firstLine="0"/>
            <w:jc w:val="left"/>
            <w:rPr>
              <w:rFonts w:ascii="Aptos" w:cs="Aptos" w:eastAsia="Aptos" w:hAnsi="Aptos"/>
              <w:b w:val="0"/>
              <w:bCs w:val="0"/>
              <w:i w:val="1"/>
              <w:iCs w:val="1"/>
              <w:smallCaps w:val="0"/>
              <w:strike w:val="0"/>
              <w:color w:val="000000"/>
              <w:sz w:val="22"/>
              <w:szCs w:val="22"/>
              <w:u w:val="none"/>
              <w:shd w:fill="auto" w:val="clear"/>
              <w:vertAlign w:val="baseline"/>
            </w:rPr>
          </w:pPr>
          <w:hyperlink w:anchor="_heading=h.9zashnhxmcyd">
            <w:r w:rsidDel="00000000" w:rsidR="00000000" w:rsidRPr="00000000">
              <w:rPr>
                <w:rFonts w:ascii="Aptos" w:cs="Aptos" w:eastAsia="Aptos" w:hAnsi="Aptos"/>
                <w:b w:val="0"/>
                <w:bCs w:val="0"/>
                <w:i w:val="1"/>
                <w:iCs w:val="1"/>
                <w:smallCaps w:val="0"/>
                <w:strike w:val="0"/>
                <w:color w:val="000000"/>
                <w:sz w:val="22"/>
                <w:szCs w:val="22"/>
                <w:u w:val="none"/>
                <w:shd w:fill="auto" w:val="clear"/>
                <w:vertAlign w:val="baseline"/>
                <w:rtl w:val="0"/>
              </w:rPr>
              <w:t xml:space="preserve">Bowlby’s Attachment Theory</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360" w:lineRule="auto"/>
            <w:ind w:left="0" w:right="0" w:firstLine="0"/>
            <w:jc w:val="left"/>
            <w:rPr>
              <w:rFonts w:ascii="Aptos" w:cs="Aptos" w:eastAsia="Aptos" w:hAnsi="Aptos"/>
              <w:b w:val="1"/>
              <w:bCs w:val="1"/>
              <w:i w:val="0"/>
              <w:iCs w:val="0"/>
              <w:smallCaps w:val="0"/>
              <w:strike w:val="0"/>
              <w:color w:val="000000"/>
              <w:sz w:val="22"/>
              <w:szCs w:val="22"/>
              <w:u w:val="none"/>
              <w:shd w:fill="auto" w:val="clear"/>
              <w:vertAlign w:val="baseline"/>
            </w:rPr>
          </w:pPr>
          <w:hyperlink w:anchor="_heading=h.3pioxb387bnd">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Part B: Short Report: Improving Psychological Wellbeing in Older Adults Using Attachment Theory</w:t>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20" w:right="0" w:firstLine="0"/>
            <w:jc w:val="left"/>
            <w:rPr>
              <w:rFonts w:ascii="Aptos" w:cs="Aptos" w:eastAsia="Aptos" w:hAnsi="Aptos"/>
              <w:b w:val="0"/>
              <w:bCs w:val="0"/>
              <w:i w:val="1"/>
              <w:iCs w:val="1"/>
              <w:smallCaps w:val="0"/>
              <w:strike w:val="0"/>
              <w:color w:val="000000"/>
              <w:sz w:val="22"/>
              <w:szCs w:val="22"/>
              <w:u w:val="none"/>
              <w:shd w:fill="auto" w:val="clear"/>
              <w:vertAlign w:val="baseline"/>
            </w:rPr>
          </w:pPr>
          <w:hyperlink w:anchor="_heading=h.1ibua2w2lbut">
            <w:r w:rsidDel="00000000" w:rsidR="00000000" w:rsidRPr="00000000">
              <w:rPr>
                <w:rFonts w:ascii="Aptos" w:cs="Aptos" w:eastAsia="Aptos" w:hAnsi="Aptos"/>
                <w:b w:val="0"/>
                <w:bCs w:val="0"/>
                <w:i w:val="1"/>
                <w:iCs w:val="1"/>
                <w:smallCaps w:val="0"/>
                <w:strike w:val="0"/>
                <w:color w:val="000000"/>
                <w:sz w:val="22"/>
                <w:szCs w:val="22"/>
                <w:u w:val="none"/>
                <w:shd w:fill="auto" w:val="clear"/>
                <w:vertAlign w:val="baseline"/>
                <w:rtl w:val="0"/>
              </w:rPr>
              <w:t xml:space="preserve">Introduction</w:t>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20" w:right="0" w:firstLine="0"/>
            <w:jc w:val="left"/>
            <w:rPr>
              <w:rFonts w:ascii="Aptos" w:cs="Aptos" w:eastAsia="Aptos" w:hAnsi="Aptos"/>
              <w:b w:val="0"/>
              <w:bCs w:val="0"/>
              <w:i w:val="1"/>
              <w:iCs w:val="1"/>
              <w:smallCaps w:val="0"/>
              <w:strike w:val="0"/>
              <w:color w:val="000000"/>
              <w:sz w:val="22"/>
              <w:szCs w:val="22"/>
              <w:u w:val="none"/>
              <w:shd w:fill="auto" w:val="clear"/>
              <w:vertAlign w:val="baseline"/>
            </w:rPr>
          </w:pPr>
          <w:hyperlink w:anchor="_heading=h.ahfavzozmm1o">
            <w:r w:rsidDel="00000000" w:rsidR="00000000" w:rsidRPr="00000000">
              <w:rPr>
                <w:rFonts w:ascii="Aptos" w:cs="Aptos" w:eastAsia="Aptos" w:hAnsi="Aptos"/>
                <w:b w:val="0"/>
                <w:bCs w:val="0"/>
                <w:i w:val="1"/>
                <w:iCs w:val="1"/>
                <w:smallCaps w:val="0"/>
                <w:strike w:val="0"/>
                <w:color w:val="000000"/>
                <w:sz w:val="22"/>
                <w:szCs w:val="22"/>
                <w:u w:val="none"/>
                <w:shd w:fill="auto" w:val="clear"/>
                <w:vertAlign w:val="baseline"/>
                <w:rtl w:val="0"/>
              </w:rPr>
              <w:t xml:space="preserve">Overview of Attachment Theory</w:t>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20" w:right="0" w:firstLine="0"/>
            <w:jc w:val="left"/>
            <w:rPr>
              <w:rFonts w:ascii="Aptos" w:cs="Aptos" w:eastAsia="Aptos" w:hAnsi="Aptos"/>
              <w:b w:val="0"/>
              <w:bCs w:val="0"/>
              <w:i w:val="1"/>
              <w:iCs w:val="1"/>
              <w:smallCaps w:val="0"/>
              <w:strike w:val="0"/>
              <w:color w:val="000000"/>
              <w:sz w:val="22"/>
              <w:szCs w:val="22"/>
              <w:u w:val="none"/>
              <w:shd w:fill="auto" w:val="clear"/>
              <w:vertAlign w:val="baseline"/>
            </w:rPr>
          </w:pPr>
          <w:hyperlink w:anchor="_heading=h.ilzuh5h81ru1">
            <w:r w:rsidDel="00000000" w:rsidR="00000000" w:rsidRPr="00000000">
              <w:rPr>
                <w:rFonts w:ascii="Aptos" w:cs="Aptos" w:eastAsia="Aptos" w:hAnsi="Aptos"/>
                <w:b w:val="0"/>
                <w:bCs w:val="0"/>
                <w:i w:val="1"/>
                <w:iCs w:val="1"/>
                <w:smallCaps w:val="0"/>
                <w:strike w:val="0"/>
                <w:color w:val="000000"/>
                <w:sz w:val="22"/>
                <w:szCs w:val="22"/>
                <w:u w:val="none"/>
                <w:shd w:fill="auto" w:val="clear"/>
                <w:vertAlign w:val="baseline"/>
                <w:rtl w:val="0"/>
              </w:rPr>
              <w:t xml:space="preserve">Application in Residential Care</w:t>
              <w:tab/>
              <w:t xml:space="preserve">6</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20" w:right="0" w:firstLine="0"/>
            <w:jc w:val="left"/>
            <w:rPr>
              <w:rFonts w:ascii="Aptos" w:cs="Aptos" w:eastAsia="Aptos" w:hAnsi="Aptos"/>
              <w:b w:val="0"/>
              <w:bCs w:val="0"/>
              <w:i w:val="1"/>
              <w:iCs w:val="1"/>
              <w:smallCaps w:val="0"/>
              <w:strike w:val="0"/>
              <w:color w:val="000000"/>
              <w:sz w:val="22"/>
              <w:szCs w:val="22"/>
              <w:u w:val="none"/>
              <w:shd w:fill="auto" w:val="clear"/>
              <w:vertAlign w:val="baseline"/>
            </w:rPr>
          </w:pPr>
          <w:hyperlink w:anchor="_heading=h.i563qu61kqil">
            <w:r w:rsidDel="00000000" w:rsidR="00000000" w:rsidRPr="00000000">
              <w:rPr>
                <w:rFonts w:ascii="Aptos" w:cs="Aptos" w:eastAsia="Aptos" w:hAnsi="Aptos"/>
                <w:b w:val="0"/>
                <w:bCs w:val="0"/>
                <w:i w:val="1"/>
                <w:iCs w:val="1"/>
                <w:smallCaps w:val="0"/>
                <w:strike w:val="0"/>
                <w:color w:val="000000"/>
                <w:sz w:val="22"/>
                <w:szCs w:val="22"/>
                <w:u w:val="none"/>
                <w:shd w:fill="auto" w:val="clear"/>
                <w:vertAlign w:val="baseline"/>
                <w:rtl w:val="0"/>
              </w:rPr>
              <w:t xml:space="preserve">Case Scenario</w:t>
              <w:tab/>
              <w:t xml:space="preserve">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20" w:right="0" w:firstLine="0"/>
            <w:jc w:val="left"/>
            <w:rPr>
              <w:rFonts w:ascii="Aptos" w:cs="Aptos" w:eastAsia="Aptos" w:hAnsi="Aptos"/>
              <w:b w:val="0"/>
              <w:bCs w:val="0"/>
              <w:i w:val="1"/>
              <w:iCs w:val="1"/>
              <w:smallCaps w:val="0"/>
              <w:strike w:val="0"/>
              <w:color w:val="000000"/>
              <w:sz w:val="22"/>
              <w:szCs w:val="22"/>
              <w:u w:val="none"/>
              <w:shd w:fill="auto" w:val="clear"/>
              <w:vertAlign w:val="baseline"/>
            </w:rPr>
          </w:pPr>
          <w:hyperlink w:anchor="_heading=h.k4hlxkh0nyot">
            <w:r w:rsidDel="00000000" w:rsidR="00000000" w:rsidRPr="00000000">
              <w:rPr>
                <w:rFonts w:ascii="Aptos" w:cs="Aptos" w:eastAsia="Aptos" w:hAnsi="Aptos"/>
                <w:b w:val="0"/>
                <w:bCs w:val="0"/>
                <w:i w:val="1"/>
                <w:iCs w:val="1"/>
                <w:smallCaps w:val="0"/>
                <w:strike w:val="0"/>
                <w:color w:val="000000"/>
                <w:sz w:val="22"/>
                <w:szCs w:val="22"/>
                <w:u w:val="none"/>
                <w:shd w:fill="auto" w:val="clear"/>
                <w:vertAlign w:val="baseline"/>
                <w:rtl w:val="0"/>
              </w:rPr>
              <w:t xml:space="preserve">Challenges in Applying Attachment Theory</w:t>
              <w:tab/>
              <w:t xml:space="preserve">7</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20" w:right="0" w:firstLine="0"/>
            <w:jc w:val="left"/>
            <w:rPr>
              <w:rFonts w:ascii="Aptos" w:cs="Aptos" w:eastAsia="Aptos" w:hAnsi="Aptos"/>
              <w:b w:val="0"/>
              <w:bCs w:val="0"/>
              <w:i w:val="1"/>
              <w:iCs w:val="1"/>
              <w:smallCaps w:val="0"/>
              <w:strike w:val="0"/>
              <w:color w:val="000000"/>
              <w:sz w:val="22"/>
              <w:szCs w:val="22"/>
              <w:u w:val="none"/>
              <w:shd w:fill="auto" w:val="clear"/>
              <w:vertAlign w:val="baseline"/>
            </w:rPr>
          </w:pPr>
          <w:hyperlink w:anchor="_heading=h.mmynzqh4rw5t">
            <w:r w:rsidDel="00000000" w:rsidR="00000000" w:rsidRPr="00000000">
              <w:rPr>
                <w:rFonts w:ascii="Aptos" w:cs="Aptos" w:eastAsia="Aptos" w:hAnsi="Aptos"/>
                <w:b w:val="0"/>
                <w:bCs w:val="0"/>
                <w:i w:val="1"/>
                <w:iCs w:val="1"/>
                <w:smallCaps w:val="0"/>
                <w:strike w:val="0"/>
                <w:color w:val="000000"/>
                <w:sz w:val="22"/>
                <w:szCs w:val="22"/>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240" w:line="360" w:lineRule="auto"/>
            <w:ind w:left="0" w:right="0" w:firstLine="0"/>
            <w:jc w:val="left"/>
            <w:rPr>
              <w:rFonts w:ascii="Aptos" w:cs="Aptos" w:eastAsia="Aptos" w:hAnsi="Aptos"/>
              <w:b w:val="1"/>
              <w:bCs w:val="1"/>
              <w:i w:val="0"/>
              <w:iCs w:val="0"/>
              <w:smallCaps w:val="0"/>
              <w:strike w:val="0"/>
              <w:color w:val="000000"/>
              <w:sz w:val="22"/>
              <w:szCs w:val="22"/>
              <w:u w:val="none"/>
              <w:shd w:fill="auto" w:val="clear"/>
              <w:vertAlign w:val="baseline"/>
            </w:rPr>
          </w:pPr>
          <w:hyperlink w:anchor="_heading=h.ajytldgrcvjr">
            <w:r w:rsidDel="00000000" w:rsidR="00000000" w:rsidRPr="00000000">
              <w:rPr>
                <w:rFonts w:ascii="Aptos" w:cs="Aptos" w:eastAsia="Aptos" w:hAnsi="Aptos"/>
                <w:b w:val="1"/>
                <w:bCs w:val="1"/>
                <w:i w:val="0"/>
                <w:iCs w:val="0"/>
                <w:smallCaps w:val="0"/>
                <w:strike w:val="0"/>
                <w:color w:val="000000"/>
                <w:sz w:val="22"/>
                <w:szCs w:val="22"/>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25">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7">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8">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9">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A">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B">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C">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D">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E">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2F">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30">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31">
      <w:pPr>
        <w:pStyle w:val="Heading1"/>
        <w:rPr/>
      </w:pPr>
      <w:bookmarkStart w:colFirst="0" w:colLast="0" w:name="_heading=h.tle0ossw1bze" w:id="0"/>
      <w:bookmarkEnd w:id="0"/>
      <w:r w:rsidDel="00000000" w:rsidR="00000000" w:rsidRPr="00000000">
        <w:rPr>
          <w:rtl w:val="0"/>
        </w:rPr>
        <w:t xml:space="preserve">Part A: Annotated Bibliography</w:t>
      </w:r>
    </w:p>
    <w:p w:rsidR="00000000" w:rsidDel="00000000" w:rsidP="00000000" w:rsidRDefault="00000000" w:rsidRPr="00000000" w14:paraId="00000032">
      <w:pPr>
        <w:pStyle w:val="Heading2"/>
        <w:rPr/>
      </w:pPr>
      <w:bookmarkStart w:colFirst="0" w:colLast="0" w:name="_heading=h.nd0k791zlzbb" w:id="1"/>
      <w:bookmarkEnd w:id="1"/>
      <w:r w:rsidDel="00000000" w:rsidR="00000000" w:rsidRPr="00000000">
        <w:rPr>
          <w:rFonts w:ascii="Arial" w:cs="Arial" w:eastAsia="Arial" w:hAnsi="Arial"/>
          <w:b w:val="1"/>
          <w:bCs w:val="1"/>
          <w:rtl w:val="0"/>
        </w:rPr>
        <w:t xml:space="preserve">Piaget’s Theory of Cognitive Development</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Study 1:</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br w:type="textWrapping"/>
        <w:t xml:space="preserve">Baldwin, L. (2019) ‘Cognitive and Emotional Development of Young People and the Development of Resilience’, in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Nursing Skills for Children and Young People’s Mental Health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Springer, pp. 37–53. Available at: </w:t>
      </w:r>
      <w:hyperlink r:id="rId7">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https://doi.org/10.1007/978-3-030-18679-1_3</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Summary:</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Baldwin explains the significance of comprehending developmental levels in children and adolescents and concentrates on cognitive development as well as emotional development. The chapter also displays the interplay between cognitive development and identity formation, resilience, and trauma reactions with practical applications in nursing and care practice. Awareness of developmental stage is positioned as a key to successful engagement and support.</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Critical Comment:</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Although the study mostly involves younger generations, the concepts of Piagetian development apply indirectly to the older generations. Knowledge of cognitive stages may guide communication of health professionals with older adults who have cognitive decline, including dementia. This focus on individualized developmental support is also similar to the importance of specific interventions in adult care, but the research does not directly cover adult cognition, which limits its direct applicability. The translation of child-oriented thinking to adult situations should be adapted with caution and shown to be effective in older adults (Mahoney, 2003).</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Study 2</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br w:type="textWrapping"/>
        <w:t xml:space="preserve">Larcher, V. (2025) ‘Children Are Not Small Adults: Significance of Biological and Cognitive Development in Medical Practice’, in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Handbook of the Philosophy of Medicine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Dordrecht: Springer Netherlands, pp. 435–457. Available at: </w:t>
      </w:r>
      <w:hyperlink r:id="rId8">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https://doi.org/10.1007/978-94-024-2252-8_16</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Summary:</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Larcher believes that children cannot be seen as small-scale adults because of their unique biological, cognitive, and moral growth. The article explains the cognitive development process in stages, which influences decision-making, moral reasoning, and legal recognition. These sequential developmental processes are supported by neuroimaging findings and the authors emphasize the role played by adults in facilitating the development of the child without infringing on their fledgling autonomy.</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Critical Comment</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Even though the analysis is connected with children, its developmental stages allow comprehending cognitive aging and moral cognition in elderly people. These concepts can help health professionals to assess decision-making ability and embrace autonomy and provide specific care for cognitively impaired individuals. Nevertheless, because the study is based on children, its application to older adults cannot be directly supported and should be done with caution, considering the differences in ages (Gan et al., 2023).</w:t>
      </w:r>
    </w:p>
    <w:p w:rsidR="00000000" w:rsidDel="00000000" w:rsidP="00000000" w:rsidRDefault="00000000" w:rsidRPr="00000000" w14:paraId="0000003F">
      <w:pPr>
        <w:pStyle w:val="Heading2"/>
        <w:rPr/>
      </w:pPr>
      <w:bookmarkStart w:colFirst="0" w:colLast="0" w:name="_heading=h.9zashnhxmcyd" w:id="2"/>
      <w:bookmarkEnd w:id="2"/>
      <w:r w:rsidDel="00000000" w:rsidR="00000000" w:rsidRPr="00000000">
        <w:rPr>
          <w:rFonts w:ascii="Arial" w:cs="Arial" w:eastAsia="Arial" w:hAnsi="Arial"/>
          <w:b w:val="1"/>
          <w:bCs w:val="1"/>
          <w:rtl w:val="0"/>
        </w:rPr>
        <w:t xml:space="preserve">Bowlby’s Attachment Theory</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Study 1:</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br w:type="textWrapping"/>
        <w:t xml:space="preserve">Bucci, S., et al. (2014) ‘Using attachment theory to inform the design and delivery of mental health services: A systematic review of the literature’,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Psychology and Psychotherapy: Theory, Research and Practice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88(1), pp. 1–20. Available at: </w:t>
      </w:r>
      <w:hyperlink r:id="rId9">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https://doi.org/10.1111/papt.12029</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Summary:</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review article examines the effects of attachment theory on the development of mental health services in adolescents and adults. It acknowledges eight broad themes, including policy, assessment, intervention, staff support and service evaluation. The evidence suggests that a better understanding of the attachment needs of service users has led to improved engagement, therapeutic outcomes and service design. The review further reports a paucity of experimental studies that demonstrated attachment-informed service models to quantifiable patient outcomes.</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Critical Comment:</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Attachment theory finds great application in older adults particularly those who are socially isolated, bereaved, or cognitively impaired. Trust, emotional control, and responsiveness can be enhanced in the care environment through designing services that consider attachment needs (Strauss and Brenk-Franz, 2016). But since the review is more concerned with long-term residential or secure care services in younger populations, it is limited in direct applicability. Further studies are necessary to confirm the effectiveness of attachment-informed interventions on the wellbeing of older adults by age, as age-specific adaptation and evidence-based practice are of utmost importance in older adult services.</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Study 2:</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br w:type="textWrapping"/>
        <w:t xml:space="preserve">Strauss, B. and Brenk-Franz, K. (2016) ‘The Relevance of Attachment Theory in Medical Care’, in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Improving Patient Treatment with Attachment Theory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Springer, pp. 39–52. Available at: </w:t>
      </w:r>
      <w:hyperlink r:id="rId10">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https://doi.org/10.1007/978-3-319-23300-0_4</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Summary:</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Strauss and Brenk-Franz explain how attachment theory offers a biopsychosocial construct that supports individual variations in attachment and their connections to affect regulation, stress response, and interpersonal relationships. This paper stresses that knowledge of attachment patterns can improve clinical judgment and treatment planning. The application of the theory throughout the lifespan is supported by evidence in developmental psychology and interventions, such as Strange Situation by Ainsworth.</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Critical Comment:</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research is directly applicable to older adults in health and social care, especially in supporting emotionally sensitive treatment of dependency-vulnerable or relationally vulnerable individuals. The identification of attachment patterns can support caregiver-patient relationships, emotional support, and mental health and wellbeing interventions. However, the majority of the aforementioned research ones are development, not gerontological, and practitioners need to apply developmental attachment-based interventions to older persons and context-specific psychosocial processes in adult populations attentively (Bucci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2014; Mahoney, 2003).</w:t>
      </w:r>
    </w:p>
    <w:p w:rsidR="00000000" w:rsidDel="00000000" w:rsidP="00000000" w:rsidRDefault="00000000" w:rsidRPr="00000000" w14:paraId="0000004C">
      <w:pPr>
        <w:jc w:val="both"/>
        <w:rPr>
          <w:rFonts w:ascii="Arial" w:cs="Arial" w:eastAsia="Arial" w:hAnsi="Arial"/>
        </w:rPr>
      </w:pPr>
      <w:r w:rsidDel="00000000" w:rsidR="00000000" w:rsidRPr="00000000">
        <w:rPr>
          <w:rtl w:val="0"/>
        </w:rPr>
      </w:r>
    </w:p>
    <w:p w:rsidR="00000000" w:rsidDel="00000000" w:rsidP="00000000" w:rsidRDefault="00000000" w:rsidRPr="00000000" w14:paraId="0000004D">
      <w:pPr>
        <w:jc w:val="both"/>
        <w:rPr>
          <w:rFonts w:ascii="Arial" w:cs="Arial" w:eastAsia="Arial" w:hAnsi="Arial"/>
        </w:rPr>
      </w:pPr>
      <w:r w:rsidDel="00000000" w:rsidR="00000000" w:rsidRPr="00000000">
        <w:rPr>
          <w:rtl w:val="0"/>
        </w:rPr>
      </w:r>
    </w:p>
    <w:p w:rsidR="00000000" w:rsidDel="00000000" w:rsidP="00000000" w:rsidRDefault="00000000" w:rsidRPr="00000000" w14:paraId="0000004E">
      <w:pPr>
        <w:pStyle w:val="Heading1"/>
        <w:rPr/>
      </w:pPr>
      <w:bookmarkStart w:colFirst="0" w:colLast="0" w:name="_heading=h.3pioxb387bnd" w:id="3"/>
      <w:bookmarkEnd w:id="3"/>
      <w:r w:rsidDel="00000000" w:rsidR="00000000" w:rsidRPr="00000000">
        <w:rPr>
          <w:rtl w:val="0"/>
        </w:rPr>
        <w:t xml:space="preserve">Part B: Short Report: </w:t>
      </w:r>
      <w:r w:rsidDel="00000000" w:rsidR="00000000" w:rsidRPr="00000000">
        <w:rPr>
          <w:b w:val="1"/>
          <w:bCs w:val="1"/>
          <w:rtl w:val="0"/>
        </w:rPr>
        <w:t xml:space="preserve">Improving Psychological Wellbeing in Older Adults Using Attachment Theory</w:t>
      </w:r>
      <w:r w:rsidDel="00000000" w:rsidR="00000000" w:rsidRPr="00000000">
        <w:rPr>
          <w:rtl w:val="0"/>
        </w:rPr>
      </w:r>
    </w:p>
    <w:p w:rsidR="00000000" w:rsidDel="00000000" w:rsidP="00000000" w:rsidRDefault="00000000" w:rsidRPr="00000000" w14:paraId="0000004F">
      <w:pPr>
        <w:pStyle w:val="Heading2"/>
        <w:rPr/>
      </w:pPr>
      <w:bookmarkStart w:colFirst="0" w:colLast="0" w:name="_heading=h.1ibua2w2lbut" w:id="4"/>
      <w:bookmarkEnd w:id="4"/>
      <w:r w:rsidDel="00000000" w:rsidR="00000000" w:rsidRPr="00000000">
        <w:rPr>
          <w:rFonts w:ascii="Arial" w:cs="Arial" w:eastAsia="Arial" w:hAnsi="Arial"/>
          <w:b w:val="1"/>
          <w:bCs w:val="1"/>
          <w:rtl w:val="0"/>
        </w:rPr>
        <w:t xml:space="preserve">Introduction</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Psychological wellbeing is an important aspect of quality of life in older people in residential care. Some feel lonely, lose independence and their social interaction in turn can lead to depression, anxiety and cognitive deterioration. Knowledge of the role of early relational conditions in shaping behavior and emotion regulation can assist care staff to formulate interventions that foster emotional security and resilience. The attachment theory by Bowlby offers a useful approach to comprehending and dealing with these needs in the elderly (Bucci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2014; Mahoney, 2003).</w:t>
      </w:r>
    </w:p>
    <w:p w:rsidR="00000000" w:rsidDel="00000000" w:rsidP="00000000" w:rsidRDefault="00000000" w:rsidRPr="00000000" w14:paraId="00000051">
      <w:pPr>
        <w:pStyle w:val="Heading2"/>
        <w:rPr/>
      </w:pPr>
      <w:bookmarkStart w:colFirst="0" w:colLast="0" w:name="_heading=h.ahfavzozmm1o" w:id="5"/>
      <w:bookmarkEnd w:id="5"/>
      <w:r w:rsidDel="00000000" w:rsidR="00000000" w:rsidRPr="00000000">
        <w:rPr>
          <w:rFonts w:ascii="Arial" w:cs="Arial" w:eastAsia="Arial" w:hAnsi="Arial"/>
          <w:b w:val="1"/>
          <w:bCs w:val="1"/>
          <w:rtl w:val="0"/>
        </w:rPr>
        <w:t xml:space="preserve">Overview of Attachment Theory</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attachment theory suggests that humans are biologically inclined towards developing emotional attachments with important figures in their lives, usually caregivers, to be able to guarantee survival and emotional control (Bucci et al., 2014). Patterns of trust, interpersonal behaviour, and coping mechanisms formed in early attachment experiences carry forward into adulthood and into later life. The adult attachment styles i.e., secure, anxious and avoidance may affect reactions to stress, readiness to seek support and form meaningful relationship (Strauss and Brenk-Franz, 2016).</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applied to residential care, knowing attachment patterns assists staff to identify behaviors that can indicate the lack of attachment needs, including withdrawal, agitation, or resistance to care. Through regular, understanding, and sensitive communication, the care personnel can build a feeling of emotional safety, which is associated with better mental health, greater social interaction, and less behavioral difficulties (Rapaport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2018).</w:t>
      </w:r>
    </w:p>
    <w:p w:rsidR="00000000" w:rsidDel="00000000" w:rsidP="00000000" w:rsidRDefault="00000000" w:rsidRPr="00000000" w14:paraId="00000054">
      <w:pPr>
        <w:pStyle w:val="Heading2"/>
        <w:rPr/>
      </w:pPr>
      <w:bookmarkStart w:colFirst="0" w:colLast="0" w:name="_heading=h.ilzuh5h81ru1" w:id="6"/>
      <w:bookmarkEnd w:id="6"/>
      <w:r w:rsidDel="00000000" w:rsidR="00000000" w:rsidRPr="00000000">
        <w:rPr>
          <w:rFonts w:ascii="Arial" w:cs="Arial" w:eastAsia="Arial" w:hAnsi="Arial"/>
          <w:b w:val="1"/>
          <w:bCs w:val="1"/>
          <w:rtl w:val="0"/>
        </w:rPr>
        <w:t xml:space="preserve">Application in Residential Care</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adult care settings, the application of attachment theory involves simulating such environments where secure attachment, emotional availability and responsiveness is being observed like:</w:t>
      </w:r>
    </w:p>
    <w:p w:rsidR="00000000" w:rsidDel="00000000" w:rsidP="00000000" w:rsidRDefault="00000000" w:rsidRPr="00000000" w14:paraId="00000056">
      <w:pPr>
        <w:numPr>
          <w:ilvl w:val="0"/>
          <w:numId w:val="1"/>
        </w:numPr>
        <w:spacing w:after="0" w:before="280" w:lineRule="auto"/>
        <w:ind w:left="720" w:hanging="360"/>
        <w:jc w:val="both"/>
        <w:rPr>
          <w:rFonts w:ascii="Arial" w:cs="Arial" w:eastAsia="Arial" w:hAnsi="Arial"/>
        </w:rPr>
      </w:pPr>
      <w:r w:rsidDel="00000000" w:rsidR="00000000" w:rsidRPr="00000000">
        <w:rPr>
          <w:rFonts w:ascii="Arial" w:cs="Arial" w:eastAsia="Arial" w:hAnsi="Arial"/>
          <w:b w:val="0"/>
          <w:bCs w:val="0"/>
          <w:rtl w:val="0"/>
        </w:rPr>
        <w:t xml:space="preserve">A trustable and stable relationship formation where primary caregiver is assigned to each resident. This will promote them to engage more actively and express their needs and in turn feel valued and understood</w:t>
      </w:r>
      <w:r w:rsidDel="00000000" w:rsidR="00000000" w:rsidRPr="00000000">
        <w:rPr>
          <w:rFonts w:ascii="Arial" w:cs="Arial" w:eastAsia="Arial" w:hAnsi="Arial"/>
          <w:rtl w:val="0"/>
        </w:rPr>
        <w:t xml:space="preserve"> (Hawk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2018). </w:t>
      </w:r>
    </w:p>
    <w:p w:rsidR="00000000" w:rsidDel="00000000" w:rsidP="00000000" w:rsidRDefault="00000000" w:rsidRPr="00000000" w14:paraId="00000057">
      <w:pPr>
        <w:numPr>
          <w:ilvl w:val="0"/>
          <w:numId w:val="1"/>
        </w:numPr>
        <w:spacing w:after="0" w:before="0" w:lineRule="auto"/>
        <w:ind w:left="720" w:hanging="360"/>
        <w:jc w:val="both"/>
        <w:rPr>
          <w:rFonts w:ascii="Arial" w:cs="Arial" w:eastAsia="Arial" w:hAnsi="Arial"/>
        </w:rPr>
      </w:pPr>
      <w:r w:rsidDel="00000000" w:rsidR="00000000" w:rsidRPr="00000000">
        <w:rPr>
          <w:rFonts w:ascii="Arial" w:cs="Arial" w:eastAsia="Arial" w:hAnsi="Arial"/>
          <w:rtl w:val="0"/>
        </w:rPr>
        <w:t xml:space="preserve">Promotion of effectuve communication and trained staff who can interpret verbal and non verbal cues. This will help residents recognise their emotional needs and give emotional security.</w:t>
      </w:r>
    </w:p>
    <w:p w:rsidR="00000000" w:rsidDel="00000000" w:rsidP="00000000" w:rsidRDefault="00000000" w:rsidRPr="00000000" w14:paraId="00000058">
      <w:pPr>
        <w:numPr>
          <w:ilvl w:val="0"/>
          <w:numId w:val="1"/>
        </w:numPr>
        <w:spacing w:after="280" w:before="0" w:lineRule="auto"/>
        <w:ind w:left="720" w:hanging="360"/>
        <w:jc w:val="both"/>
        <w:rPr>
          <w:rFonts w:ascii="Arial" w:cs="Arial" w:eastAsia="Arial" w:hAnsi="Arial"/>
        </w:rPr>
      </w:pPr>
      <w:r w:rsidDel="00000000" w:rsidR="00000000" w:rsidRPr="00000000">
        <w:rPr>
          <w:rFonts w:ascii="Arial" w:cs="Arial" w:eastAsia="Arial" w:hAnsi="Arial"/>
          <w:rtl w:val="0"/>
        </w:rPr>
        <w:t xml:space="preserve">Encouraging residents to participate in daily choices like meals, activities, routines supports autonomy while reinforcing relational trust, akin to the role of responsive caregiving in early attachment (Mahoney, 2003). </w:t>
      </w:r>
    </w:p>
    <w:p w:rsidR="00000000" w:rsidDel="00000000" w:rsidP="00000000" w:rsidRDefault="00000000" w:rsidRPr="00000000" w14:paraId="00000059">
      <w:pPr>
        <w:pStyle w:val="Heading2"/>
        <w:rPr/>
      </w:pPr>
      <w:bookmarkStart w:colFirst="0" w:colLast="0" w:name="_heading=h.i563qu61kqil" w:id="7"/>
      <w:bookmarkEnd w:id="7"/>
      <w:r w:rsidDel="00000000" w:rsidR="00000000" w:rsidRPr="00000000">
        <w:rPr>
          <w:rFonts w:ascii="Arial" w:cs="Arial" w:eastAsia="Arial" w:hAnsi="Arial"/>
          <w:b w:val="1"/>
          <w:bCs w:val="1"/>
          <w:rtl w:val="0"/>
        </w:rPr>
        <w:t xml:space="preserve">Case Scenario</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Mrs. Thompson is an 82-year-old resident from a care home, who frequently refuses to join communal activities and exhibits signs of withdrawal. There is a backdrop of stressed family interactions and previous losses. Care staff identify potential attachment-related anxiety and apply an attachment-informed approach. Mrs. Thompson gets a dedicated caregiver who spends concentrated time every day talking to her, listening to her cares and supporting her. Staff members have a set meal and activity schedule, so there is little unpredictability. Mrs. Thompson would be encouraged to select areas where she can have fun, such as painting or gardening, and be a part of the planning of activities in the weekly group activities.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several weeks, Mrs. Thompson is better able to engage in social events, is cooperative with staff and other residents, and says she feels safer and appreciated. This illustrates that attachment-informed care can improve psychological wellbeing by supporting emotional security needs in a relational manner.</w:t>
      </w:r>
    </w:p>
    <w:p w:rsidR="00000000" w:rsidDel="00000000" w:rsidP="00000000" w:rsidRDefault="00000000" w:rsidRPr="00000000" w14:paraId="0000005C">
      <w:pPr>
        <w:pStyle w:val="Heading2"/>
        <w:rPr/>
      </w:pPr>
      <w:bookmarkStart w:colFirst="0" w:colLast="0" w:name="_heading=h.k4hlxkh0nyot" w:id="8"/>
      <w:bookmarkEnd w:id="8"/>
      <w:r w:rsidDel="00000000" w:rsidR="00000000" w:rsidRPr="00000000">
        <w:rPr>
          <w:rFonts w:ascii="Arial" w:cs="Arial" w:eastAsia="Arial" w:hAnsi="Arial"/>
          <w:b w:val="1"/>
          <w:bCs w:val="1"/>
          <w:rtl w:val="0"/>
        </w:rPr>
        <w:t xml:space="preserve">Challenges in Applying Attachment Theory</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One of the major problems in applying the theory of attachment to adult care is that the residents are older adults that have previously had traumatic experiences in their lives and are therefore reluctant to create new trusting relationships. Elderly bereaved, neglected or disturbed people can be anxious, withdrawn or hostile and staff find it difficult to commit to attachment-informed care. Such reactions may inhibit the establishment of safe relationships and diminish the success of wellbeing promotion interventions (Milberg and Friedrichsen, 2017).</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Strategy to Overcome:</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Gradual trust-building methods based on individual histories, including initial interactions of limited duration and consistent adherence to promises, can be used by the care staff. Training in trauma-informed care and reflective practice can enable professionals to identify distress, react compassionately, and adjust to the individual emotional capacity of each resident, which will lead to safer, more valuable relationships in the long term (Nation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2022).</w:t>
      </w:r>
    </w:p>
    <w:p w:rsidR="00000000" w:rsidDel="00000000" w:rsidP="00000000" w:rsidRDefault="00000000" w:rsidRPr="00000000" w14:paraId="00000060">
      <w:pPr>
        <w:pStyle w:val="Heading2"/>
        <w:rPr/>
      </w:pPr>
      <w:bookmarkStart w:colFirst="0" w:colLast="0" w:name="_heading=h.mmynzqh4rw5t" w:id="9"/>
      <w:bookmarkEnd w:id="9"/>
      <w:r w:rsidDel="00000000" w:rsidR="00000000" w:rsidRPr="00000000">
        <w:rPr>
          <w:rFonts w:ascii="Arial" w:cs="Arial" w:eastAsia="Arial" w:hAnsi="Arial"/>
          <w:b w:val="1"/>
          <w:bCs w:val="1"/>
          <w:rtl w:val="0"/>
        </w:rPr>
        <w:t xml:space="preserve">Conclusion</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attachment theory by Bowlby offers a feasible approach of enhancing the mental health in the residents of residential institution to seniors. Care staff can reduce distress, improve engagement and encourage autonomy by paying attention to consistent and sympathetic relationships and responsiveness to emotional needs. The implementation may be hampered by challenges like staff turnover but these are overcome by structured strategies such as assigning keyworkers and training of staff. Attached based care eventually leads to a safe, caring space that helps older adults develop resilience and wellbeing, proving the theory applicable to adulthood and beyond childhood.</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pStyle w:val="Heading1"/>
        <w:rPr/>
      </w:pPr>
      <w:bookmarkStart w:colFirst="0" w:colLast="0" w:name="_heading=h.ajytldgrcvjr" w:id="10"/>
      <w:bookmarkEnd w:id="10"/>
      <w:r w:rsidDel="00000000" w:rsidR="00000000" w:rsidRPr="00000000">
        <w:rPr>
          <w:rtl w:val="0"/>
        </w:rPr>
        <w:t xml:space="preserve">References</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Baldwin, L. (2019) ‘Cognitive and Emotional Development of Young People and the Development of Resilience’, in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Nursing Skills for Children and Young People’s Mental Health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Springer, pp. 37–53. Available at: https://doi.org/10.1007/978-3-030-18679-1_3.</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Bucci, 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(2014) ‘Using attachment theory to inform the design and delivery of mental health services: A systematic review of the literature’,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Psychology and Psychotherapy: Theory, Research and Practice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88(1), pp. 1–20. Available at: https://doi.org/10.1111/papt.12029.</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Gan, J.M.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(2023) ‘Decision-making capacity in older medical in-patients: frequency of assessment and rates of incapacity by decision-type and underlying brain/mind impairment’,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Age and Ageing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52(9), p. afad171. Available at: https://doi.org/10.1093/ageing/afad171.</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Hawk, B.N.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(2018) ‘Caregiver Sensitivity and Consistency and Children’s Prior Family Experience as Contexts for Early Development within Institutions’,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Infant Mental Health Journal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39(4), pp. 432–448. Available at: https://doi.org/10.1002/imhj.21721.</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Larcher, V. (2025) ‘Children Are Not Small Adults: Significance of Biological and Cognitive Development in Medical Practice’, in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Handbook of the Philosophy of Medicine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Dordrecht: Springer Netherlands, pp. 435–457. Available at: https://doi.org/10.1007/978-94-024-2252-8_16.</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Mahoney, A.E.J. (2003) ‘Age-or stage-appropriate? Recreation and the relevance of Piaget’s theory in dementia care’,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American Journal of Alzheimer’s Disease &amp; Other Dementiasr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18(1), pp. 24–30. Available at: https://doi.org/10.1177/153331750301800102.</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Milberg, A. and Friedrichsen, M. (2017) ‘Attachment figures when death is approaching: a study applying attachment theory to adult patients’ and family members’ experiences during palliative home care’,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Supportive Care in Cancer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25(7), pp. 2267–2274. Available at: https://doi.org/10.1007/s00520-017-3634-7.</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Nation, L.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(2022) ‘Implementing Introductory Training in Trauma-Informed Care Into Mental Health Rehabilitation Services: A Mixed Methods Evaluation’,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Frontiers in Psychiatry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12(12). Available at: https://doi.org/10.3389/fpsyt.2021.810814.</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Rapaport, P.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(2018) ‘How do care home staff understand, manage and respond to agitation in people with dementia? A qualitative study’,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BMJ Open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8(6), p. e022260. Available at: https://doi.org/10.1136/bmjopen-2018-022260.</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Strauss, B. and Brenk-Franz, K. (2016) ‘The Relevance of Attachment Theory in Medical Care’, in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Improving Patient Treatment with Attachment Theory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Springer, pp. 39–52. Available at: https://doi.org/10.1007/978-3-319-23300-0_4.</w:t>
      </w:r>
    </w:p>
    <w:p w:rsidR="00000000" w:rsidDel="00000000" w:rsidP="00000000" w:rsidRDefault="00000000" w:rsidRPr="00000000" w14:paraId="00000079">
      <w:pPr>
        <w:jc w:val="both"/>
        <w:rPr>
          <w:rFonts w:ascii="Arial" w:cs="Arial" w:eastAsia="Arial" w:hAnsi="Arial"/>
        </w:rPr>
      </w:pPr>
      <w:r w:rsidDel="00000000" w:rsidR="00000000" w:rsidRPr="00000000">
        <w:rPr>
          <w:rtl w:val="0"/>
        </w:rPr>
      </w:r>
    </w:p>
    <w:sectPr>
      <w:footerReference r:id="rId11" w:type="default"/>
      <w:footerReference r:id="rId12"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PK"/>
      </w:rPr>
    </w:rPrDefault>
    <w:pPrDefault>
      <w:pPr>
        <w:spacing w:after="160"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color w:val="0f4761"/>
      <w:sz w:val="28"/>
      <w:szCs w:val="28"/>
    </w:rPr>
  </w:style>
  <w:style w:type="paragraph" w:styleId="Heading2">
    <w:name w:val="heading 2"/>
    <w:basedOn w:val="Normal"/>
    <w:next w:val="Normal"/>
    <w:pPr>
      <w:keepNext w:val="1"/>
      <w:keepLines w:val="1"/>
      <w:spacing w:after="80" w:before="160" w:lineRule="auto"/>
    </w:pPr>
    <w:rPr>
      <w:b w:val="1"/>
      <w:bCs w:val="1"/>
      <w:color w:val="0f4761"/>
    </w:rPr>
  </w:style>
  <w:style w:type="paragraph" w:styleId="Heading3">
    <w:name w:val="heading 3"/>
    <w:basedOn w:val="Normal"/>
    <w:next w:val="Normal"/>
    <w:pPr>
      <w:keepNext w:val="1"/>
      <w:keepLines w:val="1"/>
      <w:spacing w:after="80" w:before="160" w:lineRule="auto"/>
    </w:pPr>
    <w:rPr>
      <w:b w:val="1"/>
      <w:bCs w:val="1"/>
      <w:i w:val="1"/>
      <w:iCs w:val="1"/>
      <w:color w:val="0f4761"/>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7B2DAC"/>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7B2DAC"/>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7B2DAC"/>
    <w:pPr>
      <w:keepNext w:val="1"/>
      <w:keepLines w:val="1"/>
      <w:spacing w:after="0"/>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61624"/>
    <w:rPr>
      <w:rFonts w:asciiTheme="majorBidi" w:cstheme="majorBidi" w:eastAsiaTheme="majorEastAsia" w:hAnsiTheme="majorBidi"/>
      <w:b w:val="1"/>
      <w:color w:val="0f4761" w:themeColor="accent1" w:themeShade="0000BF"/>
      <w:sz w:val="28"/>
      <w:szCs w:val="40"/>
    </w:rPr>
  </w:style>
  <w:style w:type="character" w:styleId="Heading2Char" w:customStyle="1">
    <w:name w:val="Heading 2 Char"/>
    <w:basedOn w:val="DefaultParagraphFont"/>
    <w:link w:val="Heading2"/>
    <w:uiPriority w:val="9"/>
    <w:rsid w:val="00FB6C67"/>
    <w:rPr>
      <w:rFonts w:asciiTheme="majorBidi" w:cstheme="majorBidi" w:eastAsiaTheme="majorEastAsia" w:hAnsiTheme="majorBidi"/>
      <w:b w:val="1"/>
      <w:color w:val="0f4761" w:themeColor="accent1" w:themeShade="0000BF"/>
      <w:szCs w:val="32"/>
    </w:rPr>
  </w:style>
  <w:style w:type="character" w:styleId="Heading3Char" w:customStyle="1">
    <w:name w:val="Heading 3 Char"/>
    <w:basedOn w:val="DefaultParagraphFont"/>
    <w:link w:val="Heading3"/>
    <w:uiPriority w:val="9"/>
    <w:rsid w:val="00BE4882"/>
    <w:rPr>
      <w:rFonts w:asciiTheme="majorBidi" w:cstheme="majorBidi" w:eastAsiaTheme="majorEastAsia" w:hAnsiTheme="majorBidi"/>
      <w:b w:val="1"/>
      <w:i w:val="1"/>
      <w:color w:val="0f4761" w:themeColor="accent1" w:themeShade="0000BF"/>
      <w:szCs w:val="28"/>
    </w:rPr>
  </w:style>
  <w:style w:type="character" w:styleId="Heading4Char" w:customStyle="1">
    <w:name w:val="Heading 4 Char"/>
    <w:basedOn w:val="DefaultParagraphFont"/>
    <w:link w:val="Heading4"/>
    <w:uiPriority w:val="9"/>
    <w:semiHidden w:val="1"/>
    <w:rsid w:val="007B2DAC"/>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7B2DAC"/>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7B2DAC"/>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7B2DAC"/>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7B2DAC"/>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7B2DAC"/>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7B2DAC"/>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7B2DAC"/>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7B2DAC"/>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7B2DAC"/>
    <w:rPr>
      <w:rFonts w:asciiTheme="majorBidi" w:hAnsiTheme="majorBidi"/>
      <w:i w:val="1"/>
      <w:iCs w:val="1"/>
      <w:color w:val="404040" w:themeColor="text1" w:themeTint="0000BF"/>
    </w:rPr>
  </w:style>
  <w:style w:type="paragraph" w:styleId="ListParagraph">
    <w:name w:val="List Paragraph"/>
    <w:basedOn w:val="Normal"/>
    <w:uiPriority w:val="34"/>
    <w:qFormat w:val="1"/>
    <w:rsid w:val="007B2DAC"/>
    <w:pPr>
      <w:ind w:left="720"/>
      <w:contextualSpacing w:val="1"/>
    </w:pPr>
  </w:style>
  <w:style w:type="character" w:styleId="IntenseEmphasis">
    <w:name w:val="Intense Emphasis"/>
    <w:basedOn w:val="DefaultParagraphFont"/>
    <w:uiPriority w:val="21"/>
    <w:qFormat w:val="1"/>
    <w:rsid w:val="007B2DAC"/>
    <w:rPr>
      <w:i w:val="1"/>
      <w:iCs w:val="1"/>
      <w:color w:val="0f4761" w:themeColor="accent1" w:themeShade="0000BF"/>
    </w:rPr>
  </w:style>
  <w:style w:type="paragraph" w:styleId="IntenseQuote">
    <w:name w:val="Intense Quote"/>
    <w:basedOn w:val="Normal"/>
    <w:next w:val="Normal"/>
    <w:link w:val="IntenseQuoteChar"/>
    <w:uiPriority w:val="30"/>
    <w:qFormat w:val="1"/>
    <w:rsid w:val="007B2DAC"/>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7B2DAC"/>
    <w:rPr>
      <w:rFonts w:asciiTheme="majorBidi" w:hAnsiTheme="majorBidi"/>
      <w:i w:val="1"/>
      <w:iCs w:val="1"/>
      <w:color w:val="0f4761" w:themeColor="accent1" w:themeShade="0000BF"/>
    </w:rPr>
  </w:style>
  <w:style w:type="character" w:styleId="IntenseReference">
    <w:name w:val="Intense Reference"/>
    <w:basedOn w:val="DefaultParagraphFont"/>
    <w:uiPriority w:val="32"/>
    <w:qFormat w:val="1"/>
    <w:rsid w:val="007B2DAC"/>
    <w:rPr>
      <w:b w:val="1"/>
      <w:bCs w:val="1"/>
      <w:smallCaps w:val="1"/>
      <w:color w:val="0f4761" w:themeColor="accent1" w:themeShade="0000BF"/>
      <w:spacing w:val="5"/>
    </w:rPr>
  </w:style>
  <w:style w:type="paragraph" w:styleId="NormalWeb">
    <w:name w:val="Normal (Web)"/>
    <w:basedOn w:val="Normal"/>
    <w:uiPriority w:val="99"/>
    <w:unhideWhenUsed w:val="1"/>
    <w:rsid w:val="0022608A"/>
    <w:pPr>
      <w:spacing w:after="100" w:afterAutospacing="1" w:before="100" w:beforeAutospacing="1" w:line="240" w:lineRule="auto"/>
    </w:pPr>
    <w:rPr>
      <w:rFonts w:ascii="Times New Roman" w:cs="Times New Roman" w:eastAsia="Times New Roman" w:hAnsi="Times New Roman"/>
      <w:kern w:val="0"/>
      <w:sz w:val="24"/>
      <w:lang w:eastAsia="en-GB"/>
    </w:rPr>
  </w:style>
  <w:style w:type="character" w:styleId="Hyperlink">
    <w:name w:val="Hyperlink"/>
    <w:basedOn w:val="DefaultParagraphFont"/>
    <w:uiPriority w:val="99"/>
    <w:unhideWhenUsed w:val="1"/>
    <w:rsid w:val="0022608A"/>
    <w:rPr>
      <w:color w:val="0000ff"/>
      <w:u w:val="single"/>
    </w:rPr>
  </w:style>
  <w:style w:type="character" w:styleId="Strong">
    <w:name w:val="Strong"/>
    <w:basedOn w:val="DefaultParagraphFont"/>
    <w:uiPriority w:val="22"/>
    <w:qFormat w:val="1"/>
    <w:rsid w:val="006C57E2"/>
    <w:rPr>
      <w:b w:val="1"/>
      <w:bCs w:val="1"/>
    </w:rPr>
  </w:style>
  <w:style w:type="character" w:styleId="Emphasis">
    <w:name w:val="Emphasis"/>
    <w:basedOn w:val="DefaultParagraphFont"/>
    <w:uiPriority w:val="20"/>
    <w:qFormat w:val="1"/>
    <w:rsid w:val="006C57E2"/>
    <w:rPr>
      <w:i w:val="1"/>
      <w:iCs w:val="1"/>
    </w:rPr>
  </w:style>
  <w:style w:type="paragraph" w:styleId="Header">
    <w:name w:val="header"/>
    <w:basedOn w:val="Normal"/>
    <w:link w:val="HeaderChar"/>
    <w:uiPriority w:val="99"/>
    <w:unhideWhenUsed w:val="1"/>
    <w:rsid w:val="00C76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C7613A"/>
    <w:rPr>
      <w:rFonts w:asciiTheme="minorBidi" w:hAnsiTheme="minorBidi"/>
      <w:sz w:val="22"/>
    </w:rPr>
  </w:style>
  <w:style w:type="paragraph" w:styleId="Footer">
    <w:name w:val="footer"/>
    <w:basedOn w:val="Normal"/>
    <w:link w:val="FooterChar"/>
    <w:uiPriority w:val="99"/>
    <w:unhideWhenUsed w:val="1"/>
    <w:rsid w:val="00C76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C7613A"/>
    <w:rPr>
      <w:rFonts w:asciiTheme="minorBidi" w:hAnsiTheme="minorBidi"/>
      <w:sz w:val="22"/>
    </w:rPr>
  </w:style>
  <w:style w:type="character" w:styleId="PageNumber">
    <w:name w:val="page number"/>
    <w:basedOn w:val="DefaultParagraphFont"/>
    <w:uiPriority w:val="99"/>
    <w:semiHidden w:val="1"/>
    <w:unhideWhenUsed w:val="1"/>
    <w:rsid w:val="00C7613A"/>
  </w:style>
  <w:style w:type="paragraph" w:styleId="TOCHeading">
    <w:name w:val="TOC Heading"/>
    <w:basedOn w:val="Heading1"/>
    <w:next w:val="Normal"/>
    <w:uiPriority w:val="39"/>
    <w:unhideWhenUsed w:val="1"/>
    <w:qFormat w:val="1"/>
    <w:rsid w:val="00C7613A"/>
    <w:pPr>
      <w:spacing w:after="0" w:before="480" w:line="276" w:lineRule="auto"/>
      <w:outlineLvl w:val="9"/>
    </w:pPr>
    <w:rPr>
      <w:rFonts w:asciiTheme="majorHAnsi" w:hAnsiTheme="majorHAnsi"/>
      <w:bCs w:val="1"/>
      <w:kern w:val="0"/>
      <w:szCs w:val="28"/>
      <w:lang w:val="en-US"/>
    </w:rPr>
  </w:style>
  <w:style w:type="paragraph" w:styleId="TOC1">
    <w:name w:val="toc 1"/>
    <w:basedOn w:val="Normal"/>
    <w:next w:val="Normal"/>
    <w:autoRedefine w:val="1"/>
    <w:uiPriority w:val="39"/>
    <w:unhideWhenUsed w:val="1"/>
    <w:rsid w:val="00C7613A"/>
    <w:pPr>
      <w:spacing w:after="120" w:before="240"/>
    </w:pPr>
    <w:rPr>
      <w:rFonts w:cs="Times New Roman" w:asciiTheme="minorHAnsi" w:hAnsiTheme="minorHAnsi"/>
      <w:b w:val="1"/>
      <w:bCs w:val="1"/>
      <w:sz w:val="20"/>
    </w:rPr>
  </w:style>
  <w:style w:type="paragraph" w:styleId="TOC2">
    <w:name w:val="toc 2"/>
    <w:basedOn w:val="Normal"/>
    <w:next w:val="Normal"/>
    <w:autoRedefine w:val="1"/>
    <w:uiPriority w:val="39"/>
    <w:unhideWhenUsed w:val="1"/>
    <w:rsid w:val="00C7613A"/>
    <w:pPr>
      <w:spacing w:after="0" w:before="120"/>
      <w:ind w:left="220"/>
    </w:pPr>
    <w:rPr>
      <w:rFonts w:cs="Times New Roman" w:asciiTheme="minorHAnsi" w:hAnsiTheme="minorHAnsi"/>
      <w:i w:val="1"/>
      <w:iCs w:val="1"/>
      <w:sz w:val="20"/>
    </w:rPr>
  </w:style>
  <w:style w:type="paragraph" w:styleId="TOC3">
    <w:name w:val="toc 3"/>
    <w:basedOn w:val="Normal"/>
    <w:next w:val="Normal"/>
    <w:autoRedefine w:val="1"/>
    <w:uiPriority w:val="39"/>
    <w:semiHidden w:val="1"/>
    <w:unhideWhenUsed w:val="1"/>
    <w:rsid w:val="00C7613A"/>
    <w:pPr>
      <w:spacing w:after="0"/>
      <w:ind w:left="440"/>
    </w:pPr>
    <w:rPr>
      <w:rFonts w:cs="Times New Roman" w:asciiTheme="minorHAnsi" w:hAnsiTheme="minorHAnsi"/>
      <w:sz w:val="20"/>
    </w:rPr>
  </w:style>
  <w:style w:type="paragraph" w:styleId="TOC4">
    <w:name w:val="toc 4"/>
    <w:basedOn w:val="Normal"/>
    <w:next w:val="Normal"/>
    <w:autoRedefine w:val="1"/>
    <w:uiPriority w:val="39"/>
    <w:semiHidden w:val="1"/>
    <w:unhideWhenUsed w:val="1"/>
    <w:rsid w:val="00C7613A"/>
    <w:pPr>
      <w:spacing w:after="0"/>
      <w:ind w:left="660"/>
    </w:pPr>
    <w:rPr>
      <w:rFonts w:cs="Times New Roman" w:asciiTheme="minorHAnsi" w:hAnsiTheme="minorHAnsi"/>
      <w:sz w:val="20"/>
    </w:rPr>
  </w:style>
  <w:style w:type="paragraph" w:styleId="TOC5">
    <w:name w:val="toc 5"/>
    <w:basedOn w:val="Normal"/>
    <w:next w:val="Normal"/>
    <w:autoRedefine w:val="1"/>
    <w:uiPriority w:val="39"/>
    <w:semiHidden w:val="1"/>
    <w:unhideWhenUsed w:val="1"/>
    <w:rsid w:val="00C7613A"/>
    <w:pPr>
      <w:spacing w:after="0"/>
      <w:ind w:left="880"/>
    </w:pPr>
    <w:rPr>
      <w:rFonts w:cs="Times New Roman" w:asciiTheme="minorHAnsi" w:hAnsiTheme="minorHAnsi"/>
      <w:sz w:val="20"/>
    </w:rPr>
  </w:style>
  <w:style w:type="paragraph" w:styleId="TOC6">
    <w:name w:val="toc 6"/>
    <w:basedOn w:val="Normal"/>
    <w:next w:val="Normal"/>
    <w:autoRedefine w:val="1"/>
    <w:uiPriority w:val="39"/>
    <w:semiHidden w:val="1"/>
    <w:unhideWhenUsed w:val="1"/>
    <w:rsid w:val="00C7613A"/>
    <w:pPr>
      <w:spacing w:after="0"/>
      <w:ind w:left="1100"/>
    </w:pPr>
    <w:rPr>
      <w:rFonts w:cs="Times New Roman" w:asciiTheme="minorHAnsi" w:hAnsiTheme="minorHAnsi"/>
      <w:sz w:val="20"/>
    </w:rPr>
  </w:style>
  <w:style w:type="paragraph" w:styleId="TOC7">
    <w:name w:val="toc 7"/>
    <w:basedOn w:val="Normal"/>
    <w:next w:val="Normal"/>
    <w:autoRedefine w:val="1"/>
    <w:uiPriority w:val="39"/>
    <w:semiHidden w:val="1"/>
    <w:unhideWhenUsed w:val="1"/>
    <w:rsid w:val="00C7613A"/>
    <w:pPr>
      <w:spacing w:after="0"/>
      <w:ind w:left="1320"/>
    </w:pPr>
    <w:rPr>
      <w:rFonts w:cs="Times New Roman" w:asciiTheme="minorHAnsi" w:hAnsiTheme="minorHAnsi"/>
      <w:sz w:val="20"/>
    </w:rPr>
  </w:style>
  <w:style w:type="paragraph" w:styleId="TOC8">
    <w:name w:val="toc 8"/>
    <w:basedOn w:val="Normal"/>
    <w:next w:val="Normal"/>
    <w:autoRedefine w:val="1"/>
    <w:uiPriority w:val="39"/>
    <w:semiHidden w:val="1"/>
    <w:unhideWhenUsed w:val="1"/>
    <w:rsid w:val="00C7613A"/>
    <w:pPr>
      <w:spacing w:after="0"/>
      <w:ind w:left="1540"/>
    </w:pPr>
    <w:rPr>
      <w:rFonts w:cs="Times New Roman" w:asciiTheme="minorHAnsi" w:hAnsiTheme="minorHAnsi"/>
      <w:sz w:val="20"/>
    </w:rPr>
  </w:style>
  <w:style w:type="paragraph" w:styleId="TOC9">
    <w:name w:val="toc 9"/>
    <w:basedOn w:val="Normal"/>
    <w:next w:val="Normal"/>
    <w:autoRedefine w:val="1"/>
    <w:uiPriority w:val="39"/>
    <w:semiHidden w:val="1"/>
    <w:unhideWhenUsed w:val="1"/>
    <w:rsid w:val="00C7613A"/>
    <w:pPr>
      <w:spacing w:after="0"/>
      <w:ind w:left="1760"/>
    </w:pPr>
    <w:rPr>
      <w:rFonts w:cs="Times New Roman" w:asciiTheme="minorHAnsi" w:hAnsiTheme="minorHAnsi"/>
      <w:sz w:val="20"/>
    </w:rPr>
  </w:style>
  <w:style w:type="paragraph" w:styleId="Subtitle">
    <w:name w:val="Subtitle"/>
    <w:basedOn w:val="Normal"/>
    <w:next w:val="Normal"/>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yperlink" Target="https://doi.org/10.1007/978-3-319-23300-0_4" TargetMode="External"/><Relationship Id="rId12" Type="http://schemas.openxmlformats.org/officeDocument/2006/relationships/footer" Target="footer1.xml"/><Relationship Id="rId9" Type="http://schemas.openxmlformats.org/officeDocument/2006/relationships/hyperlink" Target="https://doi.org/10.1111/papt.1202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i.org/10.1007/978-3-030-18679-1_3" TargetMode="External"/><Relationship Id="rId8" Type="http://schemas.openxmlformats.org/officeDocument/2006/relationships/hyperlink" Target="https://doi.org/10.1007/978-94-024-2252-8_16"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UesBAGhPdBco9z1JnbHR/imt7g==">CgMxLjAyDmgudGxlMG9zc3cxYnplMg5oLm5kMGs3OTF6bHpiYjIOaC45emFzaG5oeG1jeWQyDmguM3Bpb3hiMzg3Ym5kMg5oLjFpYnVhMncybGJ1dDIOaC5haGZhdnpvem1tMW8yDmguaWx6dWg1aDgxcnUxMg5oLmk1NjNxdTYxa3FpbDIOaC5rNGhseGtoMG55b3QyDmgubW15bnpxaDRydzV0Mg5oLmFqeXRsZGdyY3ZqcjgAciExNFNxcF9DV0x5dzQyN2xCZ3N1MGEzaWMxOHQtU1pxTj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2026-03-22T06:39:00Z</dcterms:created>
  <dc:creator>WORD FILE</dc:creator>
</cp:coreProperties>
</file>