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F5AA08">
      <w:pPr>
        <w:spacing w:line="360" w:lineRule="auto"/>
        <w:rPr>
          <w:rFonts w:hint="default" w:ascii="Arial" w:hAnsi="Arial" w:cs="Arial"/>
          <w:color w:val="000000" w:themeColor="text1"/>
          <w:sz w:val="22"/>
          <w:szCs w:val="22"/>
          <w14:textFill>
            <w14:solidFill>
              <w14:schemeClr w14:val="tx1"/>
            </w14:solidFill>
          </w14:textFill>
        </w:rPr>
      </w:pPr>
      <w:r>
        <w:rPr>
          <w:rFonts w:hint="default" w:ascii="Arial" w:hAnsi="Arial" w:cs="Arial"/>
          <w:color w:val="000000" w:themeColor="text1"/>
          <w:sz w:val="22"/>
          <w:szCs w:val="22"/>
          <w:lang w:val="en-PH" w:eastAsia="en-PH"/>
          <w14:textFill>
            <w14:solidFill>
              <w14:schemeClr w14:val="tx1"/>
            </w14:solidFill>
          </w14:textFill>
        </w:rPr>
        <w:drawing>
          <wp:anchor distT="0" distB="0" distL="114300" distR="114300" simplePos="0" relativeHeight="251660288" behindDoc="0" locked="0" layoutInCell="1" allowOverlap="1">
            <wp:simplePos x="0" y="0"/>
            <wp:positionH relativeFrom="column">
              <wp:posOffset>0</wp:posOffset>
            </wp:positionH>
            <wp:positionV relativeFrom="paragraph">
              <wp:posOffset>291465</wp:posOffset>
            </wp:positionV>
            <wp:extent cx="1809750" cy="723900"/>
            <wp:effectExtent l="0" t="0" r="6350" b="0"/>
            <wp:wrapSquare wrapText="bothSides"/>
            <wp:docPr id="16"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 name="Picture 9" descr="Discover University of Wales Trinity Saint David"/>
                    <pic:cNvPicPr/>
                  </pic:nvPicPr>
                  <pic:blipFill>
                    <a:blip r:embed="rId5"/>
                    <a:srcRect/>
                    <a:stretch>
                      <a:fillRect/>
                    </a:stretch>
                  </pic:blipFill>
                  <pic:spPr>
                    <a:xfrm>
                      <a:off x="0" y="0"/>
                      <a:ext cx="1809753" cy="723903"/>
                    </a:xfrm>
                    <a:prstGeom prst="rect">
                      <a:avLst/>
                    </a:prstGeom>
                    <a:noFill/>
                    <a:ln>
                      <a:noFill/>
                      <a:prstDash val="solid"/>
                    </a:ln>
                  </pic:spPr>
                </pic:pic>
              </a:graphicData>
            </a:graphic>
          </wp:anchor>
        </w:drawing>
      </w:r>
    </w:p>
    <w:p w14:paraId="3888D531">
      <w:pPr>
        <w:spacing w:line="360" w:lineRule="auto"/>
        <w:rPr>
          <w:rFonts w:hint="default" w:ascii="Arial" w:hAnsi="Arial" w:cs="Arial"/>
          <w:color w:val="000000" w:themeColor="text1"/>
          <w:sz w:val="22"/>
          <w:szCs w:val="22"/>
          <w14:textFill>
            <w14:solidFill>
              <w14:schemeClr w14:val="tx1"/>
            </w14:solidFill>
          </w14:textFill>
        </w:rPr>
      </w:pPr>
    </w:p>
    <w:p w14:paraId="74677BEF">
      <w:pPr>
        <w:spacing w:line="360" w:lineRule="auto"/>
        <w:rPr>
          <w:rFonts w:hint="default" w:ascii="Arial" w:hAnsi="Arial" w:cs="Arial"/>
          <w:color w:val="000000" w:themeColor="text1"/>
          <w:sz w:val="22"/>
          <w:szCs w:val="22"/>
          <w14:textFill>
            <w14:solidFill>
              <w14:schemeClr w14:val="tx1"/>
            </w14:solidFill>
          </w14:textFill>
        </w:rPr>
      </w:pPr>
    </w:p>
    <w:p w14:paraId="410A7670">
      <w:pPr>
        <w:spacing w:line="360" w:lineRule="auto"/>
        <w:rPr>
          <w:rFonts w:hint="default" w:ascii="Arial" w:hAnsi="Arial" w:cs="Arial"/>
          <w:color w:val="000000" w:themeColor="text1"/>
          <w:sz w:val="22"/>
          <w:szCs w:val="22"/>
          <w14:textFill>
            <w14:solidFill>
              <w14:schemeClr w14:val="tx1"/>
            </w14:solidFill>
          </w14:textFill>
        </w:rPr>
      </w:pPr>
    </w:p>
    <w:p w14:paraId="496E6ED8">
      <w:pPr>
        <w:spacing w:line="360" w:lineRule="auto"/>
        <w:rPr>
          <w:rFonts w:hint="default" w:ascii="Arial" w:hAnsi="Arial" w:cs="Arial"/>
          <w:color w:val="000000" w:themeColor="text1"/>
          <w:sz w:val="22"/>
          <w:szCs w:val="22"/>
          <w14:textFill>
            <w14:solidFill>
              <w14:schemeClr w14:val="tx1"/>
            </w14:solidFill>
          </w14:textFill>
        </w:rPr>
      </w:pPr>
    </w:p>
    <w:p w14:paraId="2C9F2B3D">
      <w:pPr>
        <w:spacing w:line="360" w:lineRule="auto"/>
        <w:rPr>
          <w:rFonts w:hint="default" w:ascii="Arial" w:hAnsi="Arial" w:cs="Arial"/>
          <w:color w:val="000000" w:themeColor="text1"/>
          <w:sz w:val="22"/>
          <w:szCs w:val="22"/>
          <w14:textFill>
            <w14:solidFill>
              <w14:schemeClr w14:val="tx1"/>
            </w14:solidFill>
          </w14:textFill>
        </w:rPr>
      </w:pPr>
    </w:p>
    <w:p w14:paraId="714A83AC">
      <w:pPr>
        <w:tabs>
          <w:tab w:val="left" w:pos="6540"/>
        </w:tabs>
        <w:spacing w:line="360" w:lineRule="auto"/>
        <w:rPr>
          <w:rFonts w:hint="default" w:ascii="Arial" w:hAnsi="Arial" w:cs="Arial"/>
          <w:color w:val="000000" w:themeColor="text1"/>
          <w:sz w:val="22"/>
          <w:szCs w:val="22"/>
          <w14:textFill>
            <w14:solidFill>
              <w14:schemeClr w14:val="tx1"/>
            </w14:solidFill>
          </w14:textFill>
        </w:rPr>
      </w:pPr>
    </w:p>
    <w:p w14:paraId="52AA4662">
      <w:pPr>
        <w:tabs>
          <w:tab w:val="left" w:pos="6540"/>
        </w:tabs>
        <w:spacing w:line="360" w:lineRule="auto"/>
        <w:rPr>
          <w:rFonts w:hint="default" w:ascii="Arial" w:hAnsi="Arial" w:cs="Arial"/>
          <w:color w:val="000000" w:themeColor="text1"/>
          <w:sz w:val="30"/>
          <w:szCs w:val="30"/>
          <w14:textFill>
            <w14:solidFill>
              <w14:schemeClr w14:val="tx1"/>
            </w14:solidFill>
          </w14:textFill>
        </w:rPr>
      </w:pPr>
      <w:r>
        <w:rPr>
          <w:rFonts w:hint="default" w:ascii="Arial" w:hAnsi="Arial" w:cs="Arial"/>
          <w:b/>
          <w:bCs/>
          <w:color w:val="000000" w:themeColor="text1"/>
          <w:sz w:val="30"/>
          <w:szCs w:val="30"/>
          <w14:textFill>
            <w14:solidFill>
              <w14:schemeClr w14:val="tx1"/>
            </w14:solidFill>
          </w14:textFill>
        </w:rPr>
        <w:t>Student name</w:t>
      </w:r>
      <w:r>
        <w:rPr>
          <w:rFonts w:hint="default" w:ascii="Arial" w:hAnsi="Arial" w:cs="Arial"/>
          <w:color w:val="000000" w:themeColor="text1"/>
          <w:sz w:val="30"/>
          <w:szCs w:val="30"/>
          <w14:textFill>
            <w14:solidFill>
              <w14:schemeClr w14:val="tx1"/>
            </w14:solidFill>
          </w14:textFill>
        </w:rPr>
        <w:t>: ERLITA BUNDA ANISCO</w:t>
      </w:r>
    </w:p>
    <w:p w14:paraId="695B02D4">
      <w:pPr>
        <w:tabs>
          <w:tab w:val="left" w:pos="6540"/>
        </w:tabs>
        <w:spacing w:line="360" w:lineRule="auto"/>
        <w:rPr>
          <w:rFonts w:hint="default" w:ascii="Arial" w:hAnsi="Arial" w:cs="Arial"/>
          <w:color w:val="000000" w:themeColor="text1"/>
          <w:sz w:val="30"/>
          <w:szCs w:val="30"/>
          <w14:textFill>
            <w14:solidFill>
              <w14:schemeClr w14:val="tx1"/>
            </w14:solidFill>
          </w14:textFill>
        </w:rPr>
      </w:pPr>
      <w:r>
        <w:rPr>
          <w:rFonts w:hint="default" w:ascii="Arial" w:hAnsi="Arial" w:cs="Arial"/>
          <w:b/>
          <w:bCs/>
          <w:color w:val="000000" w:themeColor="text1"/>
          <w:sz w:val="30"/>
          <w:szCs w:val="30"/>
          <w:lang w:val="nl-NL"/>
          <w14:textFill>
            <w14:solidFill>
              <w14:schemeClr w14:val="tx1"/>
            </w14:solidFill>
          </w14:textFill>
        </w:rPr>
        <w:t>Student ID</w:t>
      </w:r>
      <w:r>
        <w:rPr>
          <w:rFonts w:hint="default" w:ascii="Arial" w:hAnsi="Arial" w:cs="Arial"/>
          <w:color w:val="000000" w:themeColor="text1"/>
          <w:sz w:val="30"/>
          <w:szCs w:val="30"/>
          <w:lang w:val="nl-NL"/>
          <w14:textFill>
            <w14:solidFill>
              <w14:schemeClr w14:val="tx1"/>
            </w14:solidFill>
          </w14:textFill>
        </w:rPr>
        <w:t>: 2508848</w:t>
      </w:r>
    </w:p>
    <w:p w14:paraId="63886810">
      <w:pPr>
        <w:tabs>
          <w:tab w:val="left" w:pos="6540"/>
        </w:tabs>
        <w:spacing w:line="360" w:lineRule="auto"/>
        <w:rPr>
          <w:rFonts w:hint="default" w:ascii="Arial" w:hAnsi="Arial" w:cs="Arial"/>
          <w:color w:val="000000" w:themeColor="text1"/>
          <w:sz w:val="30"/>
          <w:szCs w:val="30"/>
          <w:lang w:val="nl-NL"/>
          <w14:textFill>
            <w14:solidFill>
              <w14:schemeClr w14:val="tx1"/>
            </w14:solidFill>
          </w14:textFill>
        </w:rPr>
      </w:pPr>
    </w:p>
    <w:p w14:paraId="1C357A1D">
      <w:pPr>
        <w:tabs>
          <w:tab w:val="left" w:pos="6540"/>
        </w:tabs>
        <w:spacing w:line="360" w:lineRule="auto"/>
        <w:rPr>
          <w:rFonts w:hint="default" w:ascii="Arial" w:hAnsi="Arial" w:cs="Arial"/>
          <w:color w:val="000000" w:themeColor="text1"/>
          <w:sz w:val="30"/>
          <w:szCs w:val="30"/>
          <w:lang w:val="en-PH"/>
          <w14:textFill>
            <w14:solidFill>
              <w14:schemeClr w14:val="tx1"/>
            </w14:solidFill>
          </w14:textFill>
        </w:rPr>
      </w:pPr>
      <w:r>
        <w:rPr>
          <w:rFonts w:hint="default" w:ascii="Arial" w:hAnsi="Arial" w:cs="Arial"/>
          <w:b/>
          <w:bCs/>
          <w:color w:val="000000" w:themeColor="text1"/>
          <w:sz w:val="30"/>
          <w:szCs w:val="30"/>
          <w:lang w:val="nl-NL"/>
          <w14:textFill>
            <w14:solidFill>
              <w14:schemeClr w14:val="tx1"/>
            </w14:solidFill>
          </w14:textFill>
        </w:rPr>
        <w:t>Module name</w:t>
      </w:r>
      <w:r>
        <w:rPr>
          <w:rFonts w:hint="default" w:ascii="Arial" w:hAnsi="Arial" w:cs="Arial"/>
          <w:color w:val="000000" w:themeColor="text1"/>
          <w:sz w:val="30"/>
          <w:szCs w:val="30"/>
          <w:lang w:val="nl-NL"/>
          <w14:textFill>
            <w14:solidFill>
              <w14:schemeClr w14:val="tx1"/>
            </w14:solidFill>
          </w14:textFill>
        </w:rPr>
        <w:t xml:space="preserve">: INTRODUCTION TO </w:t>
      </w:r>
      <w:r>
        <w:rPr>
          <w:rFonts w:hint="default" w:ascii="Arial" w:hAnsi="Arial" w:cs="Arial"/>
          <w:color w:val="000000" w:themeColor="text1"/>
          <w:sz w:val="30"/>
          <w:szCs w:val="30"/>
          <w:lang w:val="en-PH"/>
          <w14:textFill>
            <w14:solidFill>
              <w14:schemeClr w14:val="tx1"/>
            </w14:solidFill>
          </w14:textFill>
        </w:rPr>
        <w:t xml:space="preserve">PUBLIC HEALTH </w:t>
      </w:r>
    </w:p>
    <w:p w14:paraId="29B6F7A1">
      <w:pPr>
        <w:tabs>
          <w:tab w:val="left" w:pos="6540"/>
        </w:tabs>
        <w:spacing w:line="360" w:lineRule="auto"/>
        <w:rPr>
          <w:rFonts w:hint="default" w:ascii="Arial" w:hAnsi="Arial" w:cs="Arial"/>
          <w:color w:val="000000" w:themeColor="text1"/>
          <w:sz w:val="30"/>
          <w:szCs w:val="30"/>
          <w:lang w:val="en-PH"/>
          <w14:textFill>
            <w14:solidFill>
              <w14:schemeClr w14:val="tx1"/>
            </w14:solidFill>
          </w14:textFill>
        </w:rPr>
      </w:pPr>
      <w:r>
        <w:rPr>
          <w:rFonts w:hint="default" w:ascii="Arial" w:hAnsi="Arial" w:cs="Arial"/>
          <w:b/>
          <w:bCs/>
          <w:color w:val="000000" w:themeColor="text1"/>
          <w:sz w:val="30"/>
          <w:szCs w:val="30"/>
          <w14:textFill>
            <w14:solidFill>
              <w14:schemeClr w14:val="tx1"/>
            </w14:solidFill>
          </w14:textFill>
        </w:rPr>
        <w:t>Module code</w:t>
      </w:r>
      <w:r>
        <w:rPr>
          <w:rFonts w:hint="default" w:ascii="Arial" w:hAnsi="Arial" w:cs="Arial"/>
          <w:color w:val="000000" w:themeColor="text1"/>
          <w:sz w:val="30"/>
          <w:szCs w:val="30"/>
          <w14:textFill>
            <w14:solidFill>
              <w14:schemeClr w14:val="tx1"/>
            </w14:solidFill>
          </w14:textFill>
        </w:rPr>
        <w:t>: LCHS</w:t>
      </w:r>
      <w:r>
        <w:rPr>
          <w:rFonts w:hint="default" w:ascii="Arial" w:hAnsi="Arial" w:cs="Arial"/>
          <w:color w:val="000000" w:themeColor="text1"/>
          <w:sz w:val="30"/>
          <w:szCs w:val="30"/>
          <w:lang w:val="en-PH"/>
          <w14:textFill>
            <w14:solidFill>
              <w14:schemeClr w14:val="tx1"/>
            </w14:solidFill>
          </w14:textFill>
        </w:rPr>
        <w:t xml:space="preserve"> </w:t>
      </w:r>
      <w:r>
        <w:rPr>
          <w:rFonts w:hint="default" w:ascii="Arial" w:hAnsi="Arial" w:cs="Arial"/>
          <w:color w:val="000000" w:themeColor="text1"/>
          <w:sz w:val="30"/>
          <w:szCs w:val="30"/>
          <w14:textFill>
            <w14:solidFill>
              <w14:schemeClr w14:val="tx1"/>
            </w14:solidFill>
          </w14:textFill>
        </w:rPr>
        <w:t>400</w:t>
      </w:r>
      <w:r>
        <w:rPr>
          <w:rFonts w:hint="default" w:ascii="Arial" w:hAnsi="Arial" w:cs="Arial"/>
          <w:color w:val="000000" w:themeColor="text1"/>
          <w:sz w:val="30"/>
          <w:szCs w:val="30"/>
          <w:lang w:val="en-PH"/>
          <w14:textFill>
            <w14:solidFill>
              <w14:schemeClr w14:val="tx1"/>
            </w14:solidFill>
          </w14:textFill>
        </w:rPr>
        <w:t>8</w:t>
      </w:r>
    </w:p>
    <w:p w14:paraId="4D86B9A9">
      <w:pPr>
        <w:rPr>
          <w:rFonts w:hint="default" w:ascii="Arial" w:hAnsi="Arial" w:cs="Arial"/>
          <w:sz w:val="30"/>
          <w:szCs w:val="30"/>
          <w:lang w:val="en-PH"/>
        </w:rPr>
      </w:pPr>
      <w:r>
        <w:rPr>
          <w:rFonts w:hint="default" w:ascii="Arial" w:hAnsi="Arial" w:cs="Arial"/>
          <w:b/>
          <w:bCs/>
          <w:color w:val="000000" w:themeColor="text1"/>
          <w:sz w:val="30"/>
          <w:szCs w:val="30"/>
          <w14:textFill>
            <w14:solidFill>
              <w14:schemeClr w14:val="tx1"/>
            </w14:solidFill>
          </w14:textFill>
        </w:rPr>
        <w:t>Lecturer name</w:t>
      </w:r>
      <w:r>
        <w:rPr>
          <w:rFonts w:hint="default" w:ascii="Arial" w:hAnsi="Arial" w:cs="Arial"/>
          <w:color w:val="000000" w:themeColor="text1"/>
          <w:sz w:val="30"/>
          <w:szCs w:val="30"/>
          <w14:textFill>
            <w14:solidFill>
              <w14:schemeClr w14:val="tx1"/>
            </w14:solidFill>
          </w14:textFill>
        </w:rPr>
        <w:t xml:space="preserve"> : </w:t>
      </w:r>
      <w:r>
        <w:rPr>
          <w:rFonts w:hint="default" w:ascii="Arial" w:hAnsi="Arial" w:cs="Arial"/>
          <w:color w:val="000000" w:themeColor="text1"/>
          <w:sz w:val="30"/>
          <w:szCs w:val="30"/>
          <w:lang w:val="en-PH"/>
          <w14:textFill>
            <w14:solidFill>
              <w14:schemeClr w14:val="tx1"/>
            </w14:solidFill>
          </w14:textFill>
        </w:rPr>
        <w:t>PATRONELLA GANZA</w:t>
      </w:r>
    </w:p>
    <w:p w14:paraId="7EB6882B">
      <w:pPr>
        <w:rPr>
          <w:rFonts w:hint="default" w:ascii="Arial" w:hAnsi="Arial" w:cs="Arial"/>
          <w:sz w:val="30"/>
          <w:szCs w:val="30"/>
        </w:rPr>
      </w:pPr>
    </w:p>
    <w:p w14:paraId="5604F2EB">
      <w:pPr>
        <w:rPr>
          <w:rFonts w:hint="default" w:ascii="Arial" w:hAnsi="Arial" w:cs="Arial"/>
          <w:sz w:val="22"/>
          <w:szCs w:val="22"/>
        </w:rPr>
      </w:pPr>
    </w:p>
    <w:p w14:paraId="10E2E582">
      <w:pPr>
        <w:rPr>
          <w:rFonts w:hint="default" w:ascii="Arial" w:hAnsi="Arial" w:cs="Arial"/>
          <w:sz w:val="22"/>
          <w:szCs w:val="22"/>
        </w:rPr>
      </w:pPr>
    </w:p>
    <w:p w14:paraId="768160E7">
      <w:pPr>
        <w:rPr>
          <w:rFonts w:hint="default" w:ascii="Arial" w:hAnsi="Arial" w:cs="Arial"/>
          <w:sz w:val="22"/>
          <w:szCs w:val="22"/>
        </w:rPr>
      </w:pPr>
    </w:p>
    <w:p w14:paraId="07925EB4">
      <w:pPr>
        <w:rPr>
          <w:rFonts w:hint="default" w:ascii="Arial" w:hAnsi="Arial" w:cs="Arial"/>
          <w:sz w:val="22"/>
          <w:szCs w:val="22"/>
        </w:rPr>
      </w:pPr>
    </w:p>
    <w:p w14:paraId="4611420F">
      <w:pPr>
        <w:rPr>
          <w:rFonts w:hint="default" w:ascii="Arial" w:hAnsi="Arial" w:cs="Arial"/>
          <w:sz w:val="22"/>
          <w:szCs w:val="22"/>
        </w:rPr>
      </w:pPr>
    </w:p>
    <w:p w14:paraId="558F2628">
      <w:pPr>
        <w:rPr>
          <w:rFonts w:hint="default" w:ascii="Arial" w:hAnsi="Arial" w:cs="Arial"/>
          <w:sz w:val="22"/>
          <w:szCs w:val="22"/>
        </w:rPr>
      </w:pPr>
    </w:p>
    <w:p w14:paraId="77854C8E">
      <w:pPr>
        <w:rPr>
          <w:rFonts w:hint="default" w:ascii="Arial" w:hAnsi="Arial" w:cs="Arial"/>
          <w:sz w:val="22"/>
          <w:szCs w:val="22"/>
        </w:rPr>
      </w:pPr>
    </w:p>
    <w:p w14:paraId="6BDAA37C">
      <w:pPr>
        <w:rPr>
          <w:rFonts w:hint="default" w:ascii="Arial" w:hAnsi="Arial" w:cs="Arial"/>
          <w:sz w:val="22"/>
          <w:szCs w:val="22"/>
        </w:rPr>
      </w:pPr>
    </w:p>
    <w:p w14:paraId="28E3C081">
      <w:pPr>
        <w:rPr>
          <w:rFonts w:hint="default" w:ascii="Arial" w:hAnsi="Arial" w:cs="Arial"/>
          <w:sz w:val="22"/>
          <w:szCs w:val="22"/>
        </w:rPr>
      </w:pPr>
    </w:p>
    <w:p w14:paraId="57ACF257">
      <w:pPr>
        <w:rPr>
          <w:rFonts w:hint="default" w:ascii="Arial" w:hAnsi="Arial" w:cs="Arial"/>
          <w:sz w:val="22"/>
          <w:szCs w:val="22"/>
        </w:rPr>
      </w:pPr>
    </w:p>
    <w:p w14:paraId="7685719F">
      <w:pPr>
        <w:rPr>
          <w:rFonts w:hint="default" w:ascii="Arial" w:hAnsi="Arial" w:cs="Arial"/>
          <w:sz w:val="22"/>
          <w:szCs w:val="22"/>
        </w:rPr>
      </w:pPr>
    </w:p>
    <w:p w14:paraId="4A9866E7">
      <w:pPr>
        <w:rPr>
          <w:rFonts w:hint="default" w:ascii="Arial" w:hAnsi="Arial" w:cs="Arial"/>
          <w:sz w:val="22"/>
          <w:szCs w:val="22"/>
        </w:rPr>
      </w:pPr>
    </w:p>
    <w:p w14:paraId="4B303853">
      <w:pPr>
        <w:rPr>
          <w:rFonts w:hint="default" w:ascii="Arial" w:hAnsi="Arial" w:cs="Arial"/>
          <w:sz w:val="22"/>
          <w:szCs w:val="22"/>
        </w:rPr>
      </w:pPr>
    </w:p>
    <w:p w14:paraId="310D239C">
      <w:pPr>
        <w:rPr>
          <w:rFonts w:hint="default" w:ascii="Arial" w:hAnsi="Arial" w:cs="Arial"/>
          <w:sz w:val="22"/>
          <w:szCs w:val="22"/>
        </w:rPr>
      </w:pPr>
    </w:p>
    <w:p w14:paraId="5122E558">
      <w:pPr>
        <w:rPr>
          <w:rFonts w:hint="default" w:ascii="Arial" w:hAnsi="Arial" w:cs="Arial"/>
          <w:sz w:val="22"/>
          <w:szCs w:val="22"/>
        </w:rPr>
      </w:pPr>
    </w:p>
    <w:p w14:paraId="6636704E">
      <w:pPr>
        <w:rPr>
          <w:rFonts w:hint="default" w:ascii="Arial" w:hAnsi="Arial" w:cs="Arial"/>
          <w:sz w:val="22"/>
          <w:szCs w:val="22"/>
        </w:rPr>
      </w:pPr>
    </w:p>
    <w:p w14:paraId="2DCBECDB">
      <w:pPr>
        <w:rPr>
          <w:rFonts w:hint="default" w:ascii="Arial" w:hAnsi="Arial" w:cs="Arial"/>
          <w:sz w:val="22"/>
          <w:szCs w:val="22"/>
        </w:rPr>
      </w:pPr>
    </w:p>
    <w:p w14:paraId="2997A46F">
      <w:pPr>
        <w:rPr>
          <w:rFonts w:hint="default" w:ascii="Arial" w:hAnsi="Arial" w:cs="Arial"/>
          <w:sz w:val="22"/>
          <w:szCs w:val="22"/>
        </w:rPr>
      </w:pPr>
    </w:p>
    <w:p w14:paraId="3965F042">
      <w:pPr>
        <w:rPr>
          <w:rFonts w:hint="default" w:ascii="Arial" w:hAnsi="Arial" w:cs="Arial"/>
          <w:sz w:val="22"/>
          <w:szCs w:val="22"/>
        </w:rPr>
      </w:pPr>
    </w:p>
    <w:p w14:paraId="666A3A12">
      <w:pPr>
        <w:rPr>
          <w:rFonts w:hint="default" w:ascii="Arial" w:hAnsi="Arial" w:cs="Arial"/>
          <w:sz w:val="22"/>
          <w:szCs w:val="22"/>
        </w:rPr>
      </w:pPr>
    </w:p>
    <w:p w14:paraId="3728B72D">
      <w:pPr>
        <w:rPr>
          <w:rFonts w:hint="default" w:ascii="Arial" w:hAnsi="Arial" w:cs="Arial"/>
          <w:sz w:val="22"/>
          <w:szCs w:val="22"/>
        </w:rPr>
      </w:pPr>
    </w:p>
    <w:p w14:paraId="76E8C055">
      <w:pPr>
        <w:rPr>
          <w:rFonts w:hint="default" w:ascii="Arial" w:hAnsi="Arial" w:cs="Arial"/>
          <w:sz w:val="22"/>
          <w:szCs w:val="22"/>
        </w:rPr>
      </w:pPr>
    </w:p>
    <w:p w14:paraId="61C02511">
      <w:pPr>
        <w:rPr>
          <w:rFonts w:hint="default" w:ascii="Arial" w:hAnsi="Arial" w:cs="Arial"/>
          <w:sz w:val="22"/>
          <w:szCs w:val="22"/>
        </w:rPr>
      </w:pPr>
    </w:p>
    <w:p w14:paraId="50731114">
      <w:pPr>
        <w:rPr>
          <w:rFonts w:hint="default" w:ascii="Arial" w:hAnsi="Arial" w:cs="Arial"/>
          <w:sz w:val="22"/>
          <w:szCs w:val="22"/>
        </w:rPr>
      </w:pPr>
    </w:p>
    <w:p w14:paraId="77E74E32">
      <w:pPr>
        <w:rPr>
          <w:rFonts w:hint="default" w:ascii="Arial" w:hAnsi="Arial" w:cs="Arial"/>
          <w:sz w:val="22"/>
          <w:szCs w:val="22"/>
        </w:rPr>
      </w:pPr>
    </w:p>
    <w:p w14:paraId="7C0155E3">
      <w:pPr>
        <w:rPr>
          <w:rFonts w:hint="default" w:ascii="Arial" w:hAnsi="Arial" w:cs="Arial"/>
          <w:sz w:val="22"/>
          <w:szCs w:val="22"/>
        </w:rPr>
      </w:pPr>
    </w:p>
    <w:p w14:paraId="46663BC1">
      <w:pPr>
        <w:rPr>
          <w:rFonts w:hint="default" w:ascii="Arial" w:hAnsi="Arial" w:cs="Arial"/>
          <w:sz w:val="22"/>
          <w:szCs w:val="22"/>
        </w:rPr>
      </w:pPr>
    </w:p>
    <w:p w14:paraId="729EAC4F">
      <w:pPr>
        <w:rPr>
          <w:rFonts w:hint="default" w:ascii="Arial" w:hAnsi="Arial" w:cs="Arial"/>
          <w:sz w:val="22"/>
          <w:szCs w:val="22"/>
        </w:rPr>
      </w:pPr>
    </w:p>
    <w:p w14:paraId="3F659063">
      <w:pPr>
        <w:rPr>
          <w:rFonts w:hint="default" w:ascii="Arial" w:hAnsi="Arial" w:cs="Arial"/>
          <w:sz w:val="22"/>
          <w:szCs w:val="22"/>
        </w:rPr>
      </w:pPr>
    </w:p>
    <w:p w14:paraId="276CA4E0">
      <w:pPr>
        <w:rPr>
          <w:rFonts w:hint="default" w:ascii="Arial" w:hAnsi="Arial" w:cs="Arial"/>
          <w:sz w:val="22"/>
          <w:szCs w:val="22"/>
        </w:rPr>
      </w:pPr>
    </w:p>
    <w:p w14:paraId="4D835C01">
      <w:pPr>
        <w:rPr>
          <w:rFonts w:hint="default" w:ascii="Arial" w:hAnsi="Arial" w:cs="Arial"/>
          <w:sz w:val="22"/>
          <w:szCs w:val="22"/>
        </w:rPr>
      </w:pPr>
    </w:p>
    <w:p w14:paraId="51FDF931">
      <w:pPr>
        <w:rPr>
          <w:rFonts w:hint="default" w:ascii="Arial" w:hAnsi="Arial" w:cs="Arial"/>
          <w:sz w:val="22"/>
          <w:szCs w:val="22"/>
        </w:rPr>
      </w:pPr>
      <w:r>
        <w:rPr>
          <w:rFonts w:hint="default" w:ascii="Arial" w:hAnsi="Arial" w:cs="Arial"/>
          <w:sz w:val="22"/>
          <w:szCs w:val="22"/>
        </w:rPr>
        <mc:AlternateContent>
          <mc:Choice Requires="wps">
            <w:drawing>
              <wp:anchor distT="0" distB="0" distL="114300" distR="114300" simplePos="0" relativeHeight="251659264" behindDoc="0" locked="0" layoutInCell="1" allowOverlap="1">
                <wp:simplePos x="0" y="0"/>
                <wp:positionH relativeFrom="column">
                  <wp:posOffset>1333500</wp:posOffset>
                </wp:positionH>
                <wp:positionV relativeFrom="paragraph">
                  <wp:posOffset>-516890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6374EA03">
                            <w:pP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pPr>
                            <w: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t>TUBERCULOSIS</w:t>
                            </w:r>
                          </w:p>
                        </w:txbxContent>
                      </wps:txbx>
                      <wps:bodyPr rot="0" spcFirstLastPara="0" vertOverflow="overflow" horzOverflow="overflow" vert="horz" wrap="none" lIns="91440" tIns="45720" rIns="91440" bIns="45720" numCol="1" spcCol="0" rtlCol="0" fromWordArt="0" anchor="t" anchorCtr="0" forceAA="0" compatLnSpc="1">
                        <a:spAutoFit/>
                      </wps:bodyPr>
                    </wps:wsp>
                  </a:graphicData>
                </a:graphic>
              </wp:anchor>
            </w:drawing>
          </mc:Choice>
          <mc:Fallback>
            <w:pict>
              <v:shape id="_x0000_s1026" o:spid="_x0000_s1026" o:spt="202" type="#_x0000_t202" style="position:absolute;left:0pt;margin-left:105pt;margin-top:-40.7pt;height:144pt;width:144pt;mso-wrap-style:none;z-index:251659264;mso-width-relative:page;mso-height-relative:page;" filled="f" stroked="f" coordsize="21600,21600" o:gfxdata="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">
                <v:fill on="f" focussize="0,0"/>
                <v:stroke on="f" weight="0.5pt"/>
                <v:imagedata o:title=""/>
                <o:lock v:ext="edit" aspectratio="f"/>
                <v:textbox style="mso-fit-shape-to-text:t;">
                  <w:txbxContent>
                    <w:p w14:paraId="6374EA03">
                      <w:pP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pPr>
                      <w:r>
                        <w:rPr>
                          <w:rFonts w:hint="default"/>
                          <w:b/>
                          <w:bCs/>
                          <w:color w:val="000000" w:themeColor="text1"/>
                          <w:sz w:val="72"/>
                          <w:szCs w:val="72"/>
                          <w:lang w:val="en-PH"/>
                          <w14:shadow w14:blurRad="38100" w14:dist="19050" w14:dir="2700000" w14:sx="100000" w14:sy="100000" w14:kx="0" w14:ky="0" w14:algn="tl">
                            <w14:schemeClr w14:val="dk1">
                              <w14:alpha w14:val="60000"/>
                            </w14:schemeClr>
                          </w14:shadow>
                          <w14:textFill>
                            <w14:solidFill>
                              <w14:schemeClr w14:val="tx1"/>
                            </w14:solidFill>
                          </w14:textFill>
                        </w:rPr>
                        <w:t>TUBERCULOSIS</w:t>
                      </w:r>
                    </w:p>
                  </w:txbxContent>
                </v:textbox>
              </v:shape>
            </w:pict>
          </mc:Fallback>
        </mc:AlternateContent>
      </w:r>
    </w:p>
    <w:p w14:paraId="5AAF4C81">
      <w:pPr>
        <w:rPr>
          <w:rFonts w:hint="default" w:ascii="Arial" w:hAnsi="Arial" w:cs="Arial"/>
          <w:sz w:val="22"/>
          <w:szCs w:val="22"/>
        </w:rPr>
      </w:pPr>
    </w:p>
    <w:p w14:paraId="2D05EAD0">
      <w:pPr>
        <w:rPr>
          <w:rFonts w:hint="default" w:ascii="Arial" w:hAnsi="Arial" w:cs="Arial"/>
          <w:sz w:val="22"/>
          <w:szCs w:val="22"/>
        </w:rPr>
      </w:pPr>
    </w:p>
    <w:p w14:paraId="3FFB1B5F">
      <w:pPr>
        <w:spacing w:line="360" w:lineRule="auto"/>
        <w:rPr>
          <w:rFonts w:hint="default" w:ascii="Arial" w:hAnsi="Arial" w:cs="Arial"/>
          <w:b/>
          <w:bCs/>
          <w:sz w:val="22"/>
          <w:szCs w:val="22"/>
          <w:lang w:val="en-PH"/>
        </w:rPr>
      </w:pPr>
      <w:r>
        <w:rPr>
          <w:rFonts w:hint="default" w:ascii="Arial" w:hAnsi="Arial" w:cs="Arial"/>
          <w:b/>
          <w:bCs/>
          <w:sz w:val="22"/>
          <w:szCs w:val="22"/>
          <w:lang w:val="en-PH"/>
        </w:rPr>
        <w:t>INTRODUCTION</w:t>
      </w:r>
    </w:p>
    <w:p w14:paraId="5C0CDBBC">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Tuberculosis (TB) is an infectious disease caused by </w:t>
      </w:r>
      <w:r>
        <w:rPr>
          <w:rStyle w:val="7"/>
          <w:rFonts w:hint="default" w:ascii="Arial" w:hAnsi="Arial" w:cs="Arial"/>
          <w:sz w:val="22"/>
          <w:szCs w:val="22"/>
        </w:rPr>
        <w:t>Mycobacterium tuberculosis</w:t>
      </w:r>
      <w:r>
        <w:rPr>
          <w:rFonts w:hint="default" w:ascii="Arial" w:hAnsi="Arial" w:cs="Arial"/>
          <w:sz w:val="22"/>
          <w:szCs w:val="22"/>
        </w:rPr>
        <w:t xml:space="preserve"> (World Health Organization, 2023). It mainly affects the lungs but can spread to other organs such as the brain, kidneys, and spine. TB is transmitted through airborne droplets when an infected person coughs, sneezes, or speaks.</w:t>
      </w:r>
    </w:p>
    <w:p w14:paraId="07E0F478">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It remains a major global health issue, especially in low- and middle-income countries, despite being preventable and curable. TB exists in latent form, where no symptoms are present, and active form, which causes symptoms such as persistent cough, fever, night sweats, weight loss, and chest pain.</w:t>
      </w:r>
    </w:p>
    <w:p w14:paraId="4599283A">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Early diagnosis, vaccination with the BCG vaccine, and completing antibiotic treatment are essential to control its spread (World Health Organization, 2023; NHS, 2023).</w:t>
      </w:r>
    </w:p>
    <w:p w14:paraId="05F5869F">
      <w:pPr>
        <w:pStyle w:val="3"/>
        <w:keepNext w:val="0"/>
        <w:keepLines w:val="0"/>
        <w:widowControl/>
        <w:suppressLineNumbers w:val="0"/>
        <w:rPr>
          <w:rFonts w:hint="default" w:ascii="Arial" w:hAnsi="Arial" w:cs="Arial"/>
          <w:sz w:val="22"/>
          <w:szCs w:val="22"/>
        </w:rPr>
      </w:pPr>
      <w:r>
        <w:rPr>
          <w:rStyle w:val="12"/>
          <w:rFonts w:hint="default" w:ascii="Arial" w:hAnsi="Arial" w:cs="Arial"/>
          <w:b/>
          <w:bCs/>
          <w:sz w:val="22"/>
          <w:szCs w:val="22"/>
        </w:rPr>
        <w:t>Causes and Transmission</w:t>
      </w:r>
    </w:p>
    <w:p w14:paraId="0BF8DE0F">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When an infected person coughs, sneezes, speaks, or sings, the bacteria that cause tuberculosis travel through the air. Inhaling these bacteria could infect anyone in close contact with them. However, some people have latent TB infections without symptoms, therefore not all infected people develop active TB disease (Centers for Disease Control and Prevention, 2022).</w:t>
      </w:r>
    </w:p>
    <w:p w14:paraId="4B7C479C">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44DC2CA4">
      <w:pPr>
        <w:pStyle w:val="3"/>
        <w:keepNext w:val="0"/>
        <w:keepLines w:val="0"/>
        <w:widowControl/>
        <w:suppressLineNumbers w:val="0"/>
        <w:spacing w:line="360" w:lineRule="auto"/>
        <w:rPr>
          <w:rFonts w:hint="default" w:ascii="Arial" w:hAnsi="Arial" w:cs="Arial"/>
          <w:sz w:val="22"/>
          <w:szCs w:val="22"/>
        </w:rPr>
      </w:pPr>
      <w:r>
        <w:rPr>
          <w:rStyle w:val="12"/>
          <w:rFonts w:hint="default" w:ascii="Arial" w:hAnsi="Arial" w:cs="Arial"/>
          <w:b/>
          <w:bCs/>
          <w:sz w:val="22"/>
          <w:szCs w:val="22"/>
        </w:rPr>
        <w:t>Signs and Symptoms</w:t>
      </w:r>
    </w:p>
    <w:p w14:paraId="67E7F429">
      <w:pPr>
        <w:pStyle w:val="11"/>
        <w:keepNext w:val="0"/>
        <w:keepLines w:val="0"/>
        <w:widowControl/>
        <w:suppressLineNumbers w:val="0"/>
        <w:spacing w:line="360" w:lineRule="auto"/>
        <w:rPr>
          <w:rFonts w:hint="default" w:ascii="Arial" w:hAnsi="Arial" w:eastAsia="SimSun" w:cs="Arial"/>
          <w:sz w:val="22"/>
          <w:szCs w:val="22"/>
        </w:rPr>
      </w:pPr>
      <w:r>
        <w:rPr>
          <w:rFonts w:hint="default" w:ascii="Arial" w:hAnsi="Arial" w:eastAsia="SimSun" w:cs="Arial"/>
          <w:sz w:val="22"/>
          <w:szCs w:val="22"/>
        </w:rPr>
        <w:t>Common signs and symptoms of tuberculosis include a persistent cough lasting more than three weeks, chest pain, and coughing up blood or sputum (haemoptysis). Individuals may also experience fever, night sweats, fatigue, and general weakness. Other symptoms include unintentional weight loss and loss of appetite, which often reflect the progressive impact of the infection on overall health.</w:t>
      </w:r>
    </w:p>
    <w:p w14:paraId="0ADCD06B">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lang w:val="en-PH"/>
        </w:rPr>
        <w:t>Extra pulmonary</w:t>
      </w:r>
      <w:r>
        <w:rPr>
          <w:rFonts w:hint="default" w:ascii="Arial" w:hAnsi="Arial" w:cs="Arial"/>
          <w:sz w:val="22"/>
          <w:szCs w:val="22"/>
        </w:rPr>
        <w:t xml:space="preserve"> TB symptoms vary depending on the affected organ (NHS, 2023).</w:t>
      </w:r>
    </w:p>
    <w:p w14:paraId="30BF40A2">
      <w:pPr>
        <w:keepNext w:val="0"/>
        <w:keepLines w:val="0"/>
        <w:widowControl/>
        <w:numPr>
          <w:ilvl w:val="0"/>
          <w:numId w:val="0"/>
        </w:numPr>
        <w:suppressLineNumbers w:val="0"/>
        <w:spacing w:line="360" w:lineRule="auto"/>
        <w:ind w:leftChars="0"/>
        <w:jc w:val="left"/>
        <w:rPr>
          <w:rFonts w:hint="default" w:ascii="Arial" w:hAnsi="Arial" w:cs="Arial"/>
          <w:sz w:val="22"/>
          <w:szCs w:val="22"/>
          <w:lang w:val="en-US" w:eastAsia="zh-CN"/>
        </w:rPr>
      </w:pPr>
    </w:p>
    <w:p w14:paraId="78562B37">
      <w:pPr>
        <w:keepNext w:val="0"/>
        <w:keepLines w:val="0"/>
        <w:widowControl/>
        <w:numPr>
          <w:ilvl w:val="0"/>
          <w:numId w:val="0"/>
        </w:numPr>
        <w:suppressLineNumbers w:val="0"/>
        <w:spacing w:line="360" w:lineRule="auto"/>
        <w:ind w:leftChars="0"/>
        <w:jc w:val="left"/>
        <w:rPr>
          <w:rFonts w:hint="default" w:ascii="Arial" w:hAnsi="Arial" w:cs="Arial"/>
          <w:sz w:val="22"/>
          <w:szCs w:val="22"/>
          <w:lang w:val="en-US" w:eastAsia="zh-CN"/>
        </w:rPr>
      </w:pPr>
    </w:p>
    <w:p w14:paraId="1BCB8DA6">
      <w:pPr>
        <w:pStyle w:val="3"/>
        <w:keepNext w:val="0"/>
        <w:keepLines w:val="0"/>
        <w:widowControl/>
        <w:suppressLineNumbers w:val="0"/>
        <w:spacing w:line="360" w:lineRule="auto"/>
        <w:rPr>
          <w:rFonts w:hint="default" w:ascii="Arial" w:hAnsi="Arial" w:cs="Arial"/>
          <w:sz w:val="22"/>
          <w:szCs w:val="22"/>
        </w:rPr>
      </w:pPr>
      <w:r>
        <w:rPr>
          <w:rStyle w:val="12"/>
          <w:rFonts w:hint="default" w:ascii="Arial" w:hAnsi="Arial" w:cs="Arial"/>
          <w:b/>
          <w:bCs/>
          <w:sz w:val="22"/>
          <w:szCs w:val="22"/>
        </w:rPr>
        <w:t>Global and UK Incidence</w:t>
      </w:r>
    </w:p>
    <w:p w14:paraId="41D60F25">
      <w:pPr>
        <w:pStyle w:val="11"/>
        <w:keepNext w:val="0"/>
        <w:keepLines w:val="0"/>
        <w:widowControl/>
        <w:numPr>
          <w:numId w:val="0"/>
        </w:numPr>
        <w:suppressLineNumbers w:val="0"/>
        <w:spacing w:line="360" w:lineRule="auto"/>
        <w:ind w:leftChars="0" w:right="0" w:rightChars="0"/>
        <w:rPr>
          <w:rFonts w:hint="default" w:ascii="Arial" w:hAnsi="Arial" w:eastAsia="SimSun" w:cs="Arial"/>
          <w:kern w:val="0"/>
          <w:sz w:val="22"/>
          <w:szCs w:val="22"/>
          <w:lang w:val="en-US" w:eastAsia="zh-CN" w:bidi="ar"/>
        </w:rPr>
      </w:pPr>
      <w:r>
        <w:rPr>
          <w:rFonts w:hint="default" w:ascii="Arial" w:hAnsi="Arial" w:cs="Arial"/>
          <w:sz w:val="22"/>
          <w:szCs w:val="22"/>
        </w:rPr>
        <w:t>One of the most common infectious causes of death globally is still tuberculosis. The World Health Organization (2023) estimates that 10.6 million people worldwide contracted tuberculosis in 2022 and that 1.3 million people died from the disease.</w:t>
      </w:r>
    </w:p>
    <w:p w14:paraId="13C17AB9">
      <w:pPr>
        <w:pStyle w:val="11"/>
        <w:keepNext w:val="0"/>
        <w:keepLines w:val="0"/>
        <w:widowControl/>
        <w:numPr>
          <w:numId w:val="0"/>
        </w:numPr>
        <w:suppressLineNumbers w:val="0"/>
        <w:spacing w:line="360" w:lineRule="auto"/>
        <w:ind w:leftChars="0" w:right="0" w:rightChars="0"/>
        <w:rPr>
          <w:rFonts w:hint="default" w:ascii="Arial" w:hAnsi="Arial" w:eastAsia="SimSun" w:cs="Arial"/>
          <w:kern w:val="0"/>
          <w:sz w:val="22"/>
          <w:szCs w:val="22"/>
          <w:lang w:val="en-US" w:eastAsia="zh-CN" w:bidi="ar"/>
        </w:rPr>
      </w:pPr>
      <w:bookmarkStart w:id="0" w:name="_GoBack"/>
      <w:bookmarkEnd w:id="0"/>
      <w:r>
        <w:rPr>
          <w:rFonts w:hint="default" w:ascii="Arial" w:hAnsi="Arial" w:cs="Arial"/>
          <w:sz w:val="22"/>
          <w:szCs w:val="22"/>
        </w:rPr>
        <w:t>In comparison to other countries, the incidence of tuberculosis is quite low in the United Kingdom. Approximately 4,850 TB cases were reported in 2022, indicating a slow decrease but nevertheless emphasizing the necessity of ongoing surveillance and management (UK Health Security Agency, 2023).</w:t>
      </w:r>
    </w:p>
    <w:p w14:paraId="35036045">
      <w:pPr>
        <w:pStyle w:val="11"/>
        <w:keepNext w:val="0"/>
        <w:keepLines w:val="0"/>
        <w:widowControl/>
        <w:numPr>
          <w:ilvl w:val="0"/>
          <w:numId w:val="0"/>
        </w:numPr>
        <w:suppressLineNumbers w:val="0"/>
        <w:spacing w:before="0" w:beforeAutospacing="1" w:after="0" w:afterAutospacing="1" w:line="360" w:lineRule="auto"/>
        <w:ind w:right="0" w:rightChars="0"/>
        <w:jc w:val="left"/>
        <w:rPr>
          <w:rFonts w:hint="default" w:ascii="Arial" w:hAnsi="Arial" w:cs="Arial"/>
          <w:b/>
          <w:bCs/>
          <w:sz w:val="22"/>
          <w:szCs w:val="22"/>
          <w:lang w:val="en-PH"/>
        </w:rPr>
      </w:pPr>
      <w:r>
        <w:rPr>
          <w:rFonts w:hint="default" w:ascii="Arial" w:hAnsi="Arial" w:cs="Arial"/>
          <w:b/>
          <w:bCs/>
          <w:sz w:val="22"/>
          <w:szCs w:val="22"/>
          <w:lang w:val="en-PH"/>
        </w:rPr>
        <w:t>Approaches to Measure and Monitor the Diseases</w:t>
      </w:r>
    </w:p>
    <w:p w14:paraId="25E62DB1">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eastAsia="sans-serif" w:cs="Arial"/>
          <w:i w:val="0"/>
          <w:iCs w:val="0"/>
          <w:caps w:val="0"/>
          <w:color w:val="172B4D"/>
          <w:spacing w:val="0"/>
          <w:sz w:val="22"/>
          <w:szCs w:val="22"/>
          <w:shd w:val="clear" w:fill="FFFFFF"/>
        </w:rPr>
        <w:t>Epidemiological surveillance measures TB by systematically collecting and analyzing data on prevalence, incidence, and mortality. This helps identify high-risk groups and assess disease impact. The WHO compiles global data in its annual Global Tuberculosis Report to guide resource allocation (World Health Organization, 2023).</w:t>
      </w:r>
    </w:p>
    <w:p w14:paraId="24501F80">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38F8C30D">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eastAsia="SimSun" w:cs="Arial"/>
          <w:sz w:val="22"/>
          <w:szCs w:val="22"/>
        </w:rPr>
        <w:t xml:space="preserve">Surveillance systems can be either </w:t>
      </w:r>
      <w:r>
        <w:rPr>
          <w:rStyle w:val="12"/>
          <w:rFonts w:hint="default" w:ascii="Arial" w:hAnsi="Arial" w:eastAsia="SimSun" w:cs="Arial"/>
          <w:sz w:val="22"/>
          <w:szCs w:val="22"/>
        </w:rPr>
        <w:t>passive or active</w:t>
      </w:r>
      <w:r>
        <w:rPr>
          <w:rFonts w:hint="default" w:ascii="Arial" w:hAnsi="Arial" w:eastAsia="SimSun" w:cs="Arial"/>
          <w:sz w:val="22"/>
          <w:szCs w:val="22"/>
        </w:rPr>
        <w:t>.</w:t>
      </w:r>
      <w:r>
        <w:rPr>
          <w:rFonts w:hint="default" w:ascii="Arial" w:hAnsi="Arial" w:eastAsia="sans-serif" w:cs="Arial"/>
          <w:i w:val="0"/>
          <w:iCs w:val="0"/>
          <w:caps w:val="0"/>
          <w:color w:val="172B4D"/>
          <w:spacing w:val="0"/>
          <w:sz w:val="22"/>
          <w:szCs w:val="22"/>
          <w:shd w:val="clear" w:fill="FFFFFF"/>
        </w:rPr>
        <w:t xml:space="preserve">Passive TB surveillance relies on healthcare reports and may underestimate cases due to </w:t>
      </w:r>
      <w:r>
        <w:rPr>
          <w:rFonts w:hint="default" w:ascii="Arial" w:hAnsi="Arial" w:eastAsia="sans-serif" w:cs="Arial"/>
          <w:i w:val="0"/>
          <w:iCs w:val="0"/>
          <w:caps w:val="0"/>
          <w:color w:val="172B4D"/>
          <w:spacing w:val="0"/>
          <w:sz w:val="22"/>
          <w:szCs w:val="22"/>
          <w:shd w:val="clear" w:fill="FFFFFF"/>
          <w:lang w:val="en-PH"/>
        </w:rPr>
        <w:t>under reporting</w:t>
      </w:r>
      <w:r>
        <w:rPr>
          <w:rFonts w:hint="default" w:ascii="Arial" w:hAnsi="Arial" w:eastAsia="sans-serif" w:cs="Arial"/>
          <w:i w:val="0"/>
          <w:iCs w:val="0"/>
          <w:caps w:val="0"/>
          <w:color w:val="172B4D"/>
          <w:spacing w:val="0"/>
          <w:sz w:val="22"/>
          <w:szCs w:val="22"/>
          <w:shd w:val="clear" w:fill="FFFFFF"/>
        </w:rPr>
        <w:t>. Active surveillance uses screenings in high-risk groups to detect cases early and reduce transmission but requires more resources (Centers for Disease Control and Prevention, 2022).</w:t>
      </w:r>
    </w:p>
    <w:p w14:paraId="7F5A3F49">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2EE5B9F8">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eastAsia="SimSun" w:cs="Arial"/>
          <w:sz w:val="22"/>
          <w:szCs w:val="22"/>
        </w:rPr>
        <w:t xml:space="preserve">Diagnostic testing is essential for measuring tuberculosis (TB), as it confirms infection and assesses disease severity. Sputum smear microscopy is a simple and affordable method but has low sensitivity. More advanced tests, such as culture and </w:t>
      </w:r>
      <w:r>
        <w:rPr>
          <w:rFonts w:hint="default" w:ascii="Arial" w:hAnsi="Arial" w:eastAsia="SimSun" w:cs="Arial"/>
          <w:sz w:val="22"/>
          <w:szCs w:val="22"/>
          <w:lang w:val="en-PH"/>
        </w:rPr>
        <w:t>Gen-expert</w:t>
      </w:r>
      <w:r>
        <w:rPr>
          <w:rFonts w:hint="default" w:ascii="Arial" w:hAnsi="Arial" w:eastAsia="SimSun" w:cs="Arial"/>
          <w:sz w:val="22"/>
          <w:szCs w:val="22"/>
        </w:rPr>
        <w:t>, provide faster, more accurate results and can detect drug resistance (World Health Organization, 2023).</w:t>
      </w:r>
    </w:p>
    <w:p w14:paraId="461896A3">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027F1930">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eastAsia="SimSun" w:cs="Arial"/>
          <w:sz w:val="22"/>
          <w:szCs w:val="22"/>
        </w:rPr>
        <w:t xml:space="preserve">Screening </w:t>
      </w:r>
      <w:r>
        <w:rPr>
          <w:rFonts w:hint="default" w:ascii="Arial" w:hAnsi="Arial" w:eastAsia="SimSun" w:cs="Arial"/>
          <w:sz w:val="22"/>
          <w:szCs w:val="22"/>
          <w:lang w:val="en-PH"/>
        </w:rPr>
        <w:t>programme</w:t>
      </w:r>
      <w:r>
        <w:rPr>
          <w:rFonts w:hint="default" w:ascii="Arial" w:hAnsi="Arial" w:eastAsia="SimSun" w:cs="Arial"/>
          <w:sz w:val="22"/>
          <w:szCs w:val="22"/>
        </w:rPr>
        <w:t xml:space="preserve"> play an important role in monitoring tuberculosis (TB) by identifying high-risk individuals without symptoms. Common methods include chest X-rays, tuberculin skin tests (TST), and interferon-gamma release assays (IGRAs). These are useful for detecting latent TB, allowing preventive treatment and reducing the risk of future outbreaks (NHS, 2023).</w:t>
      </w:r>
    </w:p>
    <w:p w14:paraId="6D465826">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4ACED2BD">
      <w:pPr>
        <w:keepNext w:val="0"/>
        <w:keepLines w:val="0"/>
        <w:widowControl/>
        <w:numPr>
          <w:ilvl w:val="0"/>
          <w:numId w:val="0"/>
        </w:numPr>
        <w:suppressLineNumbers w:val="0"/>
        <w:spacing w:line="360" w:lineRule="auto"/>
        <w:ind w:leftChars="0"/>
        <w:jc w:val="left"/>
        <w:rPr>
          <w:rFonts w:hint="default" w:ascii="Arial" w:hAnsi="Arial" w:cs="Arial"/>
          <w:sz w:val="22"/>
          <w:szCs w:val="22"/>
          <w:lang w:val="en-PH"/>
        </w:rPr>
      </w:pPr>
      <w:r>
        <w:rPr>
          <w:rFonts w:hint="default" w:ascii="Arial" w:hAnsi="Arial" w:eastAsia="SimSun" w:cs="Arial"/>
          <w:sz w:val="22"/>
          <w:szCs w:val="22"/>
        </w:rPr>
        <w:t>Monitoring TB includes tracking treatment outcomes and ensuring patients complete the full six-month course. Systems record cure rates, completion, relapse, and deaths. Directly Observed Treatment, Short-course (DOTS) helps improve adherence and reduce drug resistance, while monitoring data evaluates program effectiveness.</w:t>
      </w:r>
    </w:p>
    <w:p w14:paraId="51F61E54">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Fonts w:hint="default" w:ascii="Arial" w:hAnsi="Arial" w:eastAsia="SimSun" w:cs="Arial"/>
          <w:sz w:val="22"/>
          <w:szCs w:val="22"/>
        </w:rPr>
        <w:t>Contact tracing is another key approach, involving the identification and screening of people who have been in close contact with a TB patient. It helps detect cases early and prevent further spread, especially in homes, schools, and workplaces. Monitoring contacts over time allows healthcare providers to identify active and latent TB and provide appropriate treatment or preventive care (NHS, 2023)</w:t>
      </w:r>
    </w:p>
    <w:p w14:paraId="2D78D2B2">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lang w:val="en-PH"/>
        </w:rPr>
      </w:pPr>
    </w:p>
    <w:p w14:paraId="6323CC7B">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Style w:val="12"/>
          <w:rFonts w:hint="default" w:ascii="Arial" w:hAnsi="Arial" w:eastAsia="SimSun" w:cs="Arial"/>
          <w:sz w:val="22"/>
          <w:szCs w:val="22"/>
        </w:rPr>
        <w:t>Population-based surveys</w:t>
      </w:r>
      <w:r>
        <w:rPr>
          <w:rFonts w:hint="default" w:ascii="Arial" w:hAnsi="Arial" w:eastAsia="SimSun" w:cs="Arial"/>
          <w:sz w:val="22"/>
          <w:szCs w:val="22"/>
        </w:rPr>
        <w:t xml:space="preserve"> also contribute to measuring TB burden, especially in settings where routine surveillance data may be incomplete. These surveys involve systematically sampling a population to estimate TB prevalence and assess risk factors. They provide more accurate estimates of disease burden and help identify gaps in case detection. However, such surveys are resource-intensive and are typically conducted periodically rather than continuously (World Health Organization, 2023).</w:t>
      </w:r>
    </w:p>
    <w:p w14:paraId="218D75D9">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lang w:val="en-PH"/>
        </w:rPr>
      </w:pPr>
    </w:p>
    <w:p w14:paraId="6F1B3C32">
      <w:pPr>
        <w:keepNext w:val="0"/>
        <w:keepLines w:val="0"/>
        <w:widowControl/>
        <w:numPr>
          <w:ilvl w:val="0"/>
          <w:numId w:val="0"/>
        </w:numPr>
        <w:suppressLineNumbers w:val="0"/>
        <w:spacing w:line="360" w:lineRule="auto"/>
        <w:ind w:leftChars="0"/>
        <w:jc w:val="left"/>
        <w:rPr>
          <w:rFonts w:hint="default" w:ascii="Arial" w:hAnsi="Arial" w:cs="Arial"/>
          <w:sz w:val="22"/>
          <w:szCs w:val="22"/>
          <w:lang w:val="en-PH"/>
        </w:rPr>
      </w:pPr>
      <w:r>
        <w:rPr>
          <w:rFonts w:hint="default" w:ascii="Arial" w:hAnsi="Arial" w:eastAsia="SimSun" w:cs="Arial"/>
          <w:sz w:val="22"/>
          <w:szCs w:val="22"/>
          <w:lang w:val="en-PH"/>
        </w:rPr>
        <w:t>M</w:t>
      </w:r>
      <w:r>
        <w:rPr>
          <w:rFonts w:hint="default" w:ascii="Arial" w:hAnsi="Arial" w:eastAsia="SimSun" w:cs="Arial"/>
          <w:sz w:val="22"/>
          <w:szCs w:val="22"/>
        </w:rPr>
        <w:t xml:space="preserve">onitoring TB requires addressing </w:t>
      </w:r>
      <w:r>
        <w:rPr>
          <w:rStyle w:val="12"/>
          <w:rFonts w:hint="default" w:ascii="Arial" w:hAnsi="Arial" w:eastAsia="SimSun" w:cs="Arial"/>
          <w:sz w:val="22"/>
          <w:szCs w:val="22"/>
        </w:rPr>
        <w:t>social determinants and risk factors</w:t>
      </w:r>
      <w:r>
        <w:rPr>
          <w:rFonts w:hint="default" w:ascii="Arial" w:hAnsi="Arial" w:eastAsia="SimSun" w:cs="Arial"/>
          <w:sz w:val="22"/>
          <w:szCs w:val="22"/>
        </w:rPr>
        <w:t>. Factors such as poverty, malnutrition, overcrowding, and HIV infection significantly influence TB transmission and outcomes. Monitoring these determinants alongside epidemiological data helps provide a more comprehensive understanding of the disease. For example, integrating TB and HIV monitoring systems allows healthcare providers to identify co-infected individuals and deliver coordinated care, improving patient outcomes (Centers for Disease Control and Prevention, 2022).</w:t>
      </w:r>
    </w:p>
    <w:p w14:paraId="2995C8E2">
      <w:pPr>
        <w:keepNext w:val="0"/>
        <w:keepLines w:val="0"/>
        <w:widowControl/>
        <w:numPr>
          <w:ilvl w:val="0"/>
          <w:numId w:val="0"/>
        </w:numPr>
        <w:suppressLineNumbers w:val="0"/>
        <w:spacing w:line="360" w:lineRule="auto"/>
        <w:ind w:leftChars="0"/>
        <w:jc w:val="left"/>
        <w:rPr>
          <w:rFonts w:hint="default" w:ascii="Arial" w:hAnsi="Arial" w:cs="Arial"/>
          <w:sz w:val="22"/>
          <w:szCs w:val="22"/>
          <w:lang w:val="en-PH"/>
        </w:rPr>
      </w:pPr>
    </w:p>
    <w:p w14:paraId="030F3170">
      <w:pPr>
        <w:keepNext w:val="0"/>
        <w:keepLines w:val="0"/>
        <w:widowControl/>
        <w:numPr>
          <w:ilvl w:val="0"/>
          <w:numId w:val="0"/>
        </w:numPr>
        <w:suppressLineNumbers w:val="0"/>
        <w:spacing w:line="360" w:lineRule="auto"/>
        <w:jc w:val="left"/>
        <w:rPr>
          <w:rFonts w:hint="default" w:ascii="Arial" w:hAnsi="Arial" w:eastAsia="SimSun" w:cs="Arial"/>
          <w:b/>
          <w:bCs/>
          <w:sz w:val="22"/>
          <w:szCs w:val="22"/>
        </w:rPr>
      </w:pPr>
      <w:r>
        <w:rPr>
          <w:rFonts w:hint="default" w:ascii="Arial" w:hAnsi="Arial" w:eastAsia="SimSun" w:cs="Arial"/>
          <w:b/>
          <w:bCs/>
          <w:sz w:val="22"/>
          <w:szCs w:val="22"/>
        </w:rPr>
        <w:t>How Tuberculosis is Controlled</w:t>
      </w:r>
    </w:p>
    <w:p w14:paraId="3F65DC6D">
      <w:pPr>
        <w:keepNext w:val="0"/>
        <w:keepLines w:val="0"/>
        <w:widowControl/>
        <w:numPr>
          <w:ilvl w:val="0"/>
          <w:numId w:val="0"/>
        </w:numPr>
        <w:suppressLineNumbers w:val="0"/>
        <w:spacing w:line="360" w:lineRule="auto"/>
        <w:jc w:val="left"/>
        <w:rPr>
          <w:rFonts w:hint="default" w:ascii="Arial" w:hAnsi="Arial" w:eastAsia="SimSun" w:cs="Arial"/>
          <w:b/>
          <w:bCs/>
          <w:sz w:val="22"/>
          <w:szCs w:val="22"/>
        </w:rPr>
      </w:pPr>
    </w:p>
    <w:p w14:paraId="4B624747">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Tuberculosis (TB) must be controlled by a comprehensive and coordinated approach that includes early detection, effective treatment, immunization, public health policies, and social support systems. These strategies are intended to limit disease transmission, enhance patient outcomes, and eventually eliminate the disease.</w:t>
      </w:r>
    </w:p>
    <w:p w14:paraId="5615242C">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1BBF84B5">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eastAsia="SimSun" w:cs="Arial"/>
          <w:b/>
          <w:bCs/>
          <w:kern w:val="0"/>
          <w:sz w:val="22"/>
          <w:szCs w:val="22"/>
          <w:lang w:val="en-US" w:eastAsia="zh-CN" w:bidi="ar"/>
        </w:rPr>
        <w:t xml:space="preserve">Early diagnosis and treatment </w:t>
      </w:r>
      <w:r>
        <w:rPr>
          <w:rFonts w:hint="default" w:ascii="Arial" w:hAnsi="Arial" w:eastAsia="SimSun" w:cs="Arial"/>
          <w:kern w:val="0"/>
          <w:sz w:val="22"/>
          <w:szCs w:val="22"/>
          <w:lang w:val="en-US" w:eastAsia="zh-CN" w:bidi="ar"/>
        </w:rPr>
        <w:t>are critical measures for controlling tuberculosis. Identifying people with active tuberculosis as soon as feasible helps to prevent the infection from spreading to others. Once identified, patients are given a combination of antibiotics for a minimum of six months.</w:t>
      </w:r>
      <w:r>
        <w:rPr>
          <w:rFonts w:hint="default" w:ascii="Arial" w:hAnsi="Arial" w:eastAsia="SimSun" w:cs="Arial"/>
          <w:sz w:val="22"/>
          <w:szCs w:val="22"/>
        </w:rPr>
        <w:t>The standard treatment regimen for tuberculosis typically includes isoniazid, rifampicin, ethambutol, and pyrazinamide.</w:t>
      </w:r>
      <w:r>
        <w:rPr>
          <w:rFonts w:hint="default" w:ascii="Arial" w:hAnsi="Arial" w:eastAsia="SimSun" w:cs="Arial"/>
          <w:kern w:val="0"/>
          <w:sz w:val="22"/>
          <w:szCs w:val="22"/>
          <w:lang w:val="en-US" w:eastAsia="zh-CN" w:bidi="ar"/>
        </w:rPr>
        <w:t>. Effective therapy not only cures the patient but also minimizes infectiousness, decreasing transmission in the community (World Health Organization, 2023).</w:t>
      </w:r>
    </w:p>
    <w:p w14:paraId="29722A21">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Style w:val="12"/>
          <w:rFonts w:hint="default" w:ascii="Arial" w:hAnsi="Arial" w:eastAsia="SimSun" w:cs="Arial"/>
          <w:sz w:val="22"/>
          <w:szCs w:val="22"/>
        </w:rPr>
        <w:t>Vaccination</w:t>
      </w:r>
      <w:r>
        <w:rPr>
          <w:rFonts w:hint="default" w:ascii="Arial" w:hAnsi="Arial" w:eastAsia="SimSun" w:cs="Arial"/>
          <w:sz w:val="22"/>
          <w:szCs w:val="22"/>
        </w:rPr>
        <w:t xml:space="preserve"> also plays an important role in TB control. </w:t>
      </w:r>
      <w:r>
        <w:rPr>
          <w:rFonts w:hint="default" w:ascii="Arial" w:hAnsi="Arial" w:eastAsia="SimSun" w:cs="Arial"/>
          <w:sz w:val="22"/>
          <w:szCs w:val="22"/>
          <w:lang w:val="en-PH"/>
        </w:rPr>
        <w:t>The</w:t>
      </w:r>
      <w:r>
        <w:rPr>
          <w:rFonts w:hint="default" w:ascii="Arial" w:hAnsi="Arial" w:eastAsia="SimSun" w:cs="Arial"/>
          <w:sz w:val="22"/>
          <w:szCs w:val="22"/>
        </w:rPr>
        <w:t xml:space="preserve"> Bacillus Calmette–Guérin (BCG) </w:t>
      </w:r>
      <w:r>
        <w:rPr>
          <w:rFonts w:hint="default" w:ascii="Arial" w:hAnsi="Arial" w:eastAsia="SimSun" w:cs="Arial"/>
          <w:sz w:val="22"/>
          <w:szCs w:val="22"/>
          <w:lang w:val="en-PH"/>
        </w:rPr>
        <w:t>vaccine is</w:t>
      </w:r>
      <w:r>
        <w:rPr>
          <w:rFonts w:hint="default" w:ascii="Arial" w:hAnsi="Arial" w:eastAsia="SimSun" w:cs="Arial"/>
          <w:sz w:val="22"/>
          <w:szCs w:val="22"/>
        </w:rPr>
        <w:t xml:space="preserve"> commonly administered to infants in countries with a high prevalence of TB. While the vaccine does not always prevent pulmonary TB in adults, it is effective in protecting children against severe forms of the disease, such as TB meningitis and miliary TB. Vaccination therefore contributes to reducing the overall burden of TB, particularly in high-risk populations (NHS, 2023).</w:t>
      </w:r>
    </w:p>
    <w:p w14:paraId="5D978B70">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lang w:val="en-PH"/>
        </w:rPr>
      </w:pPr>
    </w:p>
    <w:p w14:paraId="38A1E78F">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lang w:val="en-PH"/>
        </w:rPr>
      </w:pPr>
      <w:r>
        <w:rPr>
          <w:rFonts w:hint="default" w:ascii="Arial" w:hAnsi="Arial" w:eastAsia="SimSun" w:cs="Arial"/>
          <w:sz w:val="22"/>
          <w:szCs w:val="22"/>
        </w:rPr>
        <w:t xml:space="preserve">Controlling TB also involves addressing </w:t>
      </w:r>
      <w:r>
        <w:rPr>
          <w:rStyle w:val="12"/>
          <w:rFonts w:hint="default" w:ascii="Arial" w:hAnsi="Arial" w:eastAsia="SimSun" w:cs="Arial"/>
          <w:sz w:val="22"/>
          <w:szCs w:val="22"/>
        </w:rPr>
        <w:t>drug-resistant forms of the disease</w:t>
      </w:r>
      <w:r>
        <w:rPr>
          <w:rFonts w:hint="default" w:ascii="Arial" w:hAnsi="Arial" w:eastAsia="SimSun" w:cs="Arial"/>
          <w:sz w:val="22"/>
          <w:szCs w:val="22"/>
        </w:rPr>
        <w:t xml:space="preserve">, such as </w:t>
      </w:r>
      <w:r>
        <w:rPr>
          <w:rFonts w:hint="default" w:ascii="Arial" w:hAnsi="Arial" w:eastAsia="SimSun" w:cs="Arial"/>
          <w:sz w:val="22"/>
          <w:szCs w:val="22"/>
          <w:lang w:val="en-PH"/>
        </w:rPr>
        <w:t>multi drug-resistant</w:t>
      </w:r>
      <w:r>
        <w:rPr>
          <w:rFonts w:hint="default" w:ascii="Arial" w:hAnsi="Arial" w:eastAsia="SimSun" w:cs="Arial"/>
          <w:sz w:val="22"/>
          <w:szCs w:val="22"/>
        </w:rPr>
        <w:t xml:space="preserve"> TB (MDR-TB) and extensively drug-resistant TB (XDR-TB). These forms require longer, more complex, and often more expensive treatment regimens. Monitoring drug resistance and ensuring appropriate treatment are essential to prevent the spread of resistant strains. Strengthening laboratory capacity and access to rapid diagnostic tools plays a key role in managing drug-resistant TB (World Health Organization, 2023).</w:t>
      </w:r>
    </w:p>
    <w:p w14:paraId="5B3C19EA">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imSun" w:cs="Arial"/>
          <w:b/>
          <w:bCs/>
          <w:sz w:val="22"/>
          <w:szCs w:val="22"/>
        </w:rPr>
      </w:pPr>
      <w:r>
        <w:rPr>
          <w:rFonts w:hint="default" w:ascii="Arial" w:hAnsi="Arial" w:eastAsia="SimSun" w:cs="Arial"/>
          <w:b/>
          <w:bCs/>
          <w:sz w:val="22"/>
          <w:szCs w:val="22"/>
        </w:rPr>
        <w:t>Consequences of Tuberculosis on Individuals and the Community</w:t>
      </w:r>
    </w:p>
    <w:p w14:paraId="7A92BAEC">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 TB also impacts mental health. Many diagnosed individuals face anxiety, stress, and depression due to stigma. Fear of infecting others and social isolation during treatment harm mental well-being. Some may hide their condition to avoid discrimination, delaying treatment and raising transmission risk (Centers for Disease Control and Prevention, 2022).</w:t>
      </w:r>
    </w:p>
    <w:p w14:paraId="74449847">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TB has significant social consequences in communities. Stigma and discrimination, especially where awareness is low, often lead to exclusion from social activities, education, and employment. This isolation lowers quality of life and discourages individuals from seeking treatment, which can further spread the disease (NHS, 2023).</w:t>
      </w:r>
    </w:p>
    <w:p w14:paraId="3652B591">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Another key consequence is TB’s high transmission risk within communities. It spreads through the air, especially in crowded places like homes, schools, and workplaces. Without effective control, one infected person can infect many others, underscoring the need for early diagnosis, treatment, and public health measures to curb transmission (World Health Organization, 2023).</w:t>
      </w:r>
    </w:p>
    <w:p w14:paraId="2CABAD61">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b/>
          <w:bCs/>
          <w:i w:val="0"/>
          <w:iCs w:val="0"/>
          <w:caps w:val="0"/>
          <w:color w:val="172B4D"/>
          <w:spacing w:val="0"/>
          <w:sz w:val="22"/>
          <w:szCs w:val="22"/>
          <w:shd w:val="clear" w:fill="FFFFFF"/>
          <w:lang w:val="en-PH" w:eastAsia="zh-CN"/>
        </w:rPr>
      </w:pPr>
      <w:r>
        <w:rPr>
          <w:rFonts w:hint="default" w:ascii="Arial" w:hAnsi="Arial" w:eastAsia="sans-serif" w:cs="Arial"/>
          <w:b/>
          <w:bCs/>
          <w:i w:val="0"/>
          <w:iCs w:val="0"/>
          <w:caps w:val="0"/>
          <w:color w:val="172B4D"/>
          <w:spacing w:val="0"/>
          <w:sz w:val="22"/>
          <w:szCs w:val="22"/>
          <w:shd w:val="clear" w:fill="FFFFFF"/>
          <w:lang w:val="en-PH" w:eastAsia="zh-CN"/>
        </w:rPr>
        <w:t>What does TB do to the body?</w:t>
      </w:r>
    </w:p>
    <w:p w14:paraId="24E96DF7">
      <w:pPr>
        <w:keepNext w:val="0"/>
        <w:keepLines w:val="0"/>
        <w:widowControl/>
        <w:suppressLineNumbers w:val="0"/>
        <w:spacing w:line="360" w:lineRule="auto"/>
        <w:jc w:val="left"/>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Inflammation and lung tissue destruction are the main effects of tuberculosis (TB), which can cause symptoms like a chronic cough, chest pain, and blood in the cough. Untreated tuberculosis (TB) can cause catastrophic problems including meningitis or organ failure by spreading through the circulation to other regions of the body, such as the brain, kidneys, and spine (NHS, 2023).</w:t>
      </w:r>
    </w:p>
    <w:p w14:paraId="01813913">
      <w:pPr>
        <w:keepNext w:val="0"/>
        <w:keepLines w:val="0"/>
        <w:widowControl/>
        <w:suppressLineNumbers w:val="0"/>
        <w:spacing w:line="360" w:lineRule="auto"/>
        <w:jc w:val="left"/>
        <w:rPr>
          <w:rFonts w:hint="default" w:ascii="Arial" w:hAnsi="Arial" w:eastAsia="SimSun" w:cs="Arial"/>
          <w:kern w:val="0"/>
          <w:sz w:val="22"/>
          <w:szCs w:val="22"/>
          <w:lang w:val="en-PH" w:eastAsia="zh-CN" w:bidi="ar"/>
        </w:rPr>
      </w:pPr>
    </w:p>
    <w:p w14:paraId="0D4AEE67">
      <w:pPr>
        <w:pStyle w:val="11"/>
        <w:keepNext w:val="0"/>
        <w:keepLines w:val="0"/>
        <w:widowControl/>
        <w:numPr>
          <w:ilvl w:val="0"/>
          <w:numId w:val="0"/>
        </w:numPr>
        <w:suppressLineNumbers w:val="0"/>
        <w:spacing w:before="0" w:beforeAutospacing="1" w:after="0" w:afterAutospacing="1" w:line="360" w:lineRule="auto"/>
        <w:ind w:right="0" w:rightChars="0"/>
        <w:jc w:val="left"/>
        <w:rPr>
          <w:rFonts w:hint="default" w:ascii="Arial" w:hAnsi="Arial" w:eastAsia="SimSun" w:cs="Arial"/>
          <w:b/>
          <w:bCs/>
          <w:sz w:val="22"/>
          <w:szCs w:val="22"/>
        </w:rPr>
      </w:pPr>
      <w:r>
        <w:rPr>
          <w:rFonts w:hint="default" w:ascii="Arial" w:hAnsi="Arial" w:eastAsia="SimSun" w:cs="Arial"/>
          <w:b/>
          <w:bCs/>
          <w:sz w:val="22"/>
          <w:szCs w:val="22"/>
        </w:rPr>
        <w:t>Health and Social Care Support Services for Individuals with Tuberculosis</w:t>
      </w:r>
    </w:p>
    <w:p w14:paraId="338905BB">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Access to timely diagnosis, antibiotic treatment, and regular monitoring is essential for TB patients. Treatment lasts at least six months and requires follow-up to ensure adherence and prevent resistance. Healthcare facilities play a key role in care and patient monitoring (World Health Organization, 2023).</w:t>
      </w:r>
    </w:p>
    <w:p w14:paraId="3DEAB1FD">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imSun" w:cs="Arial"/>
          <w:b/>
          <w:bCs/>
          <w:sz w:val="22"/>
          <w:szCs w:val="22"/>
          <w:lang w:val="en-PH" w:eastAsia="zh-CN"/>
        </w:rPr>
      </w:pPr>
      <w:r>
        <w:rPr>
          <w:rFonts w:hint="default" w:ascii="Arial" w:hAnsi="Arial" w:eastAsia="sans-serif" w:cs="Arial"/>
          <w:i w:val="0"/>
          <w:iCs w:val="0"/>
          <w:caps w:val="0"/>
          <w:color w:val="172B4D"/>
          <w:spacing w:val="0"/>
          <w:sz w:val="22"/>
          <w:szCs w:val="22"/>
          <w:shd w:val="clear" w:fill="FFFFFF"/>
        </w:rPr>
        <w:t>TB patients also need nursing and community support, including home visits, symptom monitoring, medication management, and infection control advice, especially for those with limited healthcare access (NHS, 2023).</w:t>
      </w:r>
    </w:p>
    <w:p w14:paraId="6CB87393">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i w:val="0"/>
          <w:iCs w:val="0"/>
          <w:caps w:val="0"/>
          <w:color w:val="172B4D"/>
          <w:spacing w:val="0"/>
          <w:sz w:val="22"/>
          <w:szCs w:val="22"/>
          <w:shd w:val="clear" w:fill="FFFFFF"/>
        </w:rPr>
      </w:pPr>
      <w:r>
        <w:rPr>
          <w:rFonts w:hint="default" w:ascii="Arial" w:hAnsi="Arial" w:eastAsia="sans-serif" w:cs="Arial"/>
          <w:i w:val="0"/>
          <w:iCs w:val="0"/>
          <w:caps w:val="0"/>
          <w:color w:val="172B4D"/>
          <w:spacing w:val="0"/>
          <w:sz w:val="22"/>
          <w:szCs w:val="22"/>
          <w:shd w:val="clear" w:fill="FFFFFF"/>
        </w:rPr>
        <w:t>Health education is essential for TB support, reducing stigma, encouraging early diagnosis, and promoting treatment adherence. Community campaigns also raise awareness and cut discrimination (NHS, 2023).</w:t>
      </w:r>
    </w:p>
    <w:p w14:paraId="379F83DB">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i w:val="0"/>
          <w:iCs w:val="0"/>
          <w:caps w:val="0"/>
          <w:color w:val="172B4D"/>
          <w:spacing w:val="0"/>
          <w:sz w:val="22"/>
          <w:szCs w:val="22"/>
          <w:shd w:val="clear" w:fill="FFFFFF"/>
        </w:rPr>
      </w:pPr>
    </w:p>
    <w:p w14:paraId="10A46FFB">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b/>
          <w:bCs/>
          <w:i w:val="0"/>
          <w:iCs w:val="0"/>
          <w:caps w:val="0"/>
          <w:color w:val="172B4D"/>
          <w:spacing w:val="0"/>
          <w:sz w:val="22"/>
          <w:szCs w:val="22"/>
          <w:shd w:val="clear" w:fill="FFFFFF"/>
          <w:lang w:val="en-PH"/>
        </w:rPr>
      </w:pPr>
      <w:r>
        <w:rPr>
          <w:rFonts w:hint="default" w:ascii="Arial" w:hAnsi="Arial" w:eastAsia="sans-serif" w:cs="Arial"/>
          <w:b/>
          <w:bCs/>
          <w:i w:val="0"/>
          <w:iCs w:val="0"/>
          <w:caps w:val="0"/>
          <w:color w:val="172B4D"/>
          <w:spacing w:val="0"/>
          <w:sz w:val="22"/>
          <w:szCs w:val="22"/>
          <w:shd w:val="clear" w:fill="FFFFFF"/>
          <w:lang w:val="en-PH"/>
        </w:rPr>
        <w:t>What about support for the psychologcal impact?</w:t>
      </w:r>
    </w:p>
    <w:p w14:paraId="09CF6E82">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Tuberculosis (TB) can have a significant psychological impact on individuals, including anxiety, depression, stress, and feelings of isolation due to long treatment periods, stigma, and disruption to daily life. Support for this impact is an important part of holistic care. This may include counselling services, mental health support from healthcare professionals, peer support groups, and education to reduce stigma and improve understanding of the disease. Family and community support also plays a key role in helping individuals cope emotionally and maintain treatment adherence (World Health Organization, 2023).</w:t>
      </w:r>
    </w:p>
    <w:p w14:paraId="73571736">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b/>
          <w:bCs/>
          <w:i w:val="0"/>
          <w:iCs w:val="0"/>
          <w:caps w:val="0"/>
          <w:color w:val="172B4D"/>
          <w:spacing w:val="0"/>
          <w:sz w:val="22"/>
          <w:szCs w:val="22"/>
          <w:shd w:val="clear" w:fill="FFFFFF"/>
          <w:lang w:val="en-PH" w:eastAsia="zh-CN"/>
        </w:rPr>
      </w:pPr>
    </w:p>
    <w:p w14:paraId="371EFE82">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b/>
          <w:bCs/>
          <w:i w:val="0"/>
          <w:iCs w:val="0"/>
          <w:caps w:val="0"/>
          <w:color w:val="172B4D"/>
          <w:spacing w:val="0"/>
          <w:sz w:val="22"/>
          <w:szCs w:val="22"/>
          <w:shd w:val="clear" w:fill="FFFFFF"/>
          <w:lang w:val="en-PH" w:eastAsia="zh-CN"/>
        </w:rPr>
      </w:pPr>
    </w:p>
    <w:p w14:paraId="18E3046C">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eastAsia="sans-serif" w:cs="Arial"/>
          <w:b/>
          <w:bCs/>
          <w:i w:val="0"/>
          <w:iCs w:val="0"/>
          <w:caps w:val="0"/>
          <w:color w:val="172B4D"/>
          <w:spacing w:val="0"/>
          <w:sz w:val="22"/>
          <w:szCs w:val="22"/>
          <w:shd w:val="clear" w:fill="FFFFFF"/>
          <w:lang w:val="en-PH" w:eastAsia="zh-CN"/>
        </w:rPr>
      </w:pPr>
    </w:p>
    <w:p w14:paraId="6747E5E2">
      <w:pPr>
        <w:pStyle w:val="11"/>
        <w:keepNext w:val="0"/>
        <w:keepLines w:val="0"/>
        <w:widowControl/>
        <w:numPr>
          <w:ilvl w:val="0"/>
          <w:numId w:val="0"/>
        </w:numPr>
        <w:suppressLineNumbers w:val="0"/>
        <w:spacing w:before="0" w:beforeAutospacing="1" w:after="0" w:afterAutospacing="1" w:line="360" w:lineRule="auto"/>
        <w:ind w:leftChars="0" w:right="0" w:rightChars="0"/>
        <w:jc w:val="left"/>
        <w:rPr>
          <w:rFonts w:hint="default" w:ascii="Arial" w:hAnsi="Arial" w:cs="Arial"/>
          <w:b/>
          <w:bCs/>
          <w:sz w:val="22"/>
          <w:szCs w:val="22"/>
          <w:lang w:val="en-PH" w:eastAsia="zh-CN"/>
        </w:rPr>
      </w:pPr>
      <w:r>
        <w:rPr>
          <w:rFonts w:hint="default" w:ascii="Arial" w:hAnsi="Arial" w:cs="Arial"/>
          <w:b/>
          <w:bCs/>
          <w:sz w:val="22"/>
          <w:szCs w:val="22"/>
          <w:lang w:val="en-PH" w:eastAsia="zh-CN"/>
        </w:rPr>
        <w:t>Conclusion</w:t>
      </w:r>
    </w:p>
    <w:p w14:paraId="3D2619A7">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Tuberculosis (TB) remains a significant global health concern despite being both preventable and curable. Effective control relies on early diagnosis, accurate monitoring, vaccination, and strict adherence to treatment. Key strategies such as epidemiological surveillance, diagnostic testing, screening, contact tracing, and drug resistance monitoring are essential for identifying cases early and limiting transmission (World Health Organization, 2023). The use of Directly Observed Treatment, Short-course (DOTS), alongside infection control and community-based care, improves treatment outcomes and reduces the spread of the disease.</w:t>
      </w:r>
    </w:p>
    <w:p w14:paraId="541929CE">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However, challenges including </w:t>
      </w:r>
      <w:r>
        <w:rPr>
          <w:rFonts w:hint="default" w:ascii="Arial" w:hAnsi="Arial" w:cs="Arial"/>
          <w:sz w:val="22"/>
          <w:szCs w:val="22"/>
          <w:lang w:val="en-PH"/>
        </w:rPr>
        <w:t>multi drug-resistant</w:t>
      </w:r>
      <w:r>
        <w:rPr>
          <w:rFonts w:hint="default" w:ascii="Arial" w:hAnsi="Arial" w:cs="Arial"/>
          <w:sz w:val="22"/>
          <w:szCs w:val="22"/>
        </w:rPr>
        <w:t xml:space="preserve"> TB, delayed diagnosis, social stigma, poverty, and limited access to healthcare continue to hinder progress (Centers for Disease Control and Prevention, 2022). Addressing TB requires a comprehensive approach that combines medical treatment with social support, health education, and improved living conditions. Sustained global collaboration and investment are essential for long-term control and eventual eradication (NHS, 2023).</w:t>
      </w:r>
    </w:p>
    <w:p w14:paraId="62376812">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3EEA3535">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32FB88AA">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286FB3D">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1D044724">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A46B438">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05561E65">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7AACBEB9">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FA07E82">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3C2253BC">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5E5F203E">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01BF6BA9">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7DEB85C8">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2436F760">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260CD851">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0EB67054">
      <w:pPr>
        <w:keepNext w:val="0"/>
        <w:keepLines w:val="0"/>
        <w:widowControl/>
        <w:numPr>
          <w:ilvl w:val="0"/>
          <w:numId w:val="0"/>
        </w:numPr>
        <w:suppressLineNumbers w:val="0"/>
        <w:spacing w:line="360" w:lineRule="auto"/>
        <w:ind w:leftChars="0"/>
        <w:jc w:val="left"/>
        <w:rPr>
          <w:rFonts w:hint="default" w:ascii="Arial" w:hAnsi="Arial" w:eastAsia="SimSun" w:cs="Arial"/>
          <w:kern w:val="0"/>
          <w:sz w:val="22"/>
          <w:szCs w:val="22"/>
          <w:lang w:val="en-US" w:eastAsia="zh-CN" w:bidi="ar"/>
        </w:rPr>
      </w:pPr>
    </w:p>
    <w:p w14:paraId="174D2952">
      <w:pPr>
        <w:keepNext w:val="0"/>
        <w:keepLines w:val="0"/>
        <w:widowControl/>
        <w:numPr>
          <w:ilvl w:val="0"/>
          <w:numId w:val="0"/>
        </w:numPr>
        <w:suppressLineNumbers w:val="0"/>
        <w:spacing w:line="360" w:lineRule="auto"/>
        <w:ind w:leftChars="0"/>
        <w:jc w:val="left"/>
        <w:rPr>
          <w:rFonts w:hint="default" w:ascii="Arial" w:hAnsi="Arial" w:eastAsia="SimSun" w:cs="Arial"/>
          <w:b/>
          <w:bCs/>
          <w:kern w:val="0"/>
          <w:sz w:val="22"/>
          <w:szCs w:val="22"/>
          <w:lang w:val="en-PH" w:eastAsia="zh-CN" w:bidi="ar"/>
        </w:rPr>
      </w:pPr>
      <w:r>
        <w:rPr>
          <w:rFonts w:hint="default" w:ascii="Arial" w:hAnsi="Arial" w:eastAsia="SimSun" w:cs="Arial"/>
          <w:b/>
          <w:bCs/>
          <w:kern w:val="0"/>
          <w:sz w:val="22"/>
          <w:szCs w:val="22"/>
          <w:lang w:val="en-PH" w:eastAsia="zh-CN" w:bidi="ar"/>
        </w:rPr>
        <w:t>REFERENCE</w:t>
      </w:r>
    </w:p>
    <w:p w14:paraId="3CA4A148">
      <w:pPr>
        <w:spacing w:line="360" w:lineRule="auto"/>
        <w:rPr>
          <w:rFonts w:hint="default" w:ascii="Arial" w:hAnsi="Arial" w:cs="Arial"/>
          <w:sz w:val="22"/>
          <w:szCs w:val="22"/>
        </w:rPr>
      </w:pPr>
      <w:r>
        <w:rPr>
          <w:rFonts w:hint="default" w:ascii="Arial" w:hAnsi="Arial" w:cs="Arial"/>
          <w:sz w:val="22"/>
          <w:szCs w:val="22"/>
        </w:rPr>
        <w:t xml:space="preserve">NHS (2023) Tuberculosis (TB). Available at: </w:t>
      </w:r>
      <w:r>
        <w:rPr>
          <w:rFonts w:hint="default" w:ascii="Arial" w:hAnsi="Arial" w:cs="Arial"/>
          <w:sz w:val="22"/>
          <w:szCs w:val="22"/>
        </w:rPr>
        <w:fldChar w:fldCharType="begin"/>
      </w:r>
      <w:r>
        <w:rPr>
          <w:rFonts w:hint="default" w:ascii="Arial" w:hAnsi="Arial" w:cs="Arial"/>
          <w:sz w:val="22"/>
          <w:szCs w:val="22"/>
        </w:rPr>
        <w:instrText xml:space="preserve"> HYPERLINK "https://www.nhs.uk/conditions/tuberculosis-tb/" </w:instrText>
      </w:r>
      <w:r>
        <w:rPr>
          <w:rFonts w:hint="default" w:ascii="Arial" w:hAnsi="Arial" w:cs="Arial"/>
          <w:sz w:val="22"/>
          <w:szCs w:val="22"/>
        </w:rPr>
        <w:fldChar w:fldCharType="separate"/>
      </w:r>
      <w:r>
        <w:rPr>
          <w:rStyle w:val="10"/>
          <w:rFonts w:hint="default" w:ascii="Arial" w:hAnsi="Arial" w:cs="Arial"/>
          <w:sz w:val="22"/>
          <w:szCs w:val="22"/>
        </w:rPr>
        <w:t>https://www.nhs.uk/conditions/tuberculosis-tb/</w:t>
      </w:r>
      <w:r>
        <w:rPr>
          <w:rFonts w:hint="default" w:ascii="Arial" w:hAnsi="Arial" w:cs="Arial"/>
          <w:sz w:val="22"/>
          <w:szCs w:val="22"/>
        </w:rPr>
        <w:fldChar w:fldCharType="end"/>
      </w:r>
    </w:p>
    <w:p w14:paraId="7AC8250B">
      <w:pPr>
        <w:spacing w:line="360" w:lineRule="auto"/>
        <w:rPr>
          <w:rFonts w:hint="default" w:ascii="Arial" w:hAnsi="Arial" w:cs="Arial"/>
          <w:sz w:val="22"/>
          <w:szCs w:val="22"/>
        </w:rPr>
      </w:pPr>
    </w:p>
    <w:p w14:paraId="45DCFFE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World Health Organization (WHO) (2023) Tuberculosis. Available at: </w:t>
      </w:r>
      <w:r>
        <w:rPr>
          <w:rFonts w:hint="default" w:ascii="Arial" w:hAnsi="Arial" w:cs="Arial"/>
          <w:sz w:val="22"/>
          <w:szCs w:val="22"/>
        </w:rPr>
        <w:fldChar w:fldCharType="begin"/>
      </w:r>
      <w:r>
        <w:rPr>
          <w:rFonts w:hint="default" w:ascii="Arial" w:hAnsi="Arial" w:cs="Arial"/>
          <w:sz w:val="22"/>
          <w:szCs w:val="22"/>
        </w:rPr>
        <w:instrText xml:space="preserve"> HYPERLINK "https://www.who.int/news-room/fact-sheets/detail/tuberculosis" </w:instrText>
      </w:r>
      <w:r>
        <w:rPr>
          <w:rFonts w:hint="default" w:ascii="Arial" w:hAnsi="Arial" w:cs="Arial"/>
          <w:sz w:val="22"/>
          <w:szCs w:val="22"/>
        </w:rPr>
        <w:fldChar w:fldCharType="separate"/>
      </w:r>
      <w:r>
        <w:rPr>
          <w:rStyle w:val="10"/>
          <w:rFonts w:hint="default" w:ascii="Arial" w:hAnsi="Arial" w:cs="Arial"/>
          <w:sz w:val="22"/>
          <w:szCs w:val="22"/>
        </w:rPr>
        <w:t>https://www.who.int/news-room/fact-sheets/detail/tuberculosis</w:t>
      </w:r>
      <w:r>
        <w:rPr>
          <w:rFonts w:hint="default" w:ascii="Arial" w:hAnsi="Arial" w:cs="Arial"/>
          <w:sz w:val="22"/>
          <w:szCs w:val="22"/>
        </w:rPr>
        <w:fldChar w:fldCharType="end"/>
      </w:r>
    </w:p>
    <w:p w14:paraId="4C455028">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2EA9E39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UK Health Security Agency (UKHSA) (2023) Tuberculosis in England: annual report. </w:t>
      </w:r>
    </w:p>
    <w:p w14:paraId="6C1CD52C">
      <w:pPr>
        <w:keepNext w:val="0"/>
        <w:keepLines w:val="0"/>
        <w:widowControl/>
        <w:numPr>
          <w:ilvl w:val="0"/>
          <w:numId w:val="0"/>
        </w:numPr>
        <w:suppressLineNumbers w:val="0"/>
        <w:spacing w:line="360" w:lineRule="auto"/>
        <w:ind w:leftChars="0"/>
        <w:jc w:val="left"/>
        <w:rPr>
          <w:rFonts w:hint="default" w:ascii="Arial" w:hAnsi="Arial" w:cs="Arial"/>
          <w:sz w:val="22"/>
          <w:szCs w:val="22"/>
        </w:rPr>
      </w:pPr>
      <w:r>
        <w:rPr>
          <w:rFonts w:hint="default" w:ascii="Arial" w:hAnsi="Arial" w:cs="Arial"/>
          <w:sz w:val="22"/>
          <w:szCs w:val="22"/>
        </w:rPr>
        <w:t xml:space="preserve">Available at: </w:t>
      </w:r>
      <w:r>
        <w:rPr>
          <w:rFonts w:hint="default" w:ascii="Arial" w:hAnsi="Arial" w:cs="Arial"/>
          <w:sz w:val="22"/>
          <w:szCs w:val="22"/>
        </w:rPr>
        <w:fldChar w:fldCharType="begin"/>
      </w:r>
      <w:r>
        <w:rPr>
          <w:rFonts w:hint="default" w:ascii="Arial" w:hAnsi="Arial" w:cs="Arial"/>
          <w:sz w:val="22"/>
          <w:szCs w:val="22"/>
        </w:rPr>
        <w:instrText xml:space="preserve"> HYPERLINK "https://www.gov.uk/government/organisations/uk-health-security-agency" </w:instrText>
      </w:r>
      <w:r>
        <w:rPr>
          <w:rFonts w:hint="default" w:ascii="Arial" w:hAnsi="Arial" w:cs="Arial"/>
          <w:sz w:val="22"/>
          <w:szCs w:val="22"/>
        </w:rPr>
        <w:fldChar w:fldCharType="separate"/>
      </w:r>
      <w:r>
        <w:rPr>
          <w:rStyle w:val="10"/>
          <w:rFonts w:hint="default" w:ascii="Arial" w:hAnsi="Arial" w:cs="Arial"/>
          <w:sz w:val="22"/>
          <w:szCs w:val="22"/>
        </w:rPr>
        <w:t>https://www.gov.uk/government/organisations/uk-health-security-agency</w:t>
      </w:r>
      <w:r>
        <w:rPr>
          <w:rFonts w:hint="default" w:ascii="Arial" w:hAnsi="Arial" w:cs="Arial"/>
          <w:sz w:val="22"/>
          <w:szCs w:val="22"/>
        </w:rPr>
        <w:fldChar w:fldCharType="end"/>
      </w:r>
    </w:p>
    <w:p w14:paraId="26A8FC84">
      <w:pPr>
        <w:keepNext w:val="0"/>
        <w:keepLines w:val="0"/>
        <w:widowControl/>
        <w:numPr>
          <w:ilvl w:val="0"/>
          <w:numId w:val="0"/>
        </w:numPr>
        <w:suppressLineNumbers w:val="0"/>
        <w:spacing w:line="360" w:lineRule="auto"/>
        <w:ind w:leftChars="0"/>
        <w:jc w:val="left"/>
        <w:rPr>
          <w:rFonts w:hint="default" w:ascii="Arial" w:hAnsi="Arial" w:cs="Arial"/>
          <w:sz w:val="22"/>
          <w:szCs w:val="22"/>
        </w:rPr>
      </w:pPr>
    </w:p>
    <w:p w14:paraId="2A49A729">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Fonts w:hint="default" w:ascii="Arial" w:hAnsi="Arial" w:eastAsia="SimSun" w:cs="Arial"/>
          <w:sz w:val="22"/>
          <w:szCs w:val="22"/>
        </w:rPr>
        <w:t xml:space="preserve">Centers for Disease Control and Prevention (2022) </w:t>
      </w:r>
      <w:r>
        <w:rPr>
          <w:rStyle w:val="7"/>
          <w:rFonts w:hint="default" w:ascii="Arial" w:hAnsi="Arial" w:eastAsia="SimSun" w:cs="Arial"/>
          <w:sz w:val="22"/>
          <w:szCs w:val="22"/>
        </w:rPr>
        <w:t>Tuberculosis (TB)</w:t>
      </w:r>
      <w:r>
        <w:rPr>
          <w:rFonts w:hint="default" w:ascii="Arial" w:hAnsi="Arial" w:eastAsia="SimSun" w:cs="Arial"/>
          <w:sz w:val="22"/>
          <w:szCs w:val="22"/>
        </w:rPr>
        <w:t xml:space="preserve">.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"https://www.cdc.gov/tb" \t "_new"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https://www.cdc.gov/tb</w:t>
      </w:r>
      <w:r>
        <w:rPr>
          <w:rFonts w:hint="default" w:ascii="Arial" w:hAnsi="Arial" w:eastAsia="SimSun" w:cs="Arial"/>
          <w:sz w:val="22"/>
          <w:szCs w:val="22"/>
        </w:rPr>
        <w:fldChar w:fldCharType="end"/>
      </w:r>
    </w:p>
    <w:p w14:paraId="5BEF014A">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p>
    <w:p w14:paraId="67A61D10">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r>
        <w:rPr>
          <w:rFonts w:hint="default" w:ascii="Arial" w:hAnsi="Arial" w:eastAsia="SimSun" w:cs="Arial"/>
          <w:sz w:val="22"/>
          <w:szCs w:val="22"/>
        </w:rPr>
        <w:t xml:space="preserve">UK Health Security Agency (2023) </w:t>
      </w:r>
      <w:r>
        <w:rPr>
          <w:rStyle w:val="7"/>
          <w:rFonts w:hint="default" w:ascii="Arial" w:hAnsi="Arial" w:eastAsia="SimSun" w:cs="Arial"/>
          <w:sz w:val="22"/>
          <w:szCs w:val="22"/>
        </w:rPr>
        <w:t>Tuberculosis in England: 2023 report</w:t>
      </w:r>
      <w:r>
        <w:rPr>
          <w:rFonts w:hint="default" w:ascii="Arial" w:hAnsi="Arial" w:eastAsia="SimSun" w:cs="Arial"/>
          <w:sz w:val="22"/>
          <w:szCs w:val="22"/>
        </w:rPr>
        <w:t xml:space="preserve">. Available at: </w:t>
      </w:r>
      <w:r>
        <w:rPr>
          <w:rFonts w:hint="default" w:ascii="Arial" w:hAnsi="Arial" w:eastAsia="SimSun" w:cs="Arial"/>
          <w:sz w:val="22"/>
          <w:szCs w:val="22"/>
        </w:rPr>
        <w:fldChar w:fldCharType="begin"/>
      </w:r>
      <w:r>
        <w:rPr>
          <w:rFonts w:hint="default" w:ascii="Arial" w:hAnsi="Arial" w:eastAsia="SimSun" w:cs="Arial"/>
          <w:sz w:val="22"/>
          <w:szCs w:val="22"/>
        </w:rPr>
        <w:instrText xml:space="preserve"> HYPERLINK "https://www.gov.uk" \t "_new" </w:instrText>
      </w:r>
      <w:r>
        <w:rPr>
          <w:rFonts w:hint="default" w:ascii="Arial" w:hAnsi="Arial" w:eastAsia="SimSun" w:cs="Arial"/>
          <w:sz w:val="22"/>
          <w:szCs w:val="22"/>
        </w:rPr>
        <w:fldChar w:fldCharType="separate"/>
      </w:r>
      <w:r>
        <w:rPr>
          <w:rStyle w:val="10"/>
          <w:rFonts w:hint="default" w:ascii="Arial" w:hAnsi="Arial" w:eastAsia="SimSun" w:cs="Arial"/>
          <w:sz w:val="22"/>
          <w:szCs w:val="22"/>
        </w:rPr>
        <w:t>https://www.gov.uk</w:t>
      </w:r>
      <w:r>
        <w:rPr>
          <w:rFonts w:hint="default" w:ascii="Arial" w:hAnsi="Arial" w:eastAsia="SimSun" w:cs="Arial"/>
          <w:sz w:val="22"/>
          <w:szCs w:val="22"/>
        </w:rPr>
        <w:fldChar w:fldCharType="end"/>
      </w:r>
    </w:p>
    <w:p w14:paraId="7C037C7D">
      <w:pPr>
        <w:pStyle w:val="11"/>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World Health Organization (2023) </w:t>
      </w:r>
      <w:r>
        <w:rPr>
          <w:rStyle w:val="7"/>
          <w:rFonts w:hint="default" w:ascii="Arial" w:hAnsi="Arial" w:cs="Arial"/>
          <w:sz w:val="22"/>
          <w:szCs w:val="22"/>
        </w:rPr>
        <w:t>Global Tuberculosis Report 2023</w:t>
      </w:r>
      <w:r>
        <w:rPr>
          <w:rFonts w:hint="default" w:ascii="Arial" w:hAnsi="Arial" w:cs="Arial"/>
          <w:sz w:val="22"/>
          <w:szCs w:val="22"/>
        </w:rPr>
        <w:t xml:space="preserve">. Available at: </w:t>
      </w:r>
      <w:r>
        <w:rPr>
          <w:rFonts w:hint="default" w:ascii="Arial" w:hAnsi="Arial" w:cs="Arial"/>
          <w:sz w:val="22"/>
          <w:szCs w:val="22"/>
        </w:rPr>
        <w:fldChar w:fldCharType="begin"/>
      </w:r>
      <w:r>
        <w:rPr>
          <w:rFonts w:hint="default" w:ascii="Arial" w:hAnsi="Arial" w:cs="Arial"/>
          <w:sz w:val="22"/>
          <w:szCs w:val="22"/>
        </w:rPr>
        <w:instrText xml:space="preserve"> HYPERLINK "https://www.who.int" \t "_new" </w:instrText>
      </w:r>
      <w:r>
        <w:rPr>
          <w:rFonts w:hint="default" w:ascii="Arial" w:hAnsi="Arial" w:cs="Arial"/>
          <w:sz w:val="22"/>
          <w:szCs w:val="22"/>
        </w:rPr>
        <w:fldChar w:fldCharType="separate"/>
      </w:r>
      <w:r>
        <w:rPr>
          <w:rStyle w:val="10"/>
          <w:rFonts w:hint="default" w:ascii="Arial" w:hAnsi="Arial" w:cs="Arial"/>
          <w:sz w:val="22"/>
          <w:szCs w:val="22"/>
        </w:rPr>
        <w:t>https://www.who.int</w:t>
      </w:r>
      <w:r>
        <w:rPr>
          <w:rFonts w:hint="default" w:ascii="Arial" w:hAnsi="Arial" w:cs="Arial"/>
          <w:sz w:val="22"/>
          <w:szCs w:val="22"/>
        </w:rPr>
        <w:fldChar w:fldCharType="end"/>
      </w:r>
      <w:r>
        <w:rPr>
          <w:rFonts w:hint="default" w:ascii="Arial" w:hAnsi="Arial" w:cs="Arial"/>
          <w:sz w:val="22"/>
          <w:szCs w:val="22"/>
        </w:rPr>
        <w:t xml:space="preserve"> </w:t>
      </w:r>
    </w:p>
    <w:p w14:paraId="00CC7833">
      <w:pPr>
        <w:pStyle w:val="11"/>
        <w:keepNext w:val="0"/>
        <w:keepLines w:val="0"/>
        <w:widowControl/>
        <w:suppressLineNumbers w:val="0"/>
        <w:rPr>
          <w:rFonts w:hint="default" w:ascii="Arial" w:hAnsi="Arial" w:cs="Arial"/>
          <w:sz w:val="22"/>
          <w:szCs w:val="22"/>
        </w:rPr>
      </w:pPr>
    </w:p>
    <w:p w14:paraId="5F3D8192">
      <w:pPr>
        <w:keepNext w:val="0"/>
        <w:keepLines w:val="0"/>
        <w:widowControl/>
        <w:numPr>
          <w:ilvl w:val="0"/>
          <w:numId w:val="0"/>
        </w:numPr>
        <w:suppressLineNumbers w:val="0"/>
        <w:spacing w:line="360" w:lineRule="auto"/>
        <w:ind w:leftChars="0"/>
        <w:jc w:val="left"/>
        <w:rPr>
          <w:rFonts w:hint="default" w:ascii="Arial" w:hAnsi="Arial" w:eastAsia="SimSun" w:cs="Arial"/>
          <w:sz w:val="22"/>
          <w:szCs w:val="22"/>
        </w:rPr>
      </w:pPr>
    </w:p>
    <w:p w14:paraId="668483A7">
      <w:pPr>
        <w:keepNext w:val="0"/>
        <w:keepLines w:val="0"/>
        <w:widowControl/>
        <w:numPr>
          <w:ilvl w:val="0"/>
          <w:numId w:val="0"/>
        </w:numPr>
        <w:suppressLineNumbers w:val="0"/>
        <w:tabs>
          <w:tab w:val="left" w:pos="720"/>
        </w:tabs>
        <w:spacing w:before="0" w:beforeAutospacing="1" w:after="0" w:afterAutospacing="1" w:line="360" w:lineRule="auto"/>
        <w:rPr>
          <w:rFonts w:hint="default" w:ascii="Arial" w:hAnsi="Arial" w:eastAsia="sans-serif" w:cs="Arial"/>
          <w:i w:val="0"/>
          <w:iCs w:val="0"/>
          <w:caps w:val="0"/>
          <w:color w:val="172B4D"/>
          <w:spacing w:val="0"/>
          <w:sz w:val="22"/>
          <w:szCs w:val="22"/>
          <w:shd w:val="clear" w:fill="FFFFFF"/>
        </w:rPr>
      </w:pPr>
    </w:p>
    <w:p w14:paraId="6C8FE699">
      <w:pPr>
        <w:pStyle w:val="11"/>
        <w:keepNext w:val="0"/>
        <w:keepLines w:val="0"/>
        <w:widowControl/>
        <w:suppressLineNumbers w:val="0"/>
        <w:shd w:val="clear" w:fill="FFFFFF"/>
        <w:spacing w:before="0" w:beforeAutospacing="0" w:after="160" w:afterAutospacing="0" w:line="360" w:lineRule="auto"/>
        <w:ind w:left="0" w:right="0" w:firstLine="0"/>
        <w:rPr>
          <w:rFonts w:hint="default" w:ascii="Arial" w:hAnsi="Arial" w:eastAsia="sans-serif" w:cs="Arial"/>
          <w:i w:val="0"/>
          <w:iCs w:val="0"/>
          <w:caps w:val="0"/>
          <w:color w:val="172B4D"/>
          <w:spacing w:val="0"/>
          <w:sz w:val="22"/>
          <w:szCs w:val="22"/>
          <w:shd w:val="clear" w:fill="FFFFFF"/>
        </w:rPr>
      </w:pPr>
    </w:p>
    <w:p w14:paraId="6FC97ABA">
      <w:pPr>
        <w:pStyle w:val="11"/>
        <w:keepNext w:val="0"/>
        <w:keepLines w:val="0"/>
        <w:widowControl/>
        <w:numPr>
          <w:ilvl w:val="0"/>
          <w:numId w:val="0"/>
        </w:numPr>
        <w:suppressLineNumbers w:val="0"/>
        <w:shd w:val="clear" w:fill="FFFFFF"/>
        <w:spacing w:before="0" w:beforeAutospacing="0" w:after="160" w:afterAutospacing="0" w:line="360" w:lineRule="auto"/>
        <w:ind w:right="0" w:rightChars="0"/>
        <w:rPr>
          <w:rFonts w:hint="default" w:ascii="Arial" w:hAnsi="Arial" w:eastAsia="SimSun" w:cs="Arial"/>
          <w:b/>
          <w:bCs/>
          <w:sz w:val="22"/>
          <w:szCs w:val="22"/>
        </w:rPr>
      </w:pPr>
    </w:p>
    <w:p w14:paraId="06FE7472">
      <w:pPr>
        <w:spacing w:line="360" w:lineRule="auto"/>
        <w:rPr>
          <w:rFonts w:hint="default" w:ascii="Arial" w:hAnsi="Arial" w:cs="Arial"/>
          <w:sz w:val="22"/>
          <w:szCs w:val="22"/>
          <w:lang w:val="en-PH"/>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ans-serif">
    <w:altName w:val="Superstar M54"/>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210E6C8">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E712A27">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14:paraId="0E712A27">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5A38E6"/>
    <w:rsid w:val="04E8234E"/>
    <w:rsid w:val="05042EF3"/>
    <w:rsid w:val="0640249E"/>
    <w:rsid w:val="0F232475"/>
    <w:rsid w:val="16704578"/>
    <w:rsid w:val="17420D7D"/>
    <w:rsid w:val="193E602C"/>
    <w:rsid w:val="205A38E6"/>
    <w:rsid w:val="287A763D"/>
    <w:rsid w:val="2E7457A1"/>
    <w:rsid w:val="3DEC4B74"/>
    <w:rsid w:val="3F863727"/>
    <w:rsid w:val="46832519"/>
    <w:rsid w:val="46B17EBD"/>
    <w:rsid w:val="4A940469"/>
    <w:rsid w:val="58A73E8C"/>
    <w:rsid w:val="59455430"/>
    <w:rsid w:val="72E348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7">
    <w:name w:val="Emphasis"/>
    <w:basedOn w:val="5"/>
    <w:qFormat/>
    <w:uiPriority w:val="0"/>
    <w:rPr>
      <w:i/>
      <w:iCs/>
    </w:rPr>
  </w:style>
  <w:style w:type="paragraph" w:styleId="8">
    <w:name w:val="footer"/>
    <w:basedOn w:val="1"/>
    <w:qFormat/>
    <w:uiPriority w:val="0"/>
    <w:pPr>
      <w:tabs>
        <w:tab w:val="center" w:pos="4153"/>
        <w:tab w:val="right" w:pos="8306"/>
      </w:tabs>
      <w:snapToGrid w:val="0"/>
      <w:jc w:val="left"/>
    </w:pPr>
    <w:rPr>
      <w:sz w:val="18"/>
      <w:szCs w:val="18"/>
    </w:rPr>
  </w:style>
  <w:style w:type="paragraph" w:styleId="9">
    <w:name w:val="header"/>
    <w:basedOn w:val="1"/>
    <w:qFormat/>
    <w:uiPriority w:val="0"/>
    <w:pPr>
      <w:tabs>
        <w:tab w:val="center" w:pos="4153"/>
        <w:tab w:val="right" w:pos="8306"/>
      </w:tabs>
      <w:snapToGrid w:val="0"/>
    </w:pPr>
    <w:rPr>
      <w:sz w:val="18"/>
      <w:szCs w:val="18"/>
    </w:rPr>
  </w:style>
  <w:style w:type="character" w:styleId="10">
    <w:name w:val="Hyperlink"/>
    <w:basedOn w:val="5"/>
    <w:qFormat/>
    <w:uiPriority w:val="0"/>
    <w:rPr>
      <w:color w:val="0000FF"/>
      <w:u w:val="single"/>
    </w:rPr>
  </w:style>
  <w:style w:type="paragraph" w:styleId="11">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2">
    <w:name w:val="Strong"/>
    <w:basedOn w:val="5"/>
    <w:qFormat/>
    <w:uiPriority w:val="0"/>
    <w:rPr>
      <w:b/>
      <w:bC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0</Words>
  <Characters>0</Characters>
  <Lines>0</Lines>
  <Paragraphs>0</Paragraphs>
  <TotalTime>11</TotalTime>
  <ScaleCrop>false</ScaleCrop>
  <LinksUpToDate>false</LinksUpToDate>
  <CharactersWithSpaces>0</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2026-04-11T07:23:00Z</dcterms:created>
  <dc:creator>Hannah Anisco</dc:creator>
  <cp:lastModifiedBy>Hannah Anisco</cp:lastModifiedBy>
  <dcterms:modified xsi:type="dcterms:W3CDTF">2026-04-18T10:03:41Z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62F487644A96420CA5E9B83F32401B4E_13</vt:lpwstr>
  </property>
</Properties>
</file>