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65685" w14:textId="400BD672" w:rsidR="0015080D" w:rsidRDefault="007120C3">
      <w:pPr>
        <w:rPr>
          <w:sz w:val="36"/>
          <w:szCs w:val="36"/>
        </w:rPr>
      </w:pPr>
      <w:r>
        <w:rPr>
          <w:sz w:val="36"/>
          <w:szCs w:val="36"/>
        </w:rPr>
        <w:t>Essential Academic and employment Skills</w:t>
      </w:r>
    </w:p>
    <w:p w14:paraId="33CFACA3" w14:textId="77777777" w:rsidR="00452114" w:rsidRDefault="007120C3" w:rsidP="007120C3">
      <w:pPr>
        <w:rPr>
          <w:rFonts w:ascii="Open Sans" w:hAnsi="Open Sans" w:cs="Open Sans"/>
          <w:color w:val="333333"/>
          <w:sz w:val="26"/>
          <w:szCs w:val="26"/>
        </w:rPr>
      </w:pPr>
      <w:r>
        <w:rPr>
          <w:rFonts w:ascii="Open Sans" w:hAnsi="Open Sans" w:cs="Open Sans"/>
          <w:color w:val="333333"/>
          <w:sz w:val="26"/>
          <w:szCs w:val="26"/>
        </w:rPr>
        <w:t>The transition from higher education to employment is increasingly competitive, requiring graduates to possess more than academic qualifications. This study explores UK students’ and graduates’ perspectives on skill development within higher education institutions. Through semi-structured interviews with 10 students and 7 employed graduates, thematic analysis identified key themes regarding skill acquisition, employability challenges, and institutional support. Students highlighted difficulties in recognising and transferring soft skills such as communication and time management, often citing a lack of explicit teaching methods and practical application opportunities. Work placements and extracurricular activities emerged as vital for developing workplace readiness, yet accessibility and engagement varied. Graduates reflected on the disconnect between university education and workplace expectations, emphasising the importance of independent learning and industry-specific training. Career services, networking opportunities, and employer engagement were perceived as beneficial but underutilised. The study underscores the necessity for higher education institutions to enhance skill integration within curricula, increase awareness of employability resources, and foster stronger links between academia and industry. By addressing these gaps, institutions can better prepare students for the evolving demands of the labour market</w:t>
      </w:r>
    </w:p>
    <w:sdt>
      <w:sdtPr>
        <w:id w:val="1099144806"/>
        <w:docPartObj>
          <w:docPartGallery w:val="Bibliographies"/>
          <w:docPartUnique/>
        </w:docPartObj>
      </w:sdtPr>
      <w:sdtEndPr>
        <w:rPr>
          <w:rFonts w:asciiTheme="minorHAnsi" w:eastAsiaTheme="minorHAnsi" w:hAnsiTheme="minorHAnsi" w:cstheme="minorBidi"/>
          <w:color w:val="auto"/>
          <w:sz w:val="24"/>
          <w:szCs w:val="24"/>
        </w:rPr>
      </w:sdtEndPr>
      <w:sdtContent>
        <w:p w14:paraId="7C36CFD2" w14:textId="194254F5" w:rsidR="00452114" w:rsidRDefault="00452114">
          <w:pPr>
            <w:pStyle w:val="Heading1"/>
          </w:pPr>
          <w:r>
            <w:t>References</w:t>
          </w:r>
        </w:p>
        <w:sdt>
          <w:sdtPr>
            <w:id w:val="-2109887841"/>
            <w:bibliography/>
          </w:sdtPr>
          <w:sdtContent>
            <w:p w14:paraId="22F46BFD" w14:textId="77777777" w:rsidR="00734B11" w:rsidRDefault="0045211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734B11" w14:paraId="41CB4171" w14:textId="77777777">
                <w:trPr>
                  <w:divId w:val="989214088"/>
                  <w:tblCellSpacing w:w="15" w:type="dxa"/>
                </w:trPr>
                <w:tc>
                  <w:tcPr>
                    <w:tcW w:w="50" w:type="pct"/>
                    <w:hideMark/>
                  </w:tcPr>
                  <w:p w14:paraId="28CADB7A" w14:textId="0CBF5389" w:rsidR="00734B11" w:rsidRDefault="00734B11">
                    <w:pPr>
                      <w:pStyle w:val="Bibliography"/>
                      <w:rPr>
                        <w:noProof/>
                        <w:kern w:val="0"/>
                        <w14:ligatures w14:val="none"/>
                      </w:rPr>
                    </w:pPr>
                    <w:r>
                      <w:rPr>
                        <w:noProof/>
                      </w:rPr>
                      <w:t xml:space="preserve">[1] </w:t>
                    </w:r>
                  </w:p>
                </w:tc>
                <w:tc>
                  <w:tcPr>
                    <w:tcW w:w="0" w:type="auto"/>
                    <w:hideMark/>
                  </w:tcPr>
                  <w:p w14:paraId="09529FDB" w14:textId="77777777" w:rsidR="00734B11" w:rsidRDefault="00734B11">
                    <w:pPr>
                      <w:pStyle w:val="Bibliography"/>
                      <w:rPr>
                        <w:noProof/>
                      </w:rPr>
                    </w:pPr>
                    <w:r>
                      <w:rPr>
                        <w:noProof/>
                      </w:rPr>
                      <w:t>Pauldy Oterman, Serena Small, Monica Pereira, Pruthvi Sridhara &amp; Dev ADITYA, “Jornal of Education and work,” 28 October 2025. [Online]. [Accessed 25 June 2026].</w:t>
                    </w:r>
                  </w:p>
                </w:tc>
              </w:tr>
              <w:tr w:rsidR="00734B11" w14:paraId="189C19EF" w14:textId="77777777">
                <w:trPr>
                  <w:divId w:val="989214088"/>
                  <w:tblCellSpacing w:w="15" w:type="dxa"/>
                </w:trPr>
                <w:tc>
                  <w:tcPr>
                    <w:tcW w:w="50" w:type="pct"/>
                    <w:hideMark/>
                  </w:tcPr>
                  <w:p w14:paraId="2D9A5E53" w14:textId="77777777" w:rsidR="00734B11" w:rsidRDefault="00734B11">
                    <w:pPr>
                      <w:pStyle w:val="Bibliography"/>
                      <w:rPr>
                        <w:noProof/>
                      </w:rPr>
                    </w:pPr>
                    <w:r>
                      <w:rPr>
                        <w:noProof/>
                      </w:rPr>
                      <w:t xml:space="preserve">[2] </w:t>
                    </w:r>
                  </w:p>
                </w:tc>
                <w:tc>
                  <w:tcPr>
                    <w:tcW w:w="0" w:type="auto"/>
                    <w:hideMark/>
                  </w:tcPr>
                  <w:p w14:paraId="16215A91" w14:textId="77777777" w:rsidR="00734B11" w:rsidRDefault="00734B11">
                    <w:pPr>
                      <w:pStyle w:val="Bibliography"/>
                      <w:rPr>
                        <w:noProof/>
                      </w:rPr>
                    </w:pPr>
                    <w:r>
                      <w:rPr>
                        <w:noProof/>
                      </w:rPr>
                      <w:t>A. E. Green, “Jornal: Local Economy, volume 18, issue 4, pp. 306-321,” November 2003. [Online]. [Accessed 25 June 2026].</w:t>
                    </w:r>
                  </w:p>
                </w:tc>
              </w:tr>
            </w:tbl>
            <w:p w14:paraId="379BB493" w14:textId="77777777" w:rsidR="00734B11" w:rsidRDefault="00734B11">
              <w:pPr>
                <w:divId w:val="989214088"/>
                <w:rPr>
                  <w:rFonts w:eastAsia="Times New Roman"/>
                  <w:noProof/>
                </w:rPr>
              </w:pPr>
            </w:p>
            <w:p w14:paraId="5DCF9F5A" w14:textId="248EE70B" w:rsidR="00452114" w:rsidRDefault="00452114">
              <w:r>
                <w:rPr>
                  <w:b/>
                  <w:bCs/>
                  <w:noProof/>
                </w:rPr>
                <w:fldChar w:fldCharType="end"/>
              </w:r>
            </w:p>
          </w:sdtContent>
        </w:sdt>
      </w:sdtContent>
    </w:sdt>
    <w:p w14:paraId="5B3DEF43" w14:textId="380E487E" w:rsidR="007120C3" w:rsidRDefault="00452114" w:rsidP="007120C3">
      <w:pPr>
        <w:rPr>
          <w:rFonts w:ascii="Open Sans" w:hAnsi="Open Sans" w:cs="Open Sans"/>
          <w:color w:val="333333"/>
          <w:sz w:val="26"/>
          <w:szCs w:val="26"/>
        </w:rPr>
      </w:pPr>
      <w:sdt>
        <w:sdtPr>
          <w:rPr>
            <w:rFonts w:ascii="Open Sans" w:hAnsi="Open Sans" w:cs="Open Sans"/>
            <w:color w:val="333333"/>
            <w:sz w:val="26"/>
            <w:szCs w:val="26"/>
          </w:rPr>
          <w:id w:val="-902136001"/>
          <w:citation/>
        </w:sdtPr>
        <w:sdtContent>
          <w:r>
            <w:rPr>
              <w:rFonts w:ascii="Open Sans" w:hAnsi="Open Sans" w:cs="Open Sans"/>
              <w:color w:val="333333"/>
              <w:sz w:val="26"/>
              <w:szCs w:val="26"/>
            </w:rPr>
            <w:fldChar w:fldCharType="begin"/>
          </w:r>
          <w:r>
            <w:rPr>
              <w:rFonts w:ascii="Open Sans" w:hAnsi="Open Sans" w:cs="Open Sans"/>
              <w:color w:val="333333"/>
              <w:sz w:val="26"/>
              <w:szCs w:val="26"/>
            </w:rPr>
            <w:instrText xml:space="preserve"> CITATION Pau25 \l 2057 </w:instrText>
          </w:r>
          <w:r>
            <w:rPr>
              <w:rFonts w:ascii="Open Sans" w:hAnsi="Open Sans" w:cs="Open Sans"/>
              <w:color w:val="333333"/>
              <w:sz w:val="26"/>
              <w:szCs w:val="26"/>
            </w:rPr>
            <w:fldChar w:fldCharType="separate"/>
          </w:r>
          <w:r w:rsidR="00734B11" w:rsidRPr="00734B11">
            <w:rPr>
              <w:rFonts w:ascii="Open Sans" w:hAnsi="Open Sans" w:cs="Open Sans"/>
              <w:noProof/>
              <w:color w:val="333333"/>
              <w:sz w:val="26"/>
              <w:szCs w:val="26"/>
            </w:rPr>
            <w:t>[1]</w:t>
          </w:r>
          <w:r>
            <w:rPr>
              <w:rFonts w:ascii="Open Sans" w:hAnsi="Open Sans" w:cs="Open Sans"/>
              <w:color w:val="333333"/>
              <w:sz w:val="26"/>
              <w:szCs w:val="26"/>
            </w:rPr>
            <w:fldChar w:fldCharType="end"/>
          </w:r>
        </w:sdtContent>
      </w:sdt>
    </w:p>
    <w:sdt>
      <w:sdtPr>
        <w:id w:val="1060287086"/>
        <w:docPartObj>
          <w:docPartGallery w:val="Bibliographies"/>
          <w:docPartUnique/>
        </w:docPartObj>
      </w:sdtPr>
      <w:sdtEndPr>
        <w:rPr>
          <w:rFonts w:asciiTheme="minorHAnsi" w:eastAsiaTheme="minorHAnsi" w:hAnsiTheme="minorHAnsi" w:cstheme="minorBidi"/>
          <w:kern w:val="2"/>
          <w:lang w:eastAsia="en-US"/>
          <w14:ligatures w14:val="standardContextual"/>
        </w:rPr>
      </w:sdtEndPr>
      <w:sdtContent>
        <w:p w14:paraId="79544DA8" w14:textId="77777777" w:rsidR="00801DF5" w:rsidRPr="00801DF5" w:rsidRDefault="00801DF5" w:rsidP="00801DF5">
          <w:pPr>
            <w:pStyle w:val="isselectedend"/>
            <w:rPr>
              <w:sz w:val="32"/>
              <w:szCs w:val="32"/>
            </w:rPr>
          </w:pPr>
          <w:r w:rsidRPr="00801DF5">
            <w:rPr>
              <w:rStyle w:val="Strong"/>
              <w:sz w:val="32"/>
              <w:szCs w:val="32"/>
            </w:rPr>
            <w:t>Employment Skills and Workforce Employability</w:t>
          </w:r>
        </w:p>
        <w:p w14:paraId="32342DCD" w14:textId="77777777" w:rsidR="00801DF5" w:rsidRPr="00801DF5" w:rsidRDefault="00801DF5" w:rsidP="00801DF5">
          <w:pPr>
            <w:pStyle w:val="isselectedend"/>
            <w:rPr>
              <w:sz w:val="32"/>
              <w:szCs w:val="32"/>
            </w:rPr>
          </w:pPr>
          <w:r w:rsidRPr="00801DF5">
            <w:rPr>
              <w:sz w:val="32"/>
              <w:szCs w:val="32"/>
            </w:rPr>
            <w:t xml:space="preserve">Employment skills are the abilities, knowledge, and personal attributes that enable individuals to obtain and maintain employment. These skills include communication, teamwork, problem-solving, adaptability, time management, and digital competence. In today's rapidly changing </w:t>
          </w:r>
          <w:proofErr w:type="spellStart"/>
          <w:r w:rsidRPr="00801DF5">
            <w:rPr>
              <w:sz w:val="32"/>
              <w:szCs w:val="32"/>
            </w:rPr>
            <w:t>labor</w:t>
          </w:r>
          <w:proofErr w:type="spellEnd"/>
          <w:r w:rsidRPr="00801DF5">
            <w:rPr>
              <w:sz w:val="32"/>
              <w:szCs w:val="32"/>
            </w:rPr>
            <w:t xml:space="preserve"> market, employment skills are increasingly important for career success and long-term employability.</w:t>
          </w:r>
        </w:p>
        <w:p w14:paraId="1FD4A6D7" w14:textId="391E98C3" w:rsidR="00801DF5" w:rsidRPr="00801DF5" w:rsidRDefault="00801DF5" w:rsidP="00801DF5">
          <w:pPr>
            <w:pStyle w:val="isselectedend"/>
            <w:rPr>
              <w:sz w:val="32"/>
              <w:szCs w:val="32"/>
            </w:rPr>
          </w:pPr>
          <w:r w:rsidRPr="00801DF5">
            <w:rPr>
              <w:sz w:val="32"/>
              <w:szCs w:val="32"/>
            </w:rPr>
            <w:t xml:space="preserve">According to Anne E. Green (2003), changes in </w:t>
          </w:r>
          <w:proofErr w:type="spellStart"/>
          <w:r w:rsidRPr="00801DF5">
            <w:rPr>
              <w:sz w:val="32"/>
              <w:szCs w:val="32"/>
            </w:rPr>
            <w:t>labor</w:t>
          </w:r>
          <w:proofErr w:type="spellEnd"/>
          <w:r w:rsidRPr="00801DF5">
            <w:rPr>
              <w:sz w:val="32"/>
              <w:szCs w:val="32"/>
            </w:rPr>
            <w:t xml:space="preserve"> market trends, technological developments, and an aging workforce have increased the demand for adaptable and skilled workers. Employers seek individuals who can continuously learn, respond to workplace changes, and contribute effectively to organizational goals. Communication skills help employees interact professionally with colleagues and customers, while teamwork promotes cooperation and productivity. Problem-solving and critical-thinking skills enable workers to address challenges and make effective decisions.</w:t>
          </w:r>
          <w:r w:rsidRPr="00801DF5">
            <w:rPr>
              <w:sz w:val="32"/>
              <w:szCs w:val="32"/>
            </w:rPr>
            <w:t xml:space="preserve"> </w:t>
          </w:r>
          <w:r w:rsidRPr="00801DF5">
            <w:rPr>
              <w:sz w:val="32"/>
              <w:szCs w:val="32"/>
            </w:rPr>
            <w:t>Green also highlights that employability is not only about possessing technical qualifications but also about developing transferable skills that can be applied across different jobs and industries. As workplaces evolve, workers must be willing to update their skills and embrace lifelong learning to remain competitive.</w:t>
          </w:r>
        </w:p>
        <w:p w14:paraId="3C00F920" w14:textId="77777777" w:rsidR="00734B11" w:rsidRPr="00801DF5" w:rsidRDefault="00801DF5" w:rsidP="00801DF5">
          <w:pPr>
            <w:pStyle w:val="NormalWeb"/>
            <w:rPr>
              <w:sz w:val="32"/>
              <w:szCs w:val="32"/>
            </w:rPr>
          </w:pPr>
          <w:r w:rsidRPr="00801DF5">
            <w:rPr>
              <w:sz w:val="32"/>
              <w:szCs w:val="32"/>
            </w:rPr>
            <w:t xml:space="preserve">In conclusion, employment skills are essential for achieving and sustaining employment in a dynamic economy. Developing these skills enhances career opportunities, improves workplace performance, and supports individuals in adapting to changing </w:t>
          </w:r>
          <w:proofErr w:type="spellStart"/>
          <w:r w:rsidRPr="00801DF5">
            <w:rPr>
              <w:sz w:val="32"/>
              <w:szCs w:val="32"/>
            </w:rPr>
            <w:t>labor</w:t>
          </w:r>
          <w:proofErr w:type="spellEnd"/>
          <w:r w:rsidRPr="00801DF5">
            <w:rPr>
              <w:sz w:val="32"/>
              <w:szCs w:val="32"/>
            </w:rPr>
            <w:t xml:space="preserve"> market demands. Therefore, continuous skill development is vital for both personal and professional success.</w:t>
          </w:r>
        </w:p>
        <w:sdt>
          <w:sdtPr>
            <w:id w:val="1586117796"/>
            <w:docPartObj>
              <w:docPartGallery w:val="Bibliographies"/>
              <w:docPartUnique/>
            </w:docPartObj>
          </w:sdtPr>
          <w:sdtEndPr>
            <w:rPr>
              <w:rFonts w:asciiTheme="minorHAnsi" w:eastAsiaTheme="minorHAnsi" w:hAnsiTheme="minorHAnsi" w:cstheme="minorBidi"/>
              <w:color w:val="auto"/>
              <w:sz w:val="24"/>
              <w:szCs w:val="24"/>
            </w:rPr>
          </w:sdtEndPr>
          <w:sdtContent>
            <w:p w14:paraId="0C621932" w14:textId="100F1FDA" w:rsidR="00734B11" w:rsidRDefault="00734B11">
              <w:pPr>
                <w:pStyle w:val="Heading1"/>
              </w:pPr>
              <w:r>
                <w:t>References</w:t>
              </w:r>
            </w:p>
            <w:sdt>
              <w:sdtPr>
                <w:id w:val="-573587230"/>
                <w:bibliography/>
              </w:sdtPr>
              <w:sdtContent>
                <w:p w14:paraId="130CC831" w14:textId="77777777" w:rsidR="00734B11" w:rsidRDefault="00734B1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734B11" w14:paraId="00399A8E" w14:textId="77777777">
                    <w:trPr>
                      <w:divId w:val="1787500237"/>
                      <w:tblCellSpacing w:w="15" w:type="dxa"/>
                    </w:trPr>
                    <w:tc>
                      <w:tcPr>
                        <w:tcW w:w="50" w:type="pct"/>
                        <w:hideMark/>
                      </w:tcPr>
                      <w:p w14:paraId="43E1E8C8" w14:textId="62FCB085" w:rsidR="00734B11" w:rsidRDefault="00734B11">
                        <w:pPr>
                          <w:pStyle w:val="Bibliography"/>
                          <w:rPr>
                            <w:noProof/>
                            <w:kern w:val="0"/>
                            <w14:ligatures w14:val="none"/>
                          </w:rPr>
                        </w:pPr>
                        <w:r>
                          <w:rPr>
                            <w:noProof/>
                          </w:rPr>
                          <w:lastRenderedPageBreak/>
                          <w:t xml:space="preserve">[1] </w:t>
                        </w:r>
                      </w:p>
                    </w:tc>
                    <w:tc>
                      <w:tcPr>
                        <w:tcW w:w="0" w:type="auto"/>
                        <w:hideMark/>
                      </w:tcPr>
                      <w:p w14:paraId="4CAC11F4" w14:textId="77777777" w:rsidR="00734B11" w:rsidRDefault="00734B11">
                        <w:pPr>
                          <w:pStyle w:val="Bibliography"/>
                          <w:rPr>
                            <w:noProof/>
                          </w:rPr>
                        </w:pPr>
                        <w:r>
                          <w:rPr>
                            <w:noProof/>
                          </w:rPr>
                          <w:t>Pauldy Oterman, Serena Small, Monica Pereira, Pruthvi Sridhara &amp; Dev ADITYA, “Jornal of Education and work,” 28 October 2025. [Online]. [Accessed 25 June 2026].</w:t>
                        </w:r>
                      </w:p>
                    </w:tc>
                  </w:tr>
                  <w:tr w:rsidR="00734B11" w14:paraId="7B3F2FB3" w14:textId="77777777">
                    <w:trPr>
                      <w:divId w:val="1787500237"/>
                      <w:tblCellSpacing w:w="15" w:type="dxa"/>
                    </w:trPr>
                    <w:tc>
                      <w:tcPr>
                        <w:tcW w:w="50" w:type="pct"/>
                        <w:hideMark/>
                      </w:tcPr>
                      <w:p w14:paraId="3CEAF60E" w14:textId="77777777" w:rsidR="00734B11" w:rsidRDefault="00734B11">
                        <w:pPr>
                          <w:pStyle w:val="Bibliography"/>
                          <w:rPr>
                            <w:noProof/>
                          </w:rPr>
                        </w:pPr>
                        <w:r>
                          <w:rPr>
                            <w:noProof/>
                          </w:rPr>
                          <w:t xml:space="preserve">[2] </w:t>
                        </w:r>
                      </w:p>
                    </w:tc>
                    <w:tc>
                      <w:tcPr>
                        <w:tcW w:w="0" w:type="auto"/>
                        <w:hideMark/>
                      </w:tcPr>
                      <w:p w14:paraId="1CEE40F8" w14:textId="77777777" w:rsidR="00734B11" w:rsidRDefault="00734B11">
                        <w:pPr>
                          <w:pStyle w:val="Bibliography"/>
                          <w:rPr>
                            <w:noProof/>
                          </w:rPr>
                        </w:pPr>
                        <w:r>
                          <w:rPr>
                            <w:noProof/>
                          </w:rPr>
                          <w:t>A. E. Green, “Jornal: Local Economy, volume 18, issue 4, pp. 306-321,” November 2003. [Online]. [Accessed 25 June 2026].</w:t>
                        </w:r>
                      </w:p>
                    </w:tc>
                  </w:tr>
                </w:tbl>
                <w:p w14:paraId="4215DC6A" w14:textId="77777777" w:rsidR="00734B11" w:rsidRDefault="00734B11">
                  <w:pPr>
                    <w:divId w:val="1787500237"/>
                    <w:rPr>
                      <w:rFonts w:eastAsia="Times New Roman"/>
                      <w:noProof/>
                    </w:rPr>
                  </w:pPr>
                </w:p>
                <w:p w14:paraId="2A6D3B1A" w14:textId="0B7B30E3" w:rsidR="00734B11" w:rsidRDefault="00734B11">
                  <w:r>
                    <w:rPr>
                      <w:b/>
                      <w:bCs/>
                      <w:noProof/>
                    </w:rPr>
                    <w:fldChar w:fldCharType="end"/>
                  </w:r>
                </w:p>
              </w:sdtContent>
            </w:sdt>
          </w:sdtContent>
        </w:sdt>
        <w:p w14:paraId="3C11480B" w14:textId="7981E05E" w:rsidR="00801DF5" w:rsidRPr="00801DF5" w:rsidRDefault="00734B11" w:rsidP="00801DF5">
          <w:pPr>
            <w:pStyle w:val="NormalWeb"/>
            <w:rPr>
              <w:sz w:val="32"/>
              <w:szCs w:val="32"/>
            </w:rPr>
          </w:pPr>
          <w:sdt>
            <w:sdtPr>
              <w:rPr>
                <w:sz w:val="32"/>
                <w:szCs w:val="32"/>
              </w:rPr>
              <w:id w:val="1355143786"/>
              <w:citation/>
            </w:sdtPr>
            <w:sdtContent>
              <w:r>
                <w:rPr>
                  <w:sz w:val="32"/>
                  <w:szCs w:val="32"/>
                </w:rPr>
                <w:fldChar w:fldCharType="begin"/>
              </w:r>
              <w:r>
                <w:rPr>
                  <w:sz w:val="32"/>
                  <w:szCs w:val="32"/>
                </w:rPr>
                <w:instrText xml:space="preserve"> CITATION Ann03 \l 2057 </w:instrText>
              </w:r>
              <w:r>
                <w:rPr>
                  <w:sz w:val="32"/>
                  <w:szCs w:val="32"/>
                </w:rPr>
                <w:fldChar w:fldCharType="separate"/>
              </w:r>
              <w:r w:rsidRPr="00734B11">
                <w:rPr>
                  <w:noProof/>
                  <w:sz w:val="32"/>
                  <w:szCs w:val="32"/>
                </w:rPr>
                <w:t>[2]</w:t>
              </w:r>
              <w:r>
                <w:rPr>
                  <w:sz w:val="32"/>
                  <w:szCs w:val="32"/>
                </w:rPr>
                <w:fldChar w:fldCharType="end"/>
              </w:r>
            </w:sdtContent>
          </w:sdt>
        </w:p>
        <w:p w14:paraId="16CDF069" w14:textId="7E05A1D6" w:rsidR="00801DF5" w:rsidRDefault="00801DF5" w:rsidP="00801DF5">
          <w:pPr>
            <w:pStyle w:val="NormalWeb"/>
          </w:pPr>
        </w:p>
        <w:p w14:paraId="7210BC45" w14:textId="758CA4F0" w:rsidR="00452114" w:rsidRDefault="00452114" w:rsidP="00452114">
          <w:pPr>
            <w:pStyle w:val="Heading1"/>
          </w:pPr>
        </w:p>
        <w:p w14:paraId="0713A898" w14:textId="44D4A74D" w:rsidR="007120C3" w:rsidRDefault="007120C3"/>
      </w:sdtContent>
    </w:sdt>
    <w:p w14:paraId="21C59428" w14:textId="76635196" w:rsidR="007120C3" w:rsidRDefault="007120C3" w:rsidP="007120C3">
      <w:pPr>
        <w:rPr>
          <w:rFonts w:ascii="Open Sans" w:hAnsi="Open Sans" w:cs="Open Sans"/>
          <w:color w:val="333333"/>
          <w:sz w:val="26"/>
          <w:szCs w:val="26"/>
        </w:rPr>
      </w:pPr>
    </w:p>
    <w:p w14:paraId="156BF74A" w14:textId="77777777" w:rsidR="007120C3" w:rsidRPr="007120C3" w:rsidRDefault="007120C3">
      <w:pPr>
        <w:rPr>
          <w:sz w:val="36"/>
          <w:szCs w:val="36"/>
        </w:rPr>
      </w:pPr>
    </w:p>
    <w:sectPr w:rsidR="007120C3" w:rsidRPr="007120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0C3"/>
    <w:rsid w:val="0015080D"/>
    <w:rsid w:val="0035611C"/>
    <w:rsid w:val="00452114"/>
    <w:rsid w:val="00630CB4"/>
    <w:rsid w:val="007120C3"/>
    <w:rsid w:val="00734B11"/>
    <w:rsid w:val="0080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D4C02"/>
  <w15:chartTrackingRefBased/>
  <w15:docId w15:val="{0CF925D2-2681-4310-89C4-0F866C405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20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20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20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20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20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20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20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20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20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0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20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20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20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20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20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20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20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20C3"/>
    <w:rPr>
      <w:rFonts w:eastAsiaTheme="majorEastAsia" w:cstheme="majorBidi"/>
      <w:color w:val="272727" w:themeColor="text1" w:themeTint="D8"/>
    </w:rPr>
  </w:style>
  <w:style w:type="paragraph" w:styleId="Title">
    <w:name w:val="Title"/>
    <w:basedOn w:val="Normal"/>
    <w:next w:val="Normal"/>
    <w:link w:val="TitleChar"/>
    <w:uiPriority w:val="10"/>
    <w:qFormat/>
    <w:rsid w:val="007120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20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20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20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20C3"/>
    <w:pPr>
      <w:spacing w:before="160"/>
      <w:jc w:val="center"/>
    </w:pPr>
    <w:rPr>
      <w:i/>
      <w:iCs/>
      <w:color w:val="404040" w:themeColor="text1" w:themeTint="BF"/>
    </w:rPr>
  </w:style>
  <w:style w:type="character" w:customStyle="1" w:styleId="QuoteChar">
    <w:name w:val="Quote Char"/>
    <w:basedOn w:val="DefaultParagraphFont"/>
    <w:link w:val="Quote"/>
    <w:uiPriority w:val="29"/>
    <w:rsid w:val="007120C3"/>
    <w:rPr>
      <w:i/>
      <w:iCs/>
      <w:color w:val="404040" w:themeColor="text1" w:themeTint="BF"/>
    </w:rPr>
  </w:style>
  <w:style w:type="paragraph" w:styleId="ListParagraph">
    <w:name w:val="List Paragraph"/>
    <w:basedOn w:val="Normal"/>
    <w:uiPriority w:val="34"/>
    <w:qFormat/>
    <w:rsid w:val="007120C3"/>
    <w:pPr>
      <w:ind w:left="720"/>
      <w:contextualSpacing/>
    </w:pPr>
  </w:style>
  <w:style w:type="character" w:styleId="IntenseEmphasis">
    <w:name w:val="Intense Emphasis"/>
    <w:basedOn w:val="DefaultParagraphFont"/>
    <w:uiPriority w:val="21"/>
    <w:qFormat/>
    <w:rsid w:val="007120C3"/>
    <w:rPr>
      <w:i/>
      <w:iCs/>
      <w:color w:val="0F4761" w:themeColor="accent1" w:themeShade="BF"/>
    </w:rPr>
  </w:style>
  <w:style w:type="paragraph" w:styleId="IntenseQuote">
    <w:name w:val="Intense Quote"/>
    <w:basedOn w:val="Normal"/>
    <w:next w:val="Normal"/>
    <w:link w:val="IntenseQuoteChar"/>
    <w:uiPriority w:val="30"/>
    <w:qFormat/>
    <w:rsid w:val="007120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20C3"/>
    <w:rPr>
      <w:i/>
      <w:iCs/>
      <w:color w:val="0F4761" w:themeColor="accent1" w:themeShade="BF"/>
    </w:rPr>
  </w:style>
  <w:style w:type="character" w:styleId="IntenseReference">
    <w:name w:val="Intense Reference"/>
    <w:basedOn w:val="DefaultParagraphFont"/>
    <w:uiPriority w:val="32"/>
    <w:qFormat/>
    <w:rsid w:val="007120C3"/>
    <w:rPr>
      <w:b/>
      <w:bCs/>
      <w:smallCaps/>
      <w:color w:val="0F4761" w:themeColor="accent1" w:themeShade="BF"/>
      <w:spacing w:val="5"/>
    </w:rPr>
  </w:style>
  <w:style w:type="paragraph" w:styleId="Bibliography">
    <w:name w:val="Bibliography"/>
    <w:basedOn w:val="Normal"/>
    <w:next w:val="Normal"/>
    <w:uiPriority w:val="37"/>
    <w:unhideWhenUsed/>
    <w:rsid w:val="00452114"/>
  </w:style>
  <w:style w:type="paragraph" w:customStyle="1" w:styleId="isselectedend">
    <w:name w:val="isselectedend"/>
    <w:basedOn w:val="Normal"/>
    <w:rsid w:val="00801D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01DF5"/>
    <w:rPr>
      <w:b/>
      <w:bCs/>
    </w:rPr>
  </w:style>
  <w:style w:type="paragraph" w:styleId="NormalWeb">
    <w:name w:val="Normal (Web)"/>
    <w:basedOn w:val="Normal"/>
    <w:uiPriority w:val="99"/>
    <w:semiHidden/>
    <w:unhideWhenUsed/>
    <w:rsid w:val="00801D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801D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801DF5"/>
  </w:style>
  <w:style w:type="character" w:styleId="Emphasis">
    <w:name w:val="Emphasis"/>
    <w:basedOn w:val="DefaultParagraphFont"/>
    <w:uiPriority w:val="20"/>
    <w:qFormat/>
    <w:rsid w:val="00801D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620865">
      <w:bodyDiv w:val="1"/>
      <w:marLeft w:val="0"/>
      <w:marRight w:val="0"/>
      <w:marTop w:val="0"/>
      <w:marBottom w:val="0"/>
      <w:divBdr>
        <w:top w:val="none" w:sz="0" w:space="0" w:color="auto"/>
        <w:left w:val="none" w:sz="0" w:space="0" w:color="auto"/>
        <w:bottom w:val="none" w:sz="0" w:space="0" w:color="auto"/>
        <w:right w:val="none" w:sz="0" w:space="0" w:color="auto"/>
      </w:divBdr>
    </w:div>
    <w:div w:id="986516662">
      <w:bodyDiv w:val="1"/>
      <w:marLeft w:val="0"/>
      <w:marRight w:val="0"/>
      <w:marTop w:val="0"/>
      <w:marBottom w:val="0"/>
      <w:divBdr>
        <w:top w:val="none" w:sz="0" w:space="0" w:color="auto"/>
        <w:left w:val="none" w:sz="0" w:space="0" w:color="auto"/>
        <w:bottom w:val="none" w:sz="0" w:space="0" w:color="auto"/>
        <w:right w:val="none" w:sz="0" w:space="0" w:color="auto"/>
      </w:divBdr>
    </w:div>
    <w:div w:id="989214088">
      <w:bodyDiv w:val="1"/>
      <w:marLeft w:val="0"/>
      <w:marRight w:val="0"/>
      <w:marTop w:val="0"/>
      <w:marBottom w:val="0"/>
      <w:divBdr>
        <w:top w:val="none" w:sz="0" w:space="0" w:color="auto"/>
        <w:left w:val="none" w:sz="0" w:space="0" w:color="auto"/>
        <w:bottom w:val="none" w:sz="0" w:space="0" w:color="auto"/>
        <w:right w:val="none" w:sz="0" w:space="0" w:color="auto"/>
      </w:divBdr>
    </w:div>
    <w:div w:id="1060061036">
      <w:bodyDiv w:val="1"/>
      <w:marLeft w:val="0"/>
      <w:marRight w:val="0"/>
      <w:marTop w:val="0"/>
      <w:marBottom w:val="0"/>
      <w:divBdr>
        <w:top w:val="none" w:sz="0" w:space="0" w:color="auto"/>
        <w:left w:val="none" w:sz="0" w:space="0" w:color="auto"/>
        <w:bottom w:val="none" w:sz="0" w:space="0" w:color="auto"/>
        <w:right w:val="none" w:sz="0" w:space="0" w:color="auto"/>
      </w:divBdr>
    </w:div>
    <w:div w:id="1787500237">
      <w:bodyDiv w:val="1"/>
      <w:marLeft w:val="0"/>
      <w:marRight w:val="0"/>
      <w:marTop w:val="0"/>
      <w:marBottom w:val="0"/>
      <w:divBdr>
        <w:top w:val="none" w:sz="0" w:space="0" w:color="auto"/>
        <w:left w:val="none" w:sz="0" w:space="0" w:color="auto"/>
        <w:bottom w:val="none" w:sz="0" w:space="0" w:color="auto"/>
        <w:right w:val="none" w:sz="0" w:space="0" w:color="auto"/>
      </w:divBdr>
    </w:div>
    <w:div w:id="1960405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Pau25</b:Tag>
    <b:SourceType>DocumentFromInternetSite</b:SourceType>
    <b:Guid>{16E045B1-DB3A-417B-8C9A-FE242DB7E9E8}</b:Guid>
    <b:Author>
      <b:Author>
        <b:Corporate>Pauldy Oterman, Serena Small, Monica Pereira, Pruthvi Sridhara &amp; Dev ADITYA</b:Corporate>
      </b:Author>
    </b:Author>
    <b:Title>Jornal of Education and work</b:Title>
    <b:Year>2025</b:Year>
    <b:Month>October</b:Month>
    <b:Day>28</b:Day>
    <b:YearAccessed>2026</b:YearAccessed>
    <b:MonthAccessed>June</b:MonthAccessed>
    <b:DayAccessed>25</b:DayAccessed>
    <b:RefOrder>1</b:RefOrder>
  </b:Source>
  <b:Source>
    <b:Tag>Ann03</b:Tag>
    <b:SourceType>DocumentFromInternetSite</b:SourceType>
    <b:Guid>{609B25E6-EB33-4CC9-BABE-A92B421C8C63}</b:Guid>
    <b:Author>
      <b:Author>
        <b:NameList>
          <b:Person>
            <b:Last>Green</b:Last>
            <b:First>Anne</b:First>
            <b:Middle>E.</b:Middle>
          </b:Person>
        </b:NameList>
      </b:Author>
    </b:Author>
    <b:Title>Jornal: Local Economy, volume 18, issue 4, pp. 306-321</b:Title>
    <b:Year>2003</b:Year>
    <b:Month>November</b:Month>
    <b:YearAccessed>2026</b:YearAccessed>
    <b:MonthAccessed>June</b:MonthAccessed>
    <b:DayAccessed>25</b:DayAccessed>
    <b:RefOrder>2</b:RefOrder>
  </b:Source>
</b:Sources>
</file>

<file path=customXml/itemProps1.xml><?xml version="1.0" encoding="utf-8"?>
<ds:datastoreItem xmlns:ds="http://schemas.openxmlformats.org/officeDocument/2006/customXml" ds:itemID="{C7E51249-52DF-4384-BE8B-B976BF6BD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582</Words>
  <Characters>3319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Layson</dc:creator>
  <cp:keywords/>
  <dc:description/>
  <cp:lastModifiedBy>Charlie Layson</cp:lastModifiedBy>
  <cp:revision>1</cp:revision>
  <dcterms:created xsi:type="dcterms:W3CDTF">2026-06-25T09:08:00Z</dcterms:created>
  <dcterms:modified xsi:type="dcterms:W3CDTF">2026-06-25T10:03:00Z</dcterms:modified>
</cp:coreProperties>
</file>