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D6090" w14:textId="52770560" w:rsidR="00963420" w:rsidRDefault="00963420" w:rsidP="00124580">
      <w:pPr>
        <w:pStyle w:val="a3"/>
        <w:spacing w:line="360" w:lineRule="auto"/>
        <w:jc w:val="both"/>
        <w:rPr>
          <w:rStyle w:val="a4"/>
        </w:rPr>
      </w:pPr>
    </w:p>
    <w:p w14:paraId="5B57743C" w14:textId="19FF6FF3" w:rsidR="00A50A2D" w:rsidRPr="00076F17" w:rsidRDefault="00A50A2D" w:rsidP="00076F17">
      <w:pPr>
        <w:spacing w:after="0" w:line="240" w:lineRule="auto"/>
        <w:jc w:val="center"/>
        <w:rPr>
          <w:rFonts w:ascii="Times New Roman" w:eastAsia="Times New Roman" w:hAnsi="Times New Roman" w:cs="Times New Roman"/>
          <w:b/>
          <w:color w:val="222222"/>
          <w:kern w:val="0"/>
          <w:sz w:val="44"/>
          <w:szCs w:val="44"/>
          <w:shd w:val="clear" w:color="auto" w:fill="FFFFFF"/>
          <w:lang w:val="ru-RU" w:eastAsia="ru-RU"/>
          <w14:ligatures w14:val="none"/>
        </w:rPr>
      </w:pPr>
      <w:r w:rsidRPr="00076F17">
        <w:rPr>
          <w:rFonts w:ascii="Times New Roman" w:eastAsia="Times New Roman" w:hAnsi="Times New Roman" w:cs="Times New Roman"/>
          <w:b/>
          <w:color w:val="222222"/>
          <w:kern w:val="0"/>
          <w:sz w:val="44"/>
          <w:szCs w:val="44"/>
          <w:shd w:val="clear" w:color="auto" w:fill="FFFFFF"/>
          <w:lang w:val="ru-RU" w:eastAsia="ru-RU"/>
          <w14:ligatures w14:val="none"/>
        </w:rPr>
        <w:t>Assessment 1</w:t>
      </w:r>
    </w:p>
    <w:p w14:paraId="777676E5" w14:textId="3D18E7FF" w:rsidR="00076F17" w:rsidRPr="00076F17" w:rsidRDefault="00076F17" w:rsidP="00076F17">
      <w:pPr>
        <w:spacing w:after="0" w:line="240" w:lineRule="auto"/>
        <w:jc w:val="center"/>
        <w:rPr>
          <w:rFonts w:ascii="Times New Roman" w:eastAsia="Times New Roman" w:hAnsi="Times New Roman" w:cs="Times New Roman"/>
          <w:b/>
          <w:color w:val="222222"/>
          <w:kern w:val="0"/>
          <w:sz w:val="24"/>
          <w:szCs w:val="24"/>
          <w:shd w:val="clear" w:color="auto" w:fill="FFFFFF"/>
          <w:lang w:val="ru-RU" w:eastAsia="ru-RU"/>
          <w14:ligatures w14:val="none"/>
        </w:rPr>
      </w:pPr>
    </w:p>
    <w:p w14:paraId="7F88FF85" w14:textId="77777777" w:rsidR="00076F17" w:rsidRPr="00076F17" w:rsidRDefault="00076F17" w:rsidP="00076F17">
      <w:pPr>
        <w:spacing w:after="0" w:line="240" w:lineRule="auto"/>
        <w:jc w:val="center"/>
        <w:rPr>
          <w:rFonts w:ascii="Times New Roman" w:eastAsia="Times New Roman" w:hAnsi="Times New Roman" w:cs="Times New Roman"/>
          <w:b/>
          <w:kern w:val="0"/>
          <w:sz w:val="24"/>
          <w:szCs w:val="24"/>
          <w:lang w:val="ru-RU" w:eastAsia="ru-RU"/>
          <w14:ligatures w14:val="none"/>
        </w:rPr>
      </w:pPr>
    </w:p>
    <w:p w14:paraId="4512F92A" w14:textId="5B593407" w:rsidR="00A50A2D" w:rsidRPr="00076F17" w:rsidRDefault="00A50A2D" w:rsidP="00076F17">
      <w:pPr>
        <w:shd w:val="clear" w:color="auto" w:fill="FFFFFF"/>
        <w:spacing w:after="0" w:line="240" w:lineRule="auto"/>
        <w:jc w:val="center"/>
        <w:rPr>
          <w:rFonts w:ascii="Times New Roman" w:eastAsia="Times New Roman" w:hAnsi="Times New Roman" w:cs="Times New Roman"/>
          <w:b/>
          <w:color w:val="222222"/>
          <w:kern w:val="0"/>
          <w:sz w:val="52"/>
          <w:szCs w:val="52"/>
          <w:lang w:val="ru-RU" w:eastAsia="ru-RU"/>
          <w14:ligatures w14:val="none"/>
        </w:rPr>
      </w:pPr>
      <w:r w:rsidRPr="00076F17">
        <w:rPr>
          <w:rFonts w:ascii="Times New Roman" w:eastAsia="Times New Roman" w:hAnsi="Times New Roman" w:cs="Times New Roman"/>
          <w:b/>
          <w:color w:val="222222"/>
          <w:kern w:val="0"/>
          <w:sz w:val="52"/>
          <w:szCs w:val="52"/>
          <w:lang w:val="ru-RU" w:eastAsia="ru-RU"/>
          <w14:ligatures w14:val="none"/>
        </w:rPr>
        <w:t>International Financial Management</w:t>
      </w:r>
    </w:p>
    <w:p w14:paraId="232DE0CC" w14:textId="77777777" w:rsidR="00076F17" w:rsidRPr="00076F17" w:rsidRDefault="00076F17" w:rsidP="00A50A2D">
      <w:pPr>
        <w:shd w:val="clear" w:color="auto" w:fill="FFFFFF"/>
        <w:spacing w:after="0" w:line="240" w:lineRule="auto"/>
        <w:rPr>
          <w:rFonts w:ascii="Arial" w:eastAsia="Times New Roman" w:hAnsi="Arial" w:cs="Arial"/>
          <w:color w:val="222222"/>
          <w:kern w:val="0"/>
          <w:sz w:val="52"/>
          <w:szCs w:val="52"/>
          <w:lang w:val="ru-RU" w:eastAsia="ru-RU"/>
          <w14:ligatures w14:val="none"/>
        </w:rPr>
      </w:pPr>
    </w:p>
    <w:p w14:paraId="16F8C5AE" w14:textId="77777777" w:rsidR="00076F17" w:rsidRDefault="00076F17" w:rsidP="00A50A2D">
      <w:pPr>
        <w:shd w:val="clear" w:color="auto" w:fill="FFFFFF"/>
        <w:spacing w:after="0" w:line="240" w:lineRule="auto"/>
        <w:rPr>
          <w:rFonts w:ascii="Arial" w:eastAsia="Times New Roman" w:hAnsi="Arial" w:cs="Arial"/>
          <w:color w:val="222222"/>
          <w:kern w:val="0"/>
          <w:sz w:val="24"/>
          <w:szCs w:val="24"/>
          <w:lang w:val="ru-RU" w:eastAsia="ru-RU"/>
          <w14:ligatures w14:val="none"/>
        </w:rPr>
      </w:pPr>
    </w:p>
    <w:p w14:paraId="2855C17D" w14:textId="29F3DB74" w:rsidR="00076F17" w:rsidRDefault="00076F17" w:rsidP="00A50A2D">
      <w:pPr>
        <w:shd w:val="clear" w:color="auto" w:fill="FFFFFF"/>
        <w:spacing w:after="0" w:line="240" w:lineRule="auto"/>
        <w:rPr>
          <w:rFonts w:ascii="Arial" w:eastAsia="Times New Roman" w:hAnsi="Arial" w:cs="Arial"/>
          <w:color w:val="222222"/>
          <w:kern w:val="0"/>
          <w:sz w:val="24"/>
          <w:szCs w:val="24"/>
          <w:lang w:val="ru-RU" w:eastAsia="ru-RU"/>
          <w14:ligatures w14:val="none"/>
        </w:rPr>
      </w:pPr>
    </w:p>
    <w:p w14:paraId="0B36C789" w14:textId="55FDE12D" w:rsidR="00076F17" w:rsidRDefault="00076F17" w:rsidP="00A50A2D">
      <w:pPr>
        <w:shd w:val="clear" w:color="auto" w:fill="FFFFFF"/>
        <w:spacing w:after="0" w:line="240" w:lineRule="auto"/>
        <w:rPr>
          <w:rFonts w:ascii="Arial" w:eastAsia="Times New Roman" w:hAnsi="Arial" w:cs="Arial"/>
          <w:color w:val="222222"/>
          <w:kern w:val="0"/>
          <w:sz w:val="24"/>
          <w:szCs w:val="24"/>
          <w:lang w:val="ru-RU" w:eastAsia="ru-RU"/>
          <w14:ligatures w14:val="none"/>
        </w:rPr>
      </w:pPr>
    </w:p>
    <w:p w14:paraId="07B44FA5" w14:textId="61C13688" w:rsidR="00076F17" w:rsidRDefault="00076F17" w:rsidP="00A50A2D">
      <w:pPr>
        <w:shd w:val="clear" w:color="auto" w:fill="FFFFFF"/>
        <w:spacing w:after="0" w:line="240" w:lineRule="auto"/>
        <w:rPr>
          <w:rFonts w:ascii="Arial" w:eastAsia="Times New Roman" w:hAnsi="Arial" w:cs="Arial"/>
          <w:color w:val="222222"/>
          <w:kern w:val="0"/>
          <w:sz w:val="24"/>
          <w:szCs w:val="24"/>
          <w:lang w:val="ru-RU" w:eastAsia="ru-RU"/>
          <w14:ligatures w14:val="none"/>
        </w:rPr>
      </w:pPr>
    </w:p>
    <w:p w14:paraId="4C55E994" w14:textId="77777777" w:rsidR="00076F17" w:rsidRDefault="00076F17" w:rsidP="00A50A2D">
      <w:pPr>
        <w:shd w:val="clear" w:color="auto" w:fill="FFFFFF"/>
        <w:spacing w:after="0" w:line="240" w:lineRule="auto"/>
        <w:rPr>
          <w:rFonts w:ascii="Arial" w:eastAsia="Times New Roman" w:hAnsi="Arial" w:cs="Arial"/>
          <w:color w:val="222222"/>
          <w:kern w:val="0"/>
          <w:sz w:val="24"/>
          <w:szCs w:val="24"/>
          <w:lang w:val="ru-RU" w:eastAsia="ru-RU"/>
          <w14:ligatures w14:val="none"/>
        </w:rPr>
      </w:pPr>
    </w:p>
    <w:p w14:paraId="03ED9229" w14:textId="61DD1B74" w:rsidR="00A50A2D" w:rsidRPr="00076F17" w:rsidRDefault="00A50A2D" w:rsidP="00A50A2D">
      <w:pPr>
        <w:shd w:val="clear" w:color="auto" w:fill="FFFFFF"/>
        <w:spacing w:after="0" w:line="240" w:lineRule="auto"/>
        <w:rPr>
          <w:rFonts w:ascii="Times New Roman" w:eastAsia="Times New Roman" w:hAnsi="Times New Roman" w:cs="Times New Roman"/>
          <w:b/>
          <w:color w:val="222222"/>
          <w:kern w:val="0"/>
          <w:sz w:val="24"/>
          <w:szCs w:val="24"/>
          <w:lang w:val="en-US" w:eastAsia="ru-RU"/>
          <w14:ligatures w14:val="none"/>
        </w:rPr>
      </w:pPr>
      <w:r w:rsidRPr="00076F17">
        <w:rPr>
          <w:rFonts w:ascii="Times New Roman" w:eastAsia="Times New Roman" w:hAnsi="Times New Roman" w:cs="Times New Roman"/>
          <w:b/>
          <w:color w:val="222222"/>
          <w:kern w:val="0"/>
          <w:sz w:val="24"/>
          <w:szCs w:val="24"/>
          <w:lang w:val="en-US" w:eastAsia="ru-RU"/>
          <w14:ligatures w14:val="none"/>
        </w:rPr>
        <w:t>Student name: Mihail Cristian </w:t>
      </w:r>
    </w:p>
    <w:p w14:paraId="7A730A9A" w14:textId="77777777" w:rsidR="00076F17" w:rsidRPr="00076F17" w:rsidRDefault="00076F17" w:rsidP="00A50A2D">
      <w:pPr>
        <w:shd w:val="clear" w:color="auto" w:fill="FFFFFF"/>
        <w:spacing w:after="0" w:line="240" w:lineRule="auto"/>
        <w:rPr>
          <w:rFonts w:ascii="Times New Roman" w:eastAsia="Times New Roman" w:hAnsi="Times New Roman" w:cs="Times New Roman"/>
          <w:b/>
          <w:color w:val="222222"/>
          <w:kern w:val="0"/>
          <w:sz w:val="24"/>
          <w:szCs w:val="24"/>
          <w:lang w:val="en-US" w:eastAsia="ru-RU"/>
          <w14:ligatures w14:val="none"/>
        </w:rPr>
      </w:pPr>
    </w:p>
    <w:p w14:paraId="4C0CD076" w14:textId="714BC0D8" w:rsidR="00A50A2D" w:rsidRPr="00076F17" w:rsidRDefault="00A50A2D" w:rsidP="00A50A2D">
      <w:pPr>
        <w:shd w:val="clear" w:color="auto" w:fill="FFFFFF"/>
        <w:spacing w:after="0" w:line="240" w:lineRule="auto"/>
        <w:rPr>
          <w:rFonts w:ascii="Times New Roman" w:eastAsia="Times New Roman" w:hAnsi="Times New Roman" w:cs="Times New Roman"/>
          <w:b/>
          <w:color w:val="222222"/>
          <w:kern w:val="0"/>
          <w:sz w:val="24"/>
          <w:szCs w:val="24"/>
          <w:lang w:val="en-US" w:eastAsia="ru-RU"/>
          <w14:ligatures w14:val="none"/>
        </w:rPr>
      </w:pPr>
      <w:r w:rsidRPr="00076F17">
        <w:rPr>
          <w:rFonts w:ascii="Times New Roman" w:eastAsia="Times New Roman" w:hAnsi="Times New Roman" w:cs="Times New Roman"/>
          <w:b/>
          <w:color w:val="222222"/>
          <w:kern w:val="0"/>
          <w:sz w:val="24"/>
          <w:szCs w:val="24"/>
          <w:lang w:val="en-US" w:eastAsia="ru-RU"/>
          <w14:ligatures w14:val="none"/>
        </w:rPr>
        <w:t>Student ID: 2112321</w:t>
      </w:r>
    </w:p>
    <w:p w14:paraId="023202A7" w14:textId="17028F59" w:rsidR="00076F17" w:rsidRPr="00076F17" w:rsidRDefault="00076F17" w:rsidP="00A50A2D">
      <w:pPr>
        <w:shd w:val="clear" w:color="auto" w:fill="FFFFFF"/>
        <w:spacing w:after="0" w:line="240" w:lineRule="auto"/>
        <w:rPr>
          <w:rFonts w:ascii="Times New Roman" w:eastAsia="Times New Roman" w:hAnsi="Times New Roman" w:cs="Times New Roman"/>
          <w:b/>
          <w:color w:val="222222"/>
          <w:kern w:val="0"/>
          <w:sz w:val="24"/>
          <w:szCs w:val="24"/>
          <w:lang w:val="en-US" w:eastAsia="ru-RU"/>
          <w14:ligatures w14:val="none"/>
        </w:rPr>
      </w:pPr>
    </w:p>
    <w:p w14:paraId="584213E2" w14:textId="2BC074B9" w:rsidR="00076F17" w:rsidRPr="00076F17" w:rsidRDefault="00076F17" w:rsidP="00076F17">
      <w:pPr>
        <w:shd w:val="clear" w:color="auto" w:fill="FFFFFF"/>
        <w:spacing w:after="0" w:line="276" w:lineRule="auto"/>
        <w:rPr>
          <w:rFonts w:ascii="Times New Roman" w:eastAsia="Times New Roman" w:hAnsi="Times New Roman" w:cs="Times New Roman"/>
          <w:color w:val="222222"/>
          <w:kern w:val="0"/>
          <w:sz w:val="24"/>
          <w:szCs w:val="24"/>
          <w:lang w:val="en-US" w:eastAsia="ru-RU"/>
          <w14:ligatures w14:val="none"/>
        </w:rPr>
      </w:pPr>
      <w:r w:rsidRPr="00076F17">
        <w:rPr>
          <w:rFonts w:ascii="Times New Roman" w:eastAsia="Times New Roman" w:hAnsi="Times New Roman" w:cs="Times New Roman"/>
          <w:b/>
          <w:color w:val="222222"/>
          <w:kern w:val="0"/>
          <w:sz w:val="24"/>
          <w:szCs w:val="24"/>
          <w:lang w:val="en-US" w:eastAsia="ru-RU"/>
          <w14:ligatures w14:val="none"/>
        </w:rPr>
        <w:t xml:space="preserve">Assignment Title: </w:t>
      </w:r>
      <w:r w:rsidRPr="00076F17">
        <w:rPr>
          <w:rStyle w:val="a4"/>
          <w:rFonts w:ascii="Times New Roman" w:hAnsi="Times New Roman" w:cs="Times New Roman"/>
          <w:sz w:val="24"/>
          <w:szCs w:val="24"/>
        </w:rPr>
        <w:t>An inclusive essay on strategies used by MNCs to mitigate Foreign Exchange risks</w:t>
      </w:r>
    </w:p>
    <w:p w14:paraId="7274C9D6" w14:textId="77777777" w:rsidR="00076F17" w:rsidRPr="00076F17" w:rsidRDefault="00076F17" w:rsidP="00A50A2D">
      <w:pPr>
        <w:shd w:val="clear" w:color="auto" w:fill="FFFFFF"/>
        <w:spacing w:after="0" w:line="240" w:lineRule="auto"/>
        <w:rPr>
          <w:rFonts w:ascii="Times New Roman" w:eastAsia="Times New Roman" w:hAnsi="Times New Roman" w:cs="Times New Roman"/>
          <w:b/>
          <w:color w:val="222222"/>
          <w:kern w:val="0"/>
          <w:sz w:val="24"/>
          <w:szCs w:val="24"/>
          <w:lang w:val="en-US" w:eastAsia="ru-RU"/>
          <w14:ligatures w14:val="none"/>
        </w:rPr>
      </w:pPr>
    </w:p>
    <w:p w14:paraId="22A62718" w14:textId="77777777" w:rsidR="00A50A2D" w:rsidRPr="00076F17" w:rsidRDefault="00A50A2D" w:rsidP="00A50A2D">
      <w:pPr>
        <w:shd w:val="clear" w:color="auto" w:fill="FFFFFF"/>
        <w:spacing w:after="0" w:line="240" w:lineRule="auto"/>
        <w:rPr>
          <w:rFonts w:ascii="Times New Roman" w:eastAsia="Times New Roman" w:hAnsi="Times New Roman" w:cs="Times New Roman"/>
          <w:b/>
          <w:color w:val="222222"/>
          <w:kern w:val="0"/>
          <w:sz w:val="24"/>
          <w:szCs w:val="24"/>
          <w:lang w:val="en-US" w:eastAsia="ru-RU"/>
          <w14:ligatures w14:val="none"/>
        </w:rPr>
      </w:pPr>
      <w:r w:rsidRPr="00076F17">
        <w:rPr>
          <w:rFonts w:ascii="Times New Roman" w:eastAsia="Times New Roman" w:hAnsi="Times New Roman" w:cs="Times New Roman"/>
          <w:b/>
          <w:color w:val="222222"/>
          <w:kern w:val="0"/>
          <w:sz w:val="24"/>
          <w:szCs w:val="24"/>
          <w:lang w:val="en-US" w:eastAsia="ru-RU"/>
          <w14:ligatures w14:val="none"/>
        </w:rPr>
        <w:t>Module Code: LCBB6002</w:t>
      </w:r>
    </w:p>
    <w:p w14:paraId="75B0A30E" w14:textId="7219B5D5" w:rsidR="00990FEA" w:rsidRPr="00124580" w:rsidRDefault="00990FEA" w:rsidP="00124580">
      <w:pPr>
        <w:pStyle w:val="a3"/>
        <w:spacing w:line="360" w:lineRule="auto"/>
        <w:jc w:val="both"/>
        <w:rPr>
          <w:rStyle w:val="a4"/>
        </w:rPr>
      </w:pPr>
    </w:p>
    <w:p w14:paraId="69443CB5" w14:textId="77777777" w:rsidR="00990FEA" w:rsidRPr="00124580" w:rsidRDefault="00990FEA" w:rsidP="00124580">
      <w:pPr>
        <w:spacing w:line="360" w:lineRule="auto"/>
        <w:jc w:val="both"/>
        <w:rPr>
          <w:rStyle w:val="a4"/>
          <w:rFonts w:ascii="Times New Roman" w:eastAsia="Times New Roman" w:hAnsi="Times New Roman" w:cs="Times New Roman"/>
          <w:kern w:val="0"/>
          <w:sz w:val="24"/>
          <w:szCs w:val="24"/>
          <w:lang w:eastAsia="en-IN"/>
          <w14:ligatures w14:val="none"/>
        </w:rPr>
      </w:pPr>
      <w:r w:rsidRPr="00124580">
        <w:rPr>
          <w:rStyle w:val="a4"/>
          <w:rFonts w:ascii="Times New Roman" w:hAnsi="Times New Roman" w:cs="Times New Roman"/>
          <w:sz w:val="24"/>
          <w:szCs w:val="24"/>
        </w:rPr>
        <w:br w:type="page"/>
      </w:r>
    </w:p>
    <w:p w14:paraId="2E921021" w14:textId="77777777" w:rsidR="00990FEA" w:rsidRPr="00124580" w:rsidRDefault="00990FEA" w:rsidP="00124580">
      <w:pPr>
        <w:pStyle w:val="a3"/>
        <w:spacing w:line="360" w:lineRule="auto"/>
        <w:jc w:val="both"/>
        <w:rPr>
          <w:rStyle w:val="a4"/>
        </w:rPr>
      </w:pPr>
    </w:p>
    <w:sdt>
      <w:sdtPr>
        <w:rPr>
          <w:rFonts w:ascii="Times New Roman" w:eastAsiaTheme="minorHAnsi" w:hAnsi="Times New Roman" w:cs="Times New Roman"/>
          <w:b/>
          <w:bCs/>
          <w:color w:val="auto"/>
          <w:kern w:val="2"/>
          <w:sz w:val="24"/>
          <w:szCs w:val="24"/>
          <w:lang w:val="en-IN"/>
          <w14:ligatures w14:val="standardContextual"/>
        </w:rPr>
        <w:id w:val="-1038966155"/>
        <w:docPartObj>
          <w:docPartGallery w:val="Table of Contents"/>
          <w:docPartUnique/>
        </w:docPartObj>
      </w:sdtPr>
      <w:sdtEndPr>
        <w:rPr>
          <w:noProof/>
        </w:rPr>
      </w:sdtEndPr>
      <w:sdtContent>
        <w:p w14:paraId="083BAF89" w14:textId="789B2785" w:rsidR="00076F17" w:rsidRDefault="00076F17" w:rsidP="00A43982">
          <w:pPr>
            <w:pStyle w:val="a5"/>
            <w:spacing w:line="360" w:lineRule="auto"/>
            <w:jc w:val="both"/>
            <w:rPr>
              <w:rFonts w:ascii="Times New Roman" w:eastAsiaTheme="minorHAnsi" w:hAnsi="Times New Roman" w:cs="Times New Roman"/>
              <w:b/>
              <w:bCs/>
              <w:color w:val="auto"/>
              <w:kern w:val="2"/>
              <w:sz w:val="24"/>
              <w:szCs w:val="24"/>
              <w:lang w:val="en-IN"/>
              <w14:ligatures w14:val="standardContextual"/>
            </w:rPr>
          </w:pPr>
          <w:r w:rsidRPr="00076F17">
            <w:rPr>
              <w:rFonts w:ascii="Times New Roman" w:eastAsiaTheme="minorHAnsi" w:hAnsi="Times New Roman" w:cs="Times New Roman"/>
              <w:b/>
              <w:bCs/>
              <w:color w:val="auto"/>
              <w:kern w:val="2"/>
              <w:sz w:val="24"/>
              <w:szCs w:val="24"/>
              <w:lang w:val="en-IN"/>
              <w14:ligatures w14:val="standardContextual"/>
            </w:rPr>
            <w:tab/>
          </w:r>
        </w:p>
        <w:p w14:paraId="0205A267" w14:textId="77777777" w:rsidR="00076F17" w:rsidRPr="00076F17" w:rsidRDefault="00076F17" w:rsidP="00076F17">
          <w:pPr>
            <w:pStyle w:val="a5"/>
            <w:spacing w:line="360" w:lineRule="auto"/>
            <w:jc w:val="both"/>
            <w:rPr>
              <w:rFonts w:ascii="Times New Roman" w:eastAsiaTheme="minorHAnsi" w:hAnsi="Times New Roman" w:cs="Times New Roman"/>
              <w:b/>
              <w:bCs/>
              <w:color w:val="auto"/>
              <w:kern w:val="2"/>
              <w:sz w:val="24"/>
              <w:szCs w:val="24"/>
              <w:lang w:val="en-IN"/>
              <w14:ligatures w14:val="standardContextual"/>
            </w:rPr>
          </w:pPr>
          <w:r w:rsidRPr="00076F17">
            <w:rPr>
              <w:rFonts w:ascii="Times New Roman" w:eastAsiaTheme="minorHAnsi" w:hAnsi="Times New Roman" w:cs="Times New Roman"/>
              <w:b/>
              <w:bCs/>
              <w:color w:val="auto"/>
              <w:kern w:val="2"/>
              <w:sz w:val="24"/>
              <w:szCs w:val="24"/>
              <w:lang w:val="en-IN"/>
              <w14:ligatures w14:val="standardContextual"/>
            </w:rPr>
            <w:t>Table of Contents</w:t>
          </w:r>
        </w:p>
        <w:p w14:paraId="6148B723" w14:textId="77777777" w:rsidR="00A43982" w:rsidRDefault="00A43982" w:rsidP="00A43982">
          <w:pPr>
            <w:pStyle w:val="11"/>
          </w:pPr>
        </w:p>
        <w:p w14:paraId="5510646E" w14:textId="750F2699" w:rsidR="00A43982" w:rsidRPr="00A43982" w:rsidRDefault="00990FEA" w:rsidP="00A43982">
          <w:pPr>
            <w:pStyle w:val="11"/>
          </w:pPr>
          <w:r w:rsidRPr="00124580">
            <w:fldChar w:fldCharType="begin"/>
          </w:r>
          <w:r w:rsidRPr="00124580">
            <w:instrText xml:space="preserve"> TOC \o "1-3" \h \z \u </w:instrText>
          </w:r>
          <w:r w:rsidRPr="00124580">
            <w:fldChar w:fldCharType="separate"/>
          </w:r>
          <w:r w:rsidR="00A43982">
            <w:t>Introduction ……………………………………………………………………………… 2</w:t>
          </w:r>
        </w:p>
        <w:p w14:paraId="4963DB78" w14:textId="17B94D2A" w:rsidR="00990FEA" w:rsidRPr="00124580" w:rsidRDefault="00076F17" w:rsidP="00A43982">
          <w:pPr>
            <w:pStyle w:val="11"/>
            <w:rPr>
              <w:noProof/>
            </w:rPr>
          </w:pPr>
          <w:r w:rsidRPr="00076F17">
            <w:t>Foreign Exchange Risks</w:t>
          </w:r>
          <w:r w:rsidR="00A43982">
            <w:t xml:space="preserve"> …………………………………………………………………. 3</w:t>
          </w:r>
        </w:p>
        <w:p w14:paraId="16E75513" w14:textId="26473443" w:rsidR="00990FEA" w:rsidRPr="00124580" w:rsidRDefault="00076F17" w:rsidP="00A43982">
          <w:pPr>
            <w:pStyle w:val="11"/>
            <w:tabs>
              <w:tab w:val="clear" w:pos="9016"/>
              <w:tab w:val="right" w:pos="9026"/>
            </w:tabs>
            <w:rPr>
              <w:noProof/>
            </w:rPr>
          </w:pPr>
          <w:r w:rsidRPr="00076F17">
            <w:t>Strategies used by MNCs</w:t>
          </w:r>
          <w:r w:rsidR="00A43982">
            <w:t xml:space="preserve"> ………………………………………………………………..  4</w:t>
          </w:r>
        </w:p>
        <w:p w14:paraId="43B78282" w14:textId="6D699410" w:rsidR="00990FEA" w:rsidRPr="00124580" w:rsidRDefault="00A43982" w:rsidP="00A43982">
          <w:pPr>
            <w:pStyle w:val="11"/>
            <w:rPr>
              <w:noProof/>
            </w:rPr>
          </w:pPr>
          <w:r w:rsidRPr="00076F17">
            <w:t>Critical analysis</w:t>
          </w:r>
          <w:r>
            <w:t xml:space="preserve"> …………………………………………………………………………..  7</w:t>
          </w:r>
        </w:p>
        <w:p w14:paraId="72168F70" w14:textId="726D5F21" w:rsidR="00990FEA" w:rsidRPr="00124580" w:rsidRDefault="00A43982" w:rsidP="00A43982">
          <w:pPr>
            <w:pStyle w:val="11"/>
            <w:rPr>
              <w:noProof/>
            </w:rPr>
          </w:pPr>
          <w:r w:rsidRPr="00076F17">
            <w:t>Conclusion</w:t>
          </w:r>
          <w:r>
            <w:t xml:space="preserve"> ………………………………………………………………………………… 9</w:t>
          </w:r>
        </w:p>
        <w:p w14:paraId="6689B033" w14:textId="0A0CD952" w:rsidR="00990FEA" w:rsidRPr="00124580" w:rsidRDefault="00A43982" w:rsidP="00A43982">
          <w:pPr>
            <w:pStyle w:val="11"/>
            <w:rPr>
              <w:noProof/>
            </w:rPr>
          </w:pPr>
          <w:r w:rsidRPr="00076F17">
            <w:t>References</w:t>
          </w:r>
          <w:r>
            <w:t xml:space="preserve"> ………………………………………………………………………………… 10</w:t>
          </w:r>
        </w:p>
        <w:p w14:paraId="34C71E9B" w14:textId="00B98F7D" w:rsidR="00990FEA" w:rsidRPr="00124580" w:rsidRDefault="00990FEA" w:rsidP="00124580">
          <w:pPr>
            <w:spacing w:line="360" w:lineRule="auto"/>
            <w:jc w:val="both"/>
            <w:rPr>
              <w:rFonts w:ascii="Times New Roman" w:hAnsi="Times New Roman" w:cs="Times New Roman"/>
              <w:sz w:val="24"/>
              <w:szCs w:val="24"/>
            </w:rPr>
          </w:pPr>
          <w:r w:rsidRPr="00124580">
            <w:rPr>
              <w:rFonts w:ascii="Times New Roman" w:hAnsi="Times New Roman" w:cs="Times New Roman"/>
              <w:b/>
              <w:bCs/>
              <w:noProof/>
              <w:sz w:val="24"/>
              <w:szCs w:val="24"/>
            </w:rPr>
            <w:fldChar w:fldCharType="end"/>
          </w:r>
        </w:p>
      </w:sdtContent>
    </w:sdt>
    <w:p w14:paraId="3921A0C6" w14:textId="77777777" w:rsidR="00990FEA" w:rsidRPr="00124580" w:rsidRDefault="00990FEA" w:rsidP="00124580">
      <w:pPr>
        <w:pStyle w:val="a3"/>
        <w:spacing w:line="360" w:lineRule="auto"/>
        <w:jc w:val="both"/>
        <w:rPr>
          <w:rStyle w:val="a4"/>
        </w:rPr>
      </w:pPr>
    </w:p>
    <w:p w14:paraId="5C625F12" w14:textId="77777777" w:rsidR="00990FEA" w:rsidRPr="00124580" w:rsidRDefault="00990FEA" w:rsidP="00124580">
      <w:pPr>
        <w:spacing w:line="360" w:lineRule="auto"/>
        <w:jc w:val="both"/>
        <w:rPr>
          <w:rStyle w:val="a4"/>
          <w:rFonts w:ascii="Times New Roman" w:eastAsia="Times New Roman" w:hAnsi="Times New Roman" w:cs="Times New Roman"/>
          <w:kern w:val="0"/>
          <w:sz w:val="24"/>
          <w:szCs w:val="24"/>
          <w:lang w:eastAsia="en-IN"/>
          <w14:ligatures w14:val="none"/>
        </w:rPr>
      </w:pPr>
      <w:r w:rsidRPr="00124580">
        <w:rPr>
          <w:rStyle w:val="a4"/>
          <w:rFonts w:ascii="Times New Roman" w:hAnsi="Times New Roman" w:cs="Times New Roman"/>
          <w:sz w:val="24"/>
          <w:szCs w:val="24"/>
        </w:rPr>
        <w:br w:type="page"/>
      </w:r>
      <w:bookmarkStart w:id="0" w:name="_GoBack"/>
      <w:bookmarkEnd w:id="0"/>
    </w:p>
    <w:p w14:paraId="056F43A2" w14:textId="77777777" w:rsidR="00990FEA" w:rsidRPr="00124580" w:rsidRDefault="00990FEA" w:rsidP="00124580">
      <w:pPr>
        <w:pStyle w:val="a3"/>
        <w:spacing w:line="360" w:lineRule="auto"/>
        <w:jc w:val="both"/>
        <w:rPr>
          <w:rStyle w:val="a4"/>
        </w:rPr>
      </w:pPr>
    </w:p>
    <w:p w14:paraId="5EE43718" w14:textId="52B144FE" w:rsidR="00CF72D4" w:rsidRPr="00124580" w:rsidRDefault="00CF72D4" w:rsidP="00124580">
      <w:pPr>
        <w:pStyle w:val="1"/>
        <w:spacing w:line="360" w:lineRule="auto"/>
        <w:jc w:val="both"/>
        <w:rPr>
          <w:rFonts w:ascii="Times New Roman" w:hAnsi="Times New Roman" w:cs="Times New Roman"/>
          <w:color w:val="auto"/>
          <w:sz w:val="24"/>
          <w:szCs w:val="24"/>
        </w:rPr>
      </w:pPr>
      <w:bookmarkStart w:id="1" w:name="_Toc149162184"/>
      <w:r w:rsidRPr="00124580">
        <w:rPr>
          <w:rStyle w:val="a4"/>
          <w:rFonts w:ascii="Times New Roman" w:hAnsi="Times New Roman" w:cs="Times New Roman"/>
          <w:color w:val="auto"/>
          <w:sz w:val="24"/>
          <w:szCs w:val="24"/>
        </w:rPr>
        <w:t>Introduction</w:t>
      </w:r>
      <w:bookmarkEnd w:id="1"/>
    </w:p>
    <w:p w14:paraId="74227C2A" w14:textId="0765E7BB" w:rsidR="00990FEA" w:rsidRPr="00124580" w:rsidRDefault="00CF72D4" w:rsidP="00124580">
      <w:pPr>
        <w:pStyle w:val="a3"/>
        <w:spacing w:line="360" w:lineRule="auto"/>
        <w:jc w:val="both"/>
      </w:pPr>
      <w:r w:rsidRPr="00124580">
        <w:t>Multinational companies (MNCs) depend heavily on international financial management (IFM), especially when it comes to controlling their exposure to</w:t>
      </w:r>
      <w:r w:rsidR="00420379" w:rsidRPr="00124580">
        <w:t xml:space="preserve"> potential</w:t>
      </w:r>
      <w:r w:rsidRPr="00124580">
        <w:t xml:space="preserve"> foreign exchange risks. Risks associated with foreign exchange can significantly affect </w:t>
      </w:r>
      <w:r w:rsidR="00BB2A2D" w:rsidRPr="00124580">
        <w:t xml:space="preserve">the </w:t>
      </w:r>
      <w:r w:rsidRPr="00124580">
        <w:t>financial performance</w:t>
      </w:r>
      <w:r w:rsidR="00BB2A2D" w:rsidRPr="00124580">
        <w:t xml:space="preserve"> of a company</w:t>
      </w:r>
      <w:r w:rsidRPr="00124580">
        <w:t xml:space="preserve"> and even prevent it from expanding internationally. </w:t>
      </w:r>
      <w:r w:rsidR="00BB2A2D" w:rsidRPr="00124580">
        <w:t xml:space="preserve">Therefore, </w:t>
      </w:r>
      <w:r w:rsidR="008A087D" w:rsidRPr="00124580">
        <w:t>the MNCs need to have</w:t>
      </w:r>
      <w:r w:rsidR="00BB2A2D" w:rsidRPr="00124580">
        <w:t xml:space="preserve"> an efficient plan to reduce such risks which helps them ensure stability and future growth. Such</w:t>
      </w:r>
      <w:r w:rsidR="00781276" w:rsidRPr="00124580">
        <w:t xml:space="preserve"> plans</w:t>
      </w:r>
      <w:r w:rsidRPr="00124580">
        <w:t xml:space="preserve"> </w:t>
      </w:r>
      <w:r w:rsidR="00781276" w:rsidRPr="00124580">
        <w:t>entail</w:t>
      </w:r>
      <w:r w:rsidRPr="00124580">
        <w:t xml:space="preserve"> spreading their foreign investments, protecting against currency volatility, and closely observing changes in exchange rates. MNCs </w:t>
      </w:r>
      <w:r w:rsidR="00781276" w:rsidRPr="00124580">
        <w:t>can</w:t>
      </w:r>
      <w:r w:rsidRPr="00124580">
        <w:t xml:space="preserve"> reduce possible </w:t>
      </w:r>
      <w:r w:rsidR="00781276" w:rsidRPr="00124580">
        <w:t xml:space="preserve">risks </w:t>
      </w:r>
      <w:r w:rsidRPr="00124580">
        <w:t xml:space="preserve">and optimise prospects for development and success in the global marketplace by carefully managing their exposure to foreign exchange risks. This </w:t>
      </w:r>
      <w:r w:rsidR="00781276" w:rsidRPr="00124580">
        <w:t>essay</w:t>
      </w:r>
      <w:r w:rsidRPr="00124580">
        <w:t xml:space="preserve"> aims to </w:t>
      </w:r>
      <w:r w:rsidR="00781276" w:rsidRPr="00124580">
        <w:t xml:space="preserve">critically analyse various strategies </w:t>
      </w:r>
      <w:r w:rsidRPr="00124580">
        <w:t>that multinational corporations (MNCs) frequently employ to mitigate their foreign exchange risks.</w:t>
      </w:r>
    </w:p>
    <w:p w14:paraId="6B7795DF" w14:textId="77777777" w:rsidR="00990FEA" w:rsidRPr="00124580" w:rsidRDefault="00990FEA" w:rsidP="00124580">
      <w:pPr>
        <w:spacing w:line="360" w:lineRule="auto"/>
        <w:jc w:val="both"/>
        <w:rPr>
          <w:rFonts w:ascii="Times New Roman" w:eastAsia="Times New Roman" w:hAnsi="Times New Roman" w:cs="Times New Roman"/>
          <w:kern w:val="0"/>
          <w:sz w:val="24"/>
          <w:szCs w:val="24"/>
          <w:lang w:eastAsia="en-IN"/>
          <w14:ligatures w14:val="none"/>
        </w:rPr>
      </w:pPr>
      <w:r w:rsidRPr="00124580">
        <w:rPr>
          <w:rFonts w:ascii="Times New Roman" w:hAnsi="Times New Roman" w:cs="Times New Roman"/>
          <w:sz w:val="24"/>
          <w:szCs w:val="24"/>
        </w:rPr>
        <w:br w:type="page"/>
      </w:r>
    </w:p>
    <w:p w14:paraId="32CD41E6" w14:textId="77777777" w:rsidR="00CF72D4" w:rsidRPr="00124580" w:rsidRDefault="00CF72D4" w:rsidP="00124580">
      <w:pPr>
        <w:pStyle w:val="a3"/>
        <w:spacing w:line="360" w:lineRule="auto"/>
        <w:jc w:val="both"/>
      </w:pPr>
    </w:p>
    <w:p w14:paraId="6A025F66" w14:textId="3120E987" w:rsidR="00CF72D4" w:rsidRPr="00124580" w:rsidRDefault="00CF72D4" w:rsidP="00124580">
      <w:pPr>
        <w:pStyle w:val="1"/>
        <w:spacing w:line="360" w:lineRule="auto"/>
        <w:jc w:val="both"/>
        <w:rPr>
          <w:rFonts w:ascii="Times New Roman" w:hAnsi="Times New Roman" w:cs="Times New Roman"/>
          <w:color w:val="auto"/>
          <w:sz w:val="24"/>
          <w:szCs w:val="24"/>
        </w:rPr>
      </w:pPr>
      <w:bookmarkStart w:id="2" w:name="_Toc149162185"/>
      <w:r w:rsidRPr="00124580">
        <w:rPr>
          <w:rStyle w:val="a4"/>
          <w:rFonts w:ascii="Times New Roman" w:hAnsi="Times New Roman" w:cs="Times New Roman"/>
          <w:color w:val="auto"/>
          <w:sz w:val="24"/>
          <w:szCs w:val="24"/>
        </w:rPr>
        <w:t>Foreign Exchange Risk</w:t>
      </w:r>
      <w:r w:rsidR="00990FEA" w:rsidRPr="00124580">
        <w:rPr>
          <w:rStyle w:val="a4"/>
          <w:rFonts w:ascii="Times New Roman" w:hAnsi="Times New Roman" w:cs="Times New Roman"/>
          <w:color w:val="auto"/>
          <w:sz w:val="24"/>
          <w:szCs w:val="24"/>
        </w:rPr>
        <w:t>s</w:t>
      </w:r>
      <w:bookmarkEnd w:id="2"/>
    </w:p>
    <w:p w14:paraId="04720ECF" w14:textId="77777777" w:rsidR="00CF72D4" w:rsidRPr="00124580" w:rsidRDefault="00CF72D4" w:rsidP="00124580">
      <w:pPr>
        <w:pStyle w:val="a3"/>
        <w:spacing w:line="360" w:lineRule="auto"/>
        <w:jc w:val="both"/>
      </w:pPr>
      <w:r w:rsidRPr="00124580">
        <w:rPr>
          <w:rStyle w:val="a4"/>
        </w:rPr>
        <w:t>Transaction Exposure: </w:t>
      </w:r>
    </w:p>
    <w:p w14:paraId="26AEC04A" w14:textId="185D5A56" w:rsidR="00CF72D4" w:rsidRPr="00124580" w:rsidRDefault="00CF72D4" w:rsidP="00124580">
      <w:pPr>
        <w:pStyle w:val="a3"/>
        <w:spacing w:line="360" w:lineRule="auto"/>
        <w:jc w:val="both"/>
      </w:pPr>
      <w:r w:rsidRPr="00124580">
        <w:t xml:space="preserve">Contractual obligations involving foreign currencies are the source of transaction exposure, sometimes referred to as short-term or accounting exposure. </w:t>
      </w:r>
      <w:r w:rsidR="007621EB" w:rsidRPr="00124580">
        <w:t xml:space="preserve">It includes possible profits and losses </w:t>
      </w:r>
      <w:r w:rsidR="00D031CC" w:rsidRPr="00124580">
        <w:t>by change in the rates of currency when transactions of the business are settled</w:t>
      </w:r>
      <w:r w:rsidR="00990FEA" w:rsidRPr="00124580">
        <w:t xml:space="preserve"> (Aliber, 2019)</w:t>
      </w:r>
      <w:r w:rsidR="00D031CC" w:rsidRPr="00124580">
        <w:t xml:space="preserve">. </w:t>
      </w:r>
      <w:r w:rsidRPr="00124580">
        <w:t xml:space="preserve">When MNCs execute business </w:t>
      </w:r>
      <w:r w:rsidR="00D031CC" w:rsidRPr="00124580">
        <w:t>transactions</w:t>
      </w:r>
      <w:r w:rsidRPr="00124580">
        <w:t xml:space="preserve"> with foreign organisations, sign contracts, or engage in cross-border commerce, they run the risk of transaction exposure.</w:t>
      </w:r>
    </w:p>
    <w:p w14:paraId="1913AD5A" w14:textId="77777777" w:rsidR="00CF72D4" w:rsidRPr="00124580" w:rsidRDefault="00CF72D4" w:rsidP="00124580">
      <w:pPr>
        <w:pStyle w:val="a3"/>
        <w:spacing w:line="360" w:lineRule="auto"/>
        <w:jc w:val="both"/>
      </w:pPr>
      <w:r w:rsidRPr="00124580">
        <w:rPr>
          <w:rStyle w:val="a4"/>
        </w:rPr>
        <w:t>Translation Exposure: </w:t>
      </w:r>
    </w:p>
    <w:p w14:paraId="22EE20B3" w14:textId="4421FD95" w:rsidR="00CF72D4" w:rsidRPr="00124580" w:rsidRDefault="00CF72D4" w:rsidP="00124580">
      <w:pPr>
        <w:pStyle w:val="a3"/>
        <w:spacing w:line="360" w:lineRule="auto"/>
        <w:jc w:val="both"/>
      </w:pPr>
      <w:r w:rsidRPr="00124580">
        <w:t>Economic exposure</w:t>
      </w:r>
      <w:r w:rsidR="00907445" w:rsidRPr="00124580">
        <w:t xml:space="preserve"> which is also called operating or strategic exposure, </w:t>
      </w:r>
      <w:r w:rsidRPr="00124580">
        <w:t>is the long-term effect of currency changes on a firm's cash flows, market value, and competitive position</w:t>
      </w:r>
      <w:r w:rsidR="00990FEA" w:rsidRPr="00124580">
        <w:t xml:space="preserve"> (Aslam et al., 2020)</w:t>
      </w:r>
      <w:r w:rsidRPr="00124580">
        <w:t xml:space="preserve">. </w:t>
      </w:r>
      <w:r w:rsidR="00907445" w:rsidRPr="00124580">
        <w:t>Translation exposure</w:t>
      </w:r>
      <w:r w:rsidRPr="00124580">
        <w:t xml:space="preserve">, in contrast to transaction exposure, originates from a company's </w:t>
      </w:r>
      <w:r w:rsidR="00907445" w:rsidRPr="00124580">
        <w:t xml:space="preserve">complete </w:t>
      </w:r>
      <w:r w:rsidRPr="00124580">
        <w:t xml:space="preserve">global </w:t>
      </w:r>
      <w:r w:rsidR="00907445" w:rsidRPr="00124580">
        <w:t>transactions</w:t>
      </w:r>
      <w:r w:rsidRPr="00124580">
        <w:t xml:space="preserve"> as well as the underlying economic conditions that </w:t>
      </w:r>
      <w:r w:rsidR="00907445" w:rsidRPr="00124580">
        <w:t xml:space="preserve">might affect </w:t>
      </w:r>
      <w:r w:rsidR="008A087D" w:rsidRPr="00124580">
        <w:t>its</w:t>
      </w:r>
      <w:r w:rsidR="00907445" w:rsidRPr="00124580">
        <w:t xml:space="preserve"> </w:t>
      </w:r>
      <w:r w:rsidRPr="00124580">
        <w:t>financial performance.</w:t>
      </w:r>
    </w:p>
    <w:p w14:paraId="2469460D" w14:textId="77777777" w:rsidR="00CF72D4" w:rsidRPr="00124580" w:rsidRDefault="00CF72D4" w:rsidP="00124580">
      <w:pPr>
        <w:pStyle w:val="a3"/>
        <w:spacing w:line="360" w:lineRule="auto"/>
        <w:jc w:val="both"/>
      </w:pPr>
      <w:r w:rsidRPr="00124580">
        <w:rPr>
          <w:rStyle w:val="a4"/>
        </w:rPr>
        <w:t>Economic Exposure: </w:t>
      </w:r>
    </w:p>
    <w:p w14:paraId="75B11E16" w14:textId="38D175D5" w:rsidR="00CF72D4" w:rsidRPr="00124580" w:rsidRDefault="00CF72D4" w:rsidP="00124580">
      <w:pPr>
        <w:pStyle w:val="a3"/>
        <w:spacing w:line="360" w:lineRule="auto"/>
        <w:jc w:val="both"/>
      </w:pPr>
      <w:r w:rsidRPr="00124580">
        <w:t>Accounting exposure, or translation risk, primarily affects multinational corporations (MNCs) that have overseas interests or subsidiaries. This concerns the effect that variations in currency exchange rates have on the conversion of financial statements from the functional currency of the subsidiary</w:t>
      </w:r>
      <w:r w:rsidR="00DA6C0A" w:rsidRPr="00124580">
        <w:t xml:space="preserve"> company</w:t>
      </w:r>
      <w:r w:rsidRPr="00124580">
        <w:t xml:space="preserve"> to the reporting currency of the parent </w:t>
      </w:r>
      <w:r w:rsidR="00DA6C0A" w:rsidRPr="00124580">
        <w:t>company</w:t>
      </w:r>
      <w:r w:rsidR="00990FEA" w:rsidRPr="00124580">
        <w:t xml:space="preserve"> (Armour, 2023)</w:t>
      </w:r>
      <w:r w:rsidRPr="00124580">
        <w:t>. The stated financial performance</w:t>
      </w:r>
      <w:r w:rsidR="00DA6C0A" w:rsidRPr="00124580">
        <w:t xml:space="preserve"> of the parent company and</w:t>
      </w:r>
      <w:r w:rsidRPr="00124580">
        <w:t xml:space="preserve"> balance sheet </w:t>
      </w:r>
      <w:r w:rsidR="00DA6C0A" w:rsidRPr="00124580">
        <w:t>is</w:t>
      </w:r>
      <w:r w:rsidRPr="00124580">
        <w:t xml:space="preserve"> impacted by this </w:t>
      </w:r>
      <w:r w:rsidR="00DA6C0A" w:rsidRPr="00124580">
        <w:t>potential risk</w:t>
      </w:r>
      <w:r w:rsidRPr="00124580">
        <w:t>.</w:t>
      </w:r>
    </w:p>
    <w:p w14:paraId="26DC2921" w14:textId="77777777" w:rsidR="00CF72D4" w:rsidRPr="00124580" w:rsidRDefault="00CF72D4" w:rsidP="00124580">
      <w:pPr>
        <w:pStyle w:val="1"/>
        <w:spacing w:line="360" w:lineRule="auto"/>
        <w:jc w:val="both"/>
        <w:rPr>
          <w:rFonts w:ascii="Times New Roman" w:hAnsi="Times New Roman" w:cs="Times New Roman"/>
          <w:color w:val="auto"/>
          <w:sz w:val="24"/>
          <w:szCs w:val="24"/>
        </w:rPr>
      </w:pPr>
      <w:bookmarkStart w:id="3" w:name="_Toc149162186"/>
      <w:r w:rsidRPr="00124580">
        <w:rPr>
          <w:rStyle w:val="a4"/>
          <w:rFonts w:ascii="Times New Roman" w:hAnsi="Times New Roman" w:cs="Times New Roman"/>
          <w:color w:val="auto"/>
          <w:sz w:val="24"/>
          <w:szCs w:val="24"/>
        </w:rPr>
        <w:t>Strategies used by MNCs</w:t>
      </w:r>
      <w:bookmarkEnd w:id="3"/>
    </w:p>
    <w:p w14:paraId="6722A9A2" w14:textId="77777777" w:rsidR="00CF72D4" w:rsidRPr="00124580" w:rsidRDefault="00CF72D4" w:rsidP="00124580">
      <w:pPr>
        <w:pStyle w:val="a3"/>
        <w:spacing w:line="360" w:lineRule="auto"/>
        <w:jc w:val="both"/>
      </w:pPr>
      <w:r w:rsidRPr="00124580">
        <w:rPr>
          <w:rStyle w:val="a4"/>
        </w:rPr>
        <w:t>Hedging Strategies</w:t>
      </w:r>
    </w:p>
    <w:p w14:paraId="37D2931B" w14:textId="0D237857" w:rsidR="00CF72D4" w:rsidRPr="00124580" w:rsidRDefault="00CF72D4" w:rsidP="00124580">
      <w:pPr>
        <w:pStyle w:val="a3"/>
        <w:spacing w:line="360" w:lineRule="auto"/>
        <w:jc w:val="both"/>
      </w:pPr>
      <w:r w:rsidRPr="00124580">
        <w:t>MNCs frequently utilise hedging as a strategy to reduce</w:t>
      </w:r>
      <w:r w:rsidR="008100BB" w:rsidRPr="00124580">
        <w:t xml:space="preserve"> potential</w:t>
      </w:r>
      <w:r w:rsidRPr="00124580">
        <w:t xml:space="preserve"> foreign exchange risk. </w:t>
      </w:r>
      <w:r w:rsidR="002E4446" w:rsidRPr="00124580">
        <w:t xml:space="preserve">This </w:t>
      </w:r>
      <w:r w:rsidR="008A087D" w:rsidRPr="00124580">
        <w:t>strategy</w:t>
      </w:r>
      <w:r w:rsidR="002E4446" w:rsidRPr="00124580">
        <w:t xml:space="preserve"> uses various financial tools</w:t>
      </w:r>
      <w:r w:rsidR="008A087D" w:rsidRPr="00124580">
        <w:t xml:space="preserve"> </w:t>
      </w:r>
      <w:r w:rsidRPr="00124580">
        <w:t xml:space="preserve">to </w:t>
      </w:r>
      <w:r w:rsidR="002E4446" w:rsidRPr="00124580">
        <w:t>offset</w:t>
      </w:r>
      <w:r w:rsidRPr="00124580">
        <w:t xml:space="preserve"> any currency fluctuation losses.</w:t>
      </w:r>
    </w:p>
    <w:p w14:paraId="246231D3" w14:textId="77777777" w:rsidR="00CF72D4" w:rsidRPr="00124580" w:rsidRDefault="00CF72D4" w:rsidP="00124580">
      <w:pPr>
        <w:pStyle w:val="a3"/>
        <w:spacing w:line="360" w:lineRule="auto"/>
        <w:jc w:val="both"/>
      </w:pPr>
      <w:r w:rsidRPr="00124580">
        <w:rPr>
          <w:rStyle w:val="a4"/>
        </w:rPr>
        <w:t>A. Forward Contracts</w:t>
      </w:r>
    </w:p>
    <w:p w14:paraId="661E3C46" w14:textId="569BDFCB" w:rsidR="00CF72D4" w:rsidRPr="00124580" w:rsidRDefault="002E4446" w:rsidP="00124580">
      <w:pPr>
        <w:pStyle w:val="a3"/>
        <w:spacing w:line="360" w:lineRule="auto"/>
        <w:jc w:val="both"/>
      </w:pPr>
      <w:r w:rsidRPr="00124580">
        <w:t>A forward contract refers to</w:t>
      </w:r>
      <w:r w:rsidR="00CF72D4" w:rsidRPr="00124580">
        <w:t xml:space="preserve"> </w:t>
      </w:r>
      <w:r w:rsidRPr="00124580">
        <w:t xml:space="preserve">a </w:t>
      </w:r>
      <w:r w:rsidR="00CF72D4" w:rsidRPr="00124580">
        <w:t>legally binding agreement between two parties to exchange a certain quantity of one currency for another at a predefined exchange rate at a later time</w:t>
      </w:r>
      <w:r w:rsidRPr="00124580">
        <w:t xml:space="preserve">. </w:t>
      </w:r>
      <w:r w:rsidR="00CF72D4" w:rsidRPr="00124580">
        <w:t>The multinational software firm Apple employs forward contracts to reduce its exposure to</w:t>
      </w:r>
      <w:r w:rsidR="00054B44" w:rsidRPr="00124580">
        <w:t xml:space="preserve"> risks regarding currency fluctuations</w:t>
      </w:r>
      <w:r w:rsidR="00990FEA" w:rsidRPr="00124580">
        <w:t xml:space="preserve"> (Aliber, 2019)</w:t>
      </w:r>
      <w:r w:rsidR="00CF72D4" w:rsidRPr="00124580">
        <w:t xml:space="preserve">. Apple </w:t>
      </w:r>
      <w:r w:rsidR="00054B44" w:rsidRPr="00124580">
        <w:t xml:space="preserve">can </w:t>
      </w:r>
      <w:r w:rsidR="00CF72D4" w:rsidRPr="00124580">
        <w:t xml:space="preserve">mitigate the effects of currency volatility by securing conversion rates for future transactions </w:t>
      </w:r>
      <w:r w:rsidR="00054B44" w:rsidRPr="00124580">
        <w:t xml:space="preserve">and </w:t>
      </w:r>
      <w:r w:rsidR="00CF72D4" w:rsidRPr="00124580">
        <w:t>ensuring consistency</w:t>
      </w:r>
      <w:r w:rsidR="00054B44" w:rsidRPr="00124580">
        <w:t xml:space="preserve"> of the prices</w:t>
      </w:r>
      <w:r w:rsidR="00CF72D4" w:rsidRPr="00124580">
        <w:t xml:space="preserve"> for its products across many nations.</w:t>
      </w:r>
    </w:p>
    <w:p w14:paraId="30FB345B" w14:textId="77777777" w:rsidR="00CF72D4" w:rsidRPr="00124580" w:rsidRDefault="00CF72D4" w:rsidP="00124580">
      <w:pPr>
        <w:pStyle w:val="a3"/>
        <w:spacing w:line="360" w:lineRule="auto"/>
        <w:jc w:val="both"/>
      </w:pPr>
      <w:r w:rsidRPr="00124580">
        <w:rPr>
          <w:rStyle w:val="a4"/>
        </w:rPr>
        <w:t>B. Currency Options</w:t>
      </w:r>
    </w:p>
    <w:p w14:paraId="30144241" w14:textId="26B6E5E3" w:rsidR="00CF72D4" w:rsidRPr="00124580" w:rsidRDefault="00CF72D4" w:rsidP="00124580">
      <w:pPr>
        <w:pStyle w:val="a3"/>
        <w:spacing w:line="360" w:lineRule="auto"/>
        <w:jc w:val="both"/>
      </w:pPr>
      <w:r w:rsidRPr="00124580">
        <w:t xml:space="preserve">Financial derivatives known as currency options grant their holder, or buyer, the right, but not the responsibility, to purchase (call option) or sell (put option) a certain </w:t>
      </w:r>
      <w:r w:rsidR="00662667" w:rsidRPr="00124580">
        <w:t>amount</w:t>
      </w:r>
      <w:r w:rsidRPr="00124580">
        <w:t xml:space="preserve"> of one currency for another at a fixed exchange rate (strike price) on or before a predetermined </w:t>
      </w:r>
      <w:r w:rsidR="00662667" w:rsidRPr="00124580">
        <w:t>date of expiration</w:t>
      </w:r>
      <w:r w:rsidRPr="00124580">
        <w:t xml:space="preserve">. The </w:t>
      </w:r>
      <w:r w:rsidR="00662667" w:rsidRPr="00124580">
        <w:t>MNC</w:t>
      </w:r>
      <w:r w:rsidRPr="00124580">
        <w:t xml:space="preserve"> General Electric (GE) employs currency options to control</w:t>
      </w:r>
      <w:r w:rsidR="00F53B8E" w:rsidRPr="00124580">
        <w:t xml:space="preserve"> and mitigate</w:t>
      </w:r>
      <w:r w:rsidRPr="00124580">
        <w:t xml:space="preserve"> exchange rate risk</w:t>
      </w:r>
      <w:r w:rsidR="00990FEA" w:rsidRPr="00124580">
        <w:t xml:space="preserve"> (Saunders, 2021)</w:t>
      </w:r>
      <w:r w:rsidRPr="00124580">
        <w:t xml:space="preserve">. By acquiring options, GE can safeguard its profits by exercising them if exchange rates </w:t>
      </w:r>
      <w:r w:rsidR="000355C9" w:rsidRPr="00124580">
        <w:t>fluctuate</w:t>
      </w:r>
    </w:p>
    <w:p w14:paraId="143E7E20" w14:textId="77777777" w:rsidR="00CF72D4" w:rsidRPr="00124580" w:rsidRDefault="00CF72D4" w:rsidP="00124580">
      <w:pPr>
        <w:pStyle w:val="a3"/>
        <w:spacing w:line="360" w:lineRule="auto"/>
        <w:jc w:val="both"/>
      </w:pPr>
      <w:r w:rsidRPr="00124580">
        <w:rPr>
          <w:rStyle w:val="a4"/>
        </w:rPr>
        <w:t>Natural Hedging</w:t>
      </w:r>
    </w:p>
    <w:p w14:paraId="3C79422E" w14:textId="046AC127" w:rsidR="00CF72D4" w:rsidRPr="00124580" w:rsidRDefault="00CF72D4" w:rsidP="00124580">
      <w:pPr>
        <w:pStyle w:val="a3"/>
        <w:spacing w:line="360" w:lineRule="auto"/>
        <w:jc w:val="both"/>
      </w:pPr>
      <w:r w:rsidRPr="00124580">
        <w:t>By balancing currency inflows and outflows, natural hedging eliminates the need for financial derivatives. The multinational food and beverage corporation</w:t>
      </w:r>
      <w:r w:rsidR="00F53B8E" w:rsidRPr="00124580">
        <w:t>,</w:t>
      </w:r>
      <w:r w:rsidRPr="00124580">
        <w:t xml:space="preserve"> Nestlé </w:t>
      </w:r>
      <w:r w:rsidR="000355C9" w:rsidRPr="00124580">
        <w:t xml:space="preserve">operates in various countries. </w:t>
      </w:r>
      <w:r w:rsidRPr="00124580">
        <w:t>It hedges its exposure by keeping a well-balanced portfolio of overseas subsidiaries. For example, Nestlé effectively reduces</w:t>
      </w:r>
      <w:r w:rsidR="000355C9" w:rsidRPr="00124580">
        <w:t xml:space="preserve"> the</w:t>
      </w:r>
      <w:r w:rsidRPr="00124580">
        <w:t xml:space="preserve"> risk</w:t>
      </w:r>
      <w:r w:rsidR="000355C9" w:rsidRPr="00124580">
        <w:t xml:space="preserve"> of currency </w:t>
      </w:r>
      <w:r w:rsidRPr="00124580">
        <w:t>if it generates euros in Europe but pays for its costs in euros</w:t>
      </w:r>
      <w:r w:rsidR="00990FEA" w:rsidRPr="00124580">
        <w:t xml:space="preserve"> (Rampini, 2020)</w:t>
      </w:r>
      <w:r w:rsidRPr="00124580">
        <w:t xml:space="preserve">. By employing this </w:t>
      </w:r>
      <w:r w:rsidR="000355C9" w:rsidRPr="00124580">
        <w:t>natural hedging strategy</w:t>
      </w:r>
      <w:r w:rsidRPr="00124580">
        <w:t>, Nestlé can mitigate the adverse effects of variations in currency rates on its profitability. </w:t>
      </w:r>
    </w:p>
    <w:p w14:paraId="12ECAD2A" w14:textId="77777777" w:rsidR="00CF72D4" w:rsidRPr="00124580" w:rsidRDefault="00CF72D4" w:rsidP="00124580">
      <w:pPr>
        <w:pStyle w:val="a3"/>
        <w:spacing w:line="360" w:lineRule="auto"/>
        <w:jc w:val="both"/>
      </w:pPr>
      <w:r w:rsidRPr="00124580">
        <w:rPr>
          <w:rStyle w:val="a4"/>
        </w:rPr>
        <w:t>Diversification</w:t>
      </w:r>
    </w:p>
    <w:p w14:paraId="1CBBDE8E" w14:textId="50782C3E" w:rsidR="00CF72D4" w:rsidRPr="00124580" w:rsidRDefault="00CF72D4" w:rsidP="00124580">
      <w:pPr>
        <w:pStyle w:val="a3"/>
        <w:spacing w:line="360" w:lineRule="auto"/>
        <w:jc w:val="both"/>
      </w:pPr>
      <w:r w:rsidRPr="00124580">
        <w:t xml:space="preserve">MNCs also use diversification as a </w:t>
      </w:r>
      <w:r w:rsidR="000355C9" w:rsidRPr="00124580">
        <w:t>strategy</w:t>
      </w:r>
      <w:r w:rsidRPr="00124580">
        <w:t xml:space="preserve"> to control</w:t>
      </w:r>
      <w:r w:rsidR="000355C9" w:rsidRPr="00124580">
        <w:t xml:space="preserve"> and mitigate</w:t>
      </w:r>
      <w:r w:rsidRPr="00124580">
        <w:t xml:space="preserve"> foreign exchange risk. A corporation can lessen its reliance on a single currency by conducting business internationally. Procter &amp; Gamble (P&amp;G) is a multinational consumer products company with a wide range of operations</w:t>
      </w:r>
      <w:r w:rsidR="000355C9" w:rsidRPr="00124580">
        <w:t xml:space="preserve"> in various countries</w:t>
      </w:r>
      <w:r w:rsidR="00990FEA" w:rsidRPr="00124580">
        <w:t xml:space="preserve"> (Fraser, 2021)</w:t>
      </w:r>
      <w:r w:rsidRPr="00124580">
        <w:t xml:space="preserve">. It mitigates the effect of variations in currency rates by operating in more than 180 countries. The strength of other currencies can counteract </w:t>
      </w:r>
      <w:r w:rsidR="000355C9" w:rsidRPr="00124580">
        <w:t xml:space="preserve">potential </w:t>
      </w:r>
      <w:r w:rsidRPr="00124580">
        <w:t>losses when one declines.</w:t>
      </w:r>
    </w:p>
    <w:p w14:paraId="6E55AD33" w14:textId="77777777" w:rsidR="00CF72D4" w:rsidRPr="00124580" w:rsidRDefault="00CF72D4" w:rsidP="00124580">
      <w:pPr>
        <w:pStyle w:val="a3"/>
        <w:spacing w:line="360" w:lineRule="auto"/>
        <w:jc w:val="both"/>
      </w:pPr>
      <w:r w:rsidRPr="00124580">
        <w:rPr>
          <w:rStyle w:val="a4"/>
        </w:rPr>
        <w:t>Leading and lagging</w:t>
      </w:r>
    </w:p>
    <w:p w14:paraId="67E25F88" w14:textId="6325C9BC" w:rsidR="00CF72D4" w:rsidRPr="00124580" w:rsidRDefault="00D01A23" w:rsidP="00124580">
      <w:pPr>
        <w:pStyle w:val="a3"/>
        <w:spacing w:line="360" w:lineRule="auto"/>
        <w:jc w:val="both"/>
      </w:pPr>
      <w:r w:rsidRPr="00124580">
        <w:t xml:space="preserve">Leading and lagging strategy refers to </w:t>
      </w:r>
      <w:r w:rsidR="00CF72D4" w:rsidRPr="00124580">
        <w:t>Timing transactions strategically to take advantage of favourable exchange</w:t>
      </w:r>
      <w:r w:rsidRPr="00124580">
        <w:t xml:space="preserve">. </w:t>
      </w:r>
      <w:r w:rsidR="00CF72D4" w:rsidRPr="00124580">
        <w:t xml:space="preserve">Toyota, a well-known automaker, uses both leading and lagging </w:t>
      </w:r>
      <w:r w:rsidRPr="00124580">
        <w:t>strategies</w:t>
      </w:r>
      <w:r w:rsidR="00CF72D4" w:rsidRPr="00124580">
        <w:t xml:space="preserve"> to </w:t>
      </w:r>
      <w:r w:rsidRPr="00124580">
        <w:t xml:space="preserve">mitigate </w:t>
      </w:r>
      <w:r w:rsidR="00CF72D4" w:rsidRPr="00124580">
        <w:t xml:space="preserve">its </w:t>
      </w:r>
      <w:r w:rsidRPr="00124580">
        <w:t xml:space="preserve">potential </w:t>
      </w:r>
      <w:r w:rsidR="00CF72D4" w:rsidRPr="00124580">
        <w:t>foreign exchange risk. I</w:t>
      </w:r>
      <w:r w:rsidRPr="00124580">
        <w:t xml:space="preserve">t allows the company to </w:t>
      </w:r>
      <w:r w:rsidR="00CF72D4" w:rsidRPr="00124580">
        <w:t>postpone converting international earnings into yen if it anticipates the Japanese currency's strengthening. On the other hand, it</w:t>
      </w:r>
      <w:r w:rsidRPr="00124580">
        <w:t xml:space="preserve"> also</w:t>
      </w:r>
      <w:r w:rsidR="00CF72D4" w:rsidRPr="00124580">
        <w:t xml:space="preserve"> </w:t>
      </w:r>
      <w:r w:rsidRPr="00124580">
        <w:t>quickens</w:t>
      </w:r>
      <w:r w:rsidR="00CF72D4" w:rsidRPr="00124580">
        <w:t xml:space="preserve"> conversions if it accounts for depreciation</w:t>
      </w:r>
      <w:r w:rsidR="00990FEA" w:rsidRPr="00124580">
        <w:t xml:space="preserve"> (Aliber, 2019)</w:t>
      </w:r>
      <w:r w:rsidR="00CF72D4" w:rsidRPr="00124580">
        <w:t xml:space="preserve">. Toyota can successfully offset the impact of </w:t>
      </w:r>
      <w:r w:rsidRPr="00124580">
        <w:t>changes in the forei</w:t>
      </w:r>
      <w:r w:rsidR="008860EA" w:rsidRPr="00124580">
        <w:t>gn currency</w:t>
      </w:r>
      <w:r w:rsidR="00CF72D4" w:rsidRPr="00124580">
        <w:t xml:space="preserve"> on company earnings by implementing both leading and trailing methods. </w:t>
      </w:r>
    </w:p>
    <w:p w14:paraId="7277D4B9" w14:textId="77777777" w:rsidR="00CF72D4" w:rsidRPr="00124580" w:rsidRDefault="00CF72D4" w:rsidP="00124580">
      <w:pPr>
        <w:pStyle w:val="a3"/>
        <w:spacing w:line="360" w:lineRule="auto"/>
        <w:jc w:val="both"/>
      </w:pPr>
      <w:r w:rsidRPr="00124580">
        <w:rPr>
          <w:rStyle w:val="a4"/>
        </w:rPr>
        <w:t>Exposure Netting</w:t>
      </w:r>
    </w:p>
    <w:p w14:paraId="7A28A1C2" w14:textId="2B6826D7" w:rsidR="00CF72D4" w:rsidRPr="00124580" w:rsidRDefault="00990FEA" w:rsidP="00124580">
      <w:pPr>
        <w:pStyle w:val="a3"/>
        <w:spacing w:line="360" w:lineRule="auto"/>
        <w:jc w:val="both"/>
      </w:pPr>
      <w:r w:rsidRPr="00124580">
        <w:t xml:space="preserve">According to Aslam et al., (2020) </w:t>
      </w:r>
      <w:r w:rsidR="00CF72D4" w:rsidRPr="00124580">
        <w:t xml:space="preserve">The </w:t>
      </w:r>
      <w:r w:rsidR="008860EA" w:rsidRPr="00124580">
        <w:t>ultimate aim</w:t>
      </w:r>
      <w:r w:rsidR="00CF72D4" w:rsidRPr="00124580">
        <w:t xml:space="preserve"> of exposure netting is to reduce and manage an organisation's exposure to foreign exchange. To calculate the net exposure, this </w:t>
      </w:r>
      <w:r w:rsidR="008860EA" w:rsidRPr="00124580">
        <w:t xml:space="preserve">strategy </w:t>
      </w:r>
      <w:r w:rsidR="00CF72D4" w:rsidRPr="00124580">
        <w:t>entails locating and aggregating all of the company's foreign exchange holdings and liabilities. Nobileter Global consumer products giant Unilever centralises its handling of exchange risk. It essentially lowers the total risk by offsetting payables in one currency with receivables in the same currency</w:t>
      </w:r>
      <w:r w:rsidRPr="00124580">
        <w:t xml:space="preserve"> (Rampini, 2020)</w:t>
      </w:r>
      <w:r w:rsidR="00CF72D4" w:rsidRPr="00124580">
        <w:t>.</w:t>
      </w:r>
      <w:r w:rsidR="008860EA" w:rsidRPr="00124580">
        <w:t xml:space="preserve"> This strategy reduces the costs of transactions and leads to efficient management of risk.</w:t>
      </w:r>
      <w:r w:rsidR="00CF72D4" w:rsidRPr="00124580">
        <w:t xml:space="preserve"> </w:t>
      </w:r>
    </w:p>
    <w:p w14:paraId="03D286B1" w14:textId="77777777" w:rsidR="00CF72D4" w:rsidRPr="00124580" w:rsidRDefault="00CF72D4" w:rsidP="00124580">
      <w:pPr>
        <w:pStyle w:val="a3"/>
        <w:spacing w:line="360" w:lineRule="auto"/>
        <w:jc w:val="both"/>
      </w:pPr>
      <w:r w:rsidRPr="00124580">
        <w:rPr>
          <w:rStyle w:val="a4"/>
        </w:rPr>
        <w:t>Strategic Use of Debt</w:t>
      </w:r>
    </w:p>
    <w:p w14:paraId="3E85E77A" w14:textId="5EB0CE15" w:rsidR="00CF72D4" w:rsidRPr="00124580" w:rsidRDefault="00CF72D4" w:rsidP="00124580">
      <w:pPr>
        <w:pStyle w:val="a3"/>
        <w:spacing w:line="360" w:lineRule="auto"/>
        <w:jc w:val="both"/>
      </w:pPr>
      <w:r w:rsidRPr="00124580">
        <w:t xml:space="preserve">MNCs can lower their exposure to exchange rate risk by strategically using loans in several currencies. MNCs can take advantage of </w:t>
      </w:r>
      <w:r w:rsidR="008860EA" w:rsidRPr="00124580">
        <w:t xml:space="preserve">changes in exchange rates </w:t>
      </w:r>
      <w:r w:rsidRPr="00124580">
        <w:t xml:space="preserve">by taking on debt in the currencies of the nations in which they conduct business. MNCs </w:t>
      </w:r>
      <w:r w:rsidR="008860EA" w:rsidRPr="00124580">
        <w:t>can also</w:t>
      </w:r>
      <w:r w:rsidRPr="00124580">
        <w:t xml:space="preserve"> increase profits and successfully hedge their foreign exchange exposures using this method. The global</w:t>
      </w:r>
      <w:r w:rsidR="00D504AF" w:rsidRPr="00124580">
        <w:t xml:space="preserve"> automobile company </w:t>
      </w:r>
      <w:r w:rsidRPr="00124580">
        <w:t xml:space="preserve">Ford issues loans in </w:t>
      </w:r>
      <w:r w:rsidR="00D504AF" w:rsidRPr="00124580">
        <w:t>various</w:t>
      </w:r>
      <w:r w:rsidRPr="00124580">
        <w:t xml:space="preserve"> currencies</w:t>
      </w:r>
      <w:r w:rsidR="00D504AF" w:rsidRPr="00124580">
        <w:t xml:space="preserve"> and countries</w:t>
      </w:r>
      <w:r w:rsidR="00990FEA" w:rsidRPr="00124580">
        <w:t xml:space="preserve"> (Saunders, 2021)</w:t>
      </w:r>
      <w:r w:rsidRPr="00124580">
        <w:t xml:space="preserve">. Ford lessens the effect of </w:t>
      </w:r>
      <w:r w:rsidR="00D504AF" w:rsidRPr="00124580">
        <w:t>fluctu</w:t>
      </w:r>
      <w:r w:rsidR="00B622E5" w:rsidRPr="00124580">
        <w:t xml:space="preserve">ations </w:t>
      </w:r>
      <w:r w:rsidR="008A087D" w:rsidRPr="00124580">
        <w:t>in</w:t>
      </w:r>
      <w:r w:rsidR="00B622E5" w:rsidRPr="00124580">
        <w:t xml:space="preserve"> exchange </w:t>
      </w:r>
      <w:r w:rsidR="008A087D" w:rsidRPr="00124580">
        <w:t>rates</w:t>
      </w:r>
      <w:r w:rsidRPr="00124580">
        <w:t xml:space="preserve"> on its financial statements by aligning the currency of its debt with the currency of its activities.</w:t>
      </w:r>
    </w:p>
    <w:p w14:paraId="320E0F7C" w14:textId="77777777" w:rsidR="00CF72D4" w:rsidRPr="00124580" w:rsidRDefault="00CF72D4" w:rsidP="00124580">
      <w:pPr>
        <w:pStyle w:val="a3"/>
        <w:spacing w:line="360" w:lineRule="auto"/>
        <w:jc w:val="both"/>
      </w:pPr>
      <w:r w:rsidRPr="00124580">
        <w:rPr>
          <w:rStyle w:val="a4"/>
        </w:rPr>
        <w:t>Capital budgeting techniques</w:t>
      </w:r>
    </w:p>
    <w:p w14:paraId="6074CB8E" w14:textId="60CC44BA" w:rsidR="00CF72D4" w:rsidRPr="00124580" w:rsidRDefault="00CF72D4" w:rsidP="00124580">
      <w:pPr>
        <w:pStyle w:val="a3"/>
        <w:spacing w:line="360" w:lineRule="auto"/>
        <w:jc w:val="both"/>
      </w:pPr>
      <w:r w:rsidRPr="00124580">
        <w:t xml:space="preserve">Utilising capital budgeting strategies </w:t>
      </w:r>
      <w:r w:rsidR="00B622E5" w:rsidRPr="00124580">
        <w:t xml:space="preserve">includes analysing investment </w:t>
      </w:r>
      <w:r w:rsidRPr="00124580">
        <w:t xml:space="preserve">projects according to how exposed they are to foreign currency risk. </w:t>
      </w:r>
      <w:r w:rsidR="00A062F6" w:rsidRPr="00124580">
        <w:t>MNCs</w:t>
      </w:r>
      <w:r w:rsidRPr="00124580">
        <w:t xml:space="preserve"> evaluate investments' profitability and viability using capital budgeting methodologies </w:t>
      </w:r>
      <w:r w:rsidR="00A062F6" w:rsidRPr="00124580">
        <w:t>while considering the potential risks related to the change in foreign currency rates</w:t>
      </w:r>
      <w:r w:rsidR="00990FEA" w:rsidRPr="00124580">
        <w:t xml:space="preserve"> (Armour, 2023)</w:t>
      </w:r>
      <w:r w:rsidR="00A062F6" w:rsidRPr="00124580">
        <w:t>.</w:t>
      </w:r>
      <w:r w:rsidRPr="00124580">
        <w:t xml:space="preserve"> The aircraft manufacturer Boeing thoroughly examines the choices it makes regarding capital budgeting. It evaluates how changes in currency rates </w:t>
      </w:r>
      <w:r w:rsidR="00A062F6" w:rsidRPr="00124580">
        <w:t>can</w:t>
      </w:r>
      <w:r w:rsidRPr="00124580">
        <w:t xml:space="preserve"> affect</w:t>
      </w:r>
      <w:r w:rsidR="00A062F6" w:rsidRPr="00124580">
        <w:t xml:space="preserve"> its</w:t>
      </w:r>
      <w:r w:rsidRPr="00124580">
        <w:t xml:space="preserve"> long-term </w:t>
      </w:r>
      <w:r w:rsidR="00A062F6" w:rsidRPr="00124580">
        <w:t>investments</w:t>
      </w:r>
      <w:r w:rsidRPr="00124580">
        <w:t xml:space="preserve"> and modifies its investment choices appropriately.</w:t>
      </w:r>
    </w:p>
    <w:p w14:paraId="7BB1F9AC" w14:textId="78413D6E" w:rsidR="00CF72D4" w:rsidRPr="00124580" w:rsidRDefault="00CF72D4" w:rsidP="00124580">
      <w:pPr>
        <w:pStyle w:val="1"/>
        <w:spacing w:line="360" w:lineRule="auto"/>
        <w:jc w:val="both"/>
        <w:rPr>
          <w:rFonts w:ascii="Times New Roman" w:hAnsi="Times New Roman" w:cs="Times New Roman"/>
          <w:color w:val="auto"/>
          <w:sz w:val="24"/>
          <w:szCs w:val="24"/>
        </w:rPr>
      </w:pPr>
      <w:bookmarkStart w:id="4" w:name="_Toc149162187"/>
      <w:r w:rsidRPr="00124580">
        <w:rPr>
          <w:rStyle w:val="a4"/>
          <w:rFonts w:ascii="Times New Roman" w:hAnsi="Times New Roman" w:cs="Times New Roman"/>
          <w:color w:val="auto"/>
          <w:sz w:val="24"/>
          <w:szCs w:val="24"/>
        </w:rPr>
        <w:t>Critical</w:t>
      </w:r>
      <w:r w:rsidR="00990FEA" w:rsidRPr="00124580">
        <w:rPr>
          <w:rStyle w:val="a4"/>
          <w:rFonts w:ascii="Times New Roman" w:hAnsi="Times New Roman" w:cs="Times New Roman"/>
          <w:color w:val="auto"/>
          <w:sz w:val="24"/>
          <w:szCs w:val="24"/>
        </w:rPr>
        <w:t xml:space="preserve"> </w:t>
      </w:r>
      <w:r w:rsidRPr="00124580">
        <w:rPr>
          <w:rStyle w:val="a4"/>
          <w:rFonts w:ascii="Times New Roman" w:hAnsi="Times New Roman" w:cs="Times New Roman"/>
          <w:color w:val="auto"/>
          <w:sz w:val="24"/>
          <w:szCs w:val="24"/>
        </w:rPr>
        <w:t>analysi</w:t>
      </w:r>
      <w:r w:rsidR="00990FEA" w:rsidRPr="00124580">
        <w:rPr>
          <w:rStyle w:val="a4"/>
          <w:rFonts w:ascii="Times New Roman" w:hAnsi="Times New Roman" w:cs="Times New Roman"/>
          <w:color w:val="auto"/>
          <w:sz w:val="24"/>
          <w:szCs w:val="24"/>
        </w:rPr>
        <w:t>s</w:t>
      </w:r>
      <w:bookmarkEnd w:id="4"/>
    </w:p>
    <w:p w14:paraId="75C43BAF" w14:textId="77777777" w:rsidR="00CF72D4" w:rsidRPr="00124580" w:rsidRDefault="00CF72D4" w:rsidP="00124580">
      <w:pPr>
        <w:pStyle w:val="a3"/>
        <w:spacing w:line="360" w:lineRule="auto"/>
        <w:jc w:val="both"/>
      </w:pPr>
      <w:r w:rsidRPr="00124580">
        <w:rPr>
          <w:rStyle w:val="a4"/>
        </w:rPr>
        <w:t>Effectiveness of Strategies:</w:t>
      </w:r>
    </w:p>
    <w:p w14:paraId="0432A0B0" w14:textId="243A1785" w:rsidR="00CF72D4" w:rsidRPr="00124580" w:rsidRDefault="00906F1E" w:rsidP="00124580">
      <w:pPr>
        <w:pStyle w:val="a3"/>
        <w:spacing w:line="360" w:lineRule="auto"/>
        <w:jc w:val="both"/>
      </w:pPr>
      <w:r w:rsidRPr="00124580">
        <w:t xml:space="preserve">Effective strategies </w:t>
      </w:r>
      <w:r w:rsidR="002C6013" w:rsidRPr="00124580">
        <w:t>analyse</w:t>
      </w:r>
      <w:r w:rsidRPr="00124580">
        <w:t xml:space="preserve"> t</w:t>
      </w:r>
      <w:r w:rsidR="00CF72D4" w:rsidRPr="00124580">
        <w:t>he type of risk, how the business operates, and the state of the market all affect how effect</w:t>
      </w:r>
      <w:r w:rsidRPr="00124580">
        <w:t>i</w:t>
      </w:r>
      <w:r w:rsidR="00CF72D4" w:rsidRPr="00124580">
        <w:t xml:space="preserve">ve these techniques are. Forward contracts, for example, offer predictability but </w:t>
      </w:r>
      <w:r w:rsidR="002C6013" w:rsidRPr="00124580">
        <w:t xml:space="preserve">can </w:t>
      </w:r>
      <w:r w:rsidR="00CF72D4" w:rsidRPr="00124580">
        <w:t xml:space="preserve">also result in lost chances if exchange rates shift in </w:t>
      </w:r>
      <w:r w:rsidR="002C6013" w:rsidRPr="00124580">
        <w:t>the favour of the company using it</w:t>
      </w:r>
      <w:r w:rsidR="00990FEA" w:rsidRPr="00124580">
        <w:t xml:space="preserve"> (Abbassi, 2019)</w:t>
      </w:r>
      <w:r w:rsidR="00CF72D4" w:rsidRPr="00124580">
        <w:t xml:space="preserve">. However, if exchange rates shift in the company's favour, option contracts provide more flexibility and the possibility </w:t>
      </w:r>
      <w:r w:rsidR="002C6013" w:rsidRPr="00124580">
        <w:t xml:space="preserve">for </w:t>
      </w:r>
      <w:r w:rsidR="009A2794" w:rsidRPr="00124580">
        <w:t>increased profits</w:t>
      </w:r>
      <w:r w:rsidR="00990FEA" w:rsidRPr="00124580">
        <w:t xml:space="preserve"> (Aslam et al., 2020)</w:t>
      </w:r>
      <w:r w:rsidR="00CF72D4" w:rsidRPr="00124580">
        <w:t>. For the company's capital budgeting choices to be successful, controlling exchange rate risk requires a well-rounded and knowledgeable strategy.</w:t>
      </w:r>
    </w:p>
    <w:p w14:paraId="254B3A02" w14:textId="77777777" w:rsidR="00CF72D4" w:rsidRPr="00124580" w:rsidRDefault="00CF72D4" w:rsidP="00124580">
      <w:pPr>
        <w:pStyle w:val="a3"/>
        <w:spacing w:line="360" w:lineRule="auto"/>
        <w:jc w:val="both"/>
      </w:pPr>
      <w:r w:rsidRPr="00124580">
        <w:rPr>
          <w:rStyle w:val="a4"/>
        </w:rPr>
        <w:t>Cost and Complexity:</w:t>
      </w:r>
    </w:p>
    <w:p w14:paraId="51FD2FCC" w14:textId="109B1B52" w:rsidR="00CF72D4" w:rsidRPr="00124580" w:rsidRDefault="00CF72D4" w:rsidP="00124580">
      <w:pPr>
        <w:pStyle w:val="a3"/>
        <w:spacing w:line="360" w:lineRule="auto"/>
        <w:jc w:val="both"/>
      </w:pPr>
      <w:r w:rsidRPr="00124580">
        <w:t xml:space="preserve">It's important to take into account the expenses related to maintaining and putting these </w:t>
      </w:r>
      <w:r w:rsidR="009A2794" w:rsidRPr="00124580">
        <w:t>strategies</w:t>
      </w:r>
      <w:r w:rsidRPr="00124580">
        <w:t xml:space="preserve"> into practice. For instance, natural hedging </w:t>
      </w:r>
      <w:r w:rsidR="009A2794" w:rsidRPr="00124580">
        <w:t xml:space="preserve">requires the global presence of a company </w:t>
      </w:r>
      <w:r w:rsidRPr="00124580">
        <w:t>and option contracts</w:t>
      </w:r>
      <w:r w:rsidR="009A2794" w:rsidRPr="00124580">
        <w:t xml:space="preserve"> can be highly</w:t>
      </w:r>
      <w:r w:rsidRPr="00124580">
        <w:t xml:space="preserve"> costly</w:t>
      </w:r>
      <w:r w:rsidR="00990FEA" w:rsidRPr="00124580">
        <w:t xml:space="preserve"> (Rampini, 2020)</w:t>
      </w:r>
      <w:r w:rsidRPr="00124580">
        <w:t>. It is also impossible to</w:t>
      </w:r>
      <w:r w:rsidR="004805B0" w:rsidRPr="00124580">
        <w:t xml:space="preserve"> ignore the complexities and requirements of these strategies</w:t>
      </w:r>
      <w:r w:rsidRPr="00124580">
        <w:t xml:space="preserve">. Option contracts may be challenging for </w:t>
      </w:r>
      <w:r w:rsidR="004805B0" w:rsidRPr="00124580">
        <w:t>new companies</w:t>
      </w:r>
      <w:r w:rsidRPr="00124580">
        <w:t xml:space="preserve"> to handle and require a thorough grasp of financial markets. Similar resources and experience are needed to create a worldwide footprint for natural hedging</w:t>
      </w:r>
      <w:r w:rsidR="00990FEA" w:rsidRPr="00124580">
        <w:t xml:space="preserve"> (Saunders, 2021)</w:t>
      </w:r>
      <w:r w:rsidRPr="00124580">
        <w:t xml:space="preserve">. Therefore, before making any choices, it is crucial for the business to thoroughly </w:t>
      </w:r>
      <w:r w:rsidR="004805B0" w:rsidRPr="00124580">
        <w:t>analyse</w:t>
      </w:r>
      <w:r w:rsidRPr="00124580">
        <w:t xml:space="preserve"> the cost and complexity involved in putting these risk management techniques into practice.</w:t>
      </w:r>
    </w:p>
    <w:p w14:paraId="791F937A" w14:textId="77777777" w:rsidR="00CF72D4" w:rsidRPr="00124580" w:rsidRDefault="00CF72D4" w:rsidP="00124580">
      <w:pPr>
        <w:pStyle w:val="a3"/>
        <w:spacing w:line="360" w:lineRule="auto"/>
        <w:jc w:val="both"/>
      </w:pPr>
      <w:r w:rsidRPr="00124580">
        <w:rPr>
          <w:rStyle w:val="a4"/>
        </w:rPr>
        <w:t>Macroeconomic Factors:</w:t>
      </w:r>
    </w:p>
    <w:p w14:paraId="4B699E83" w14:textId="7435A2C4" w:rsidR="00990FEA" w:rsidRPr="00124580" w:rsidRDefault="00CF72D4" w:rsidP="00124580">
      <w:pPr>
        <w:pStyle w:val="a3"/>
        <w:spacing w:line="360" w:lineRule="auto"/>
        <w:jc w:val="both"/>
      </w:pPr>
      <w:r w:rsidRPr="00124580">
        <w:t xml:space="preserve">Macroeconomic variables also impact </w:t>
      </w:r>
      <w:r w:rsidR="00565CCA" w:rsidRPr="00124580">
        <w:t xml:space="preserve">foreign exchange </w:t>
      </w:r>
      <w:r w:rsidRPr="00124580">
        <w:t xml:space="preserve">risks, and no matter how effective a strategy is, it cannot completely remove </w:t>
      </w:r>
      <w:r w:rsidR="00565CCA" w:rsidRPr="00124580">
        <w:t>or protect the company</w:t>
      </w:r>
      <w:r w:rsidRPr="00124580">
        <w:t xml:space="preserve">. The </w:t>
      </w:r>
      <w:r w:rsidR="00124580">
        <w:t xml:space="preserve">impact </w:t>
      </w:r>
      <w:r w:rsidRPr="00124580">
        <w:t>of the Brexit decision on the British Pound and the ensuing volatility in currency values highlight</w:t>
      </w:r>
      <w:r w:rsidR="00124580">
        <w:t>s</w:t>
      </w:r>
      <w:r w:rsidRPr="00124580">
        <w:t xml:space="preserve"> the </w:t>
      </w:r>
      <w:r w:rsidR="00124580">
        <w:t xml:space="preserve">challenges </w:t>
      </w:r>
      <w:r w:rsidRPr="00124580">
        <w:t>of managing</w:t>
      </w:r>
      <w:r w:rsidR="00565CCA" w:rsidRPr="00124580">
        <w:t xml:space="preserve"> foreign</w:t>
      </w:r>
      <w:r w:rsidRPr="00124580">
        <w:t xml:space="preserve"> exchange risk</w:t>
      </w:r>
      <w:r w:rsidR="00990FEA" w:rsidRPr="00124580">
        <w:t xml:space="preserve"> (Armour, 2023)</w:t>
      </w:r>
      <w:r w:rsidRPr="00124580">
        <w:t xml:space="preserve">. Macroeconomic variables, including interest rates, inflation rates, and political stability, </w:t>
      </w:r>
      <w:r w:rsidR="00565CCA" w:rsidRPr="00124580">
        <w:t xml:space="preserve">can have a huge impact </w:t>
      </w:r>
      <w:r w:rsidRPr="00124580">
        <w:t xml:space="preserve">on exchange rates in addition to </w:t>
      </w:r>
      <w:r w:rsidR="00081CFF" w:rsidRPr="00124580">
        <w:t>foreign exchange risks</w:t>
      </w:r>
      <w:r w:rsidRPr="00124580">
        <w:t>. Since these</w:t>
      </w:r>
      <w:r w:rsidR="00081CFF" w:rsidRPr="00124580">
        <w:t xml:space="preserve"> factors</w:t>
      </w:r>
      <w:r w:rsidRPr="00124580">
        <w:t xml:space="preserve"> are frequently outside </w:t>
      </w:r>
      <w:r w:rsidR="00081CFF" w:rsidRPr="00124580">
        <w:t>the control of a company</w:t>
      </w:r>
      <w:r w:rsidRPr="00124580">
        <w:t>, it may be difficult to foresee and reduce currency risk with any degree of accuracy</w:t>
      </w:r>
      <w:r w:rsidR="00990FEA" w:rsidRPr="00124580">
        <w:t xml:space="preserve"> (Fraser, 2021)</w:t>
      </w:r>
      <w:r w:rsidRPr="00124580">
        <w:t>. Consequently, to limit financial losses and keep ahead of anticipated economic shifts, businesses must constantly review and adjust their risk management plans.</w:t>
      </w:r>
    </w:p>
    <w:p w14:paraId="6B8B9F62" w14:textId="77777777" w:rsidR="00990FEA" w:rsidRPr="00124580" w:rsidRDefault="00990FEA" w:rsidP="00124580">
      <w:pPr>
        <w:spacing w:line="360" w:lineRule="auto"/>
        <w:jc w:val="both"/>
        <w:rPr>
          <w:rFonts w:ascii="Times New Roman" w:eastAsia="Times New Roman" w:hAnsi="Times New Roman" w:cs="Times New Roman"/>
          <w:kern w:val="0"/>
          <w:sz w:val="24"/>
          <w:szCs w:val="24"/>
          <w:lang w:eastAsia="en-IN"/>
          <w14:ligatures w14:val="none"/>
        </w:rPr>
      </w:pPr>
      <w:r w:rsidRPr="00124580">
        <w:rPr>
          <w:rFonts w:ascii="Times New Roman" w:hAnsi="Times New Roman" w:cs="Times New Roman"/>
          <w:sz w:val="24"/>
          <w:szCs w:val="24"/>
        </w:rPr>
        <w:br w:type="page"/>
      </w:r>
    </w:p>
    <w:p w14:paraId="0CF52E1A" w14:textId="77777777" w:rsidR="00CF72D4" w:rsidRPr="00124580" w:rsidRDefault="00CF72D4" w:rsidP="00124580">
      <w:pPr>
        <w:pStyle w:val="a3"/>
        <w:spacing w:line="360" w:lineRule="auto"/>
        <w:jc w:val="both"/>
      </w:pPr>
    </w:p>
    <w:p w14:paraId="2DF2F6B6" w14:textId="77777777" w:rsidR="00CF72D4" w:rsidRPr="00124580" w:rsidRDefault="00CF72D4" w:rsidP="00124580">
      <w:pPr>
        <w:pStyle w:val="1"/>
        <w:spacing w:line="360" w:lineRule="auto"/>
        <w:jc w:val="both"/>
        <w:rPr>
          <w:rFonts w:ascii="Times New Roman" w:hAnsi="Times New Roman" w:cs="Times New Roman"/>
          <w:color w:val="auto"/>
          <w:sz w:val="24"/>
          <w:szCs w:val="24"/>
        </w:rPr>
      </w:pPr>
      <w:bookmarkStart w:id="5" w:name="_Toc149162188"/>
      <w:r w:rsidRPr="00124580">
        <w:rPr>
          <w:rStyle w:val="a4"/>
          <w:rFonts w:ascii="Times New Roman" w:hAnsi="Times New Roman" w:cs="Times New Roman"/>
          <w:color w:val="auto"/>
          <w:sz w:val="24"/>
          <w:szCs w:val="24"/>
        </w:rPr>
        <w:t>Conclusion</w:t>
      </w:r>
      <w:bookmarkEnd w:id="5"/>
    </w:p>
    <w:p w14:paraId="5CEF65E7" w14:textId="04687136" w:rsidR="00124580" w:rsidRDefault="00CF72D4" w:rsidP="00124580">
      <w:pPr>
        <w:pStyle w:val="a3"/>
        <w:spacing w:line="360" w:lineRule="auto"/>
        <w:jc w:val="both"/>
      </w:pPr>
      <w:r w:rsidRPr="00124580">
        <w:t xml:space="preserve">In conclusion, foreign exchange risk presents </w:t>
      </w:r>
      <w:r w:rsidR="00C96103" w:rsidRPr="00124580">
        <w:t>major challenges to MNCs</w:t>
      </w:r>
      <w:r w:rsidRPr="00124580">
        <w:t xml:space="preserve">. </w:t>
      </w:r>
      <w:r w:rsidR="00C96103" w:rsidRPr="00124580">
        <w:t>In order to</w:t>
      </w:r>
      <w:r w:rsidRPr="00124580">
        <w:t xml:space="preserve"> mitigate these risks, they </w:t>
      </w:r>
      <w:r w:rsidR="00C96103" w:rsidRPr="00124580">
        <w:t xml:space="preserve">undertake various strategies such as </w:t>
      </w:r>
      <w:r w:rsidRPr="00124580">
        <w:t xml:space="preserve">exposure netting, leading and lagging, natural hedging, diversification, hedging, </w:t>
      </w:r>
      <w:r w:rsidR="00D744A7" w:rsidRPr="00124580">
        <w:t>strategic</w:t>
      </w:r>
      <w:r w:rsidRPr="00124580">
        <w:t xml:space="preserve"> use of debt, </w:t>
      </w:r>
      <w:r w:rsidR="00C96103" w:rsidRPr="00124580">
        <w:t xml:space="preserve">and </w:t>
      </w:r>
      <w:r w:rsidRPr="00124580">
        <w:t>capital budgeting methods. Empirical instances of multinational corporations (MNCs) such as Apple, GE, Nestlé, P&amp;G, Toyota, Unilever, Ford, and Boeing demonstrate the</w:t>
      </w:r>
      <w:r w:rsidR="00D744A7" w:rsidRPr="00124580">
        <w:t xml:space="preserve"> use and efficiency of these strategies</w:t>
      </w:r>
      <w:r w:rsidRPr="00124580">
        <w:t xml:space="preserve">. MNCs </w:t>
      </w:r>
      <w:r w:rsidR="00D744A7" w:rsidRPr="00124580">
        <w:t>can</w:t>
      </w:r>
      <w:r w:rsidRPr="00124580">
        <w:t xml:space="preserve"> minimise the negative consequences of foreign exchange risk and promote global growth and stability by rigorously analysing and implementing these methods.</w:t>
      </w:r>
    </w:p>
    <w:p w14:paraId="35CBE488" w14:textId="77777777" w:rsidR="00124580" w:rsidRDefault="00124580">
      <w:pPr>
        <w:rPr>
          <w:rFonts w:ascii="Times New Roman" w:eastAsia="Times New Roman" w:hAnsi="Times New Roman" w:cs="Times New Roman"/>
          <w:kern w:val="0"/>
          <w:sz w:val="24"/>
          <w:szCs w:val="24"/>
          <w:lang w:eastAsia="en-IN"/>
          <w14:ligatures w14:val="none"/>
        </w:rPr>
      </w:pPr>
      <w:r>
        <w:br w:type="page"/>
      </w:r>
    </w:p>
    <w:p w14:paraId="2FFFD3AD" w14:textId="77777777" w:rsidR="00CF72D4" w:rsidRPr="00124580" w:rsidRDefault="00CF72D4" w:rsidP="00124580">
      <w:pPr>
        <w:pStyle w:val="a3"/>
        <w:spacing w:line="360" w:lineRule="auto"/>
        <w:jc w:val="both"/>
      </w:pPr>
    </w:p>
    <w:p w14:paraId="65392338" w14:textId="760AF655" w:rsidR="00990FEA" w:rsidRPr="00124580" w:rsidRDefault="00990FEA" w:rsidP="00124580">
      <w:pPr>
        <w:pStyle w:val="1"/>
        <w:spacing w:line="360" w:lineRule="auto"/>
        <w:jc w:val="both"/>
        <w:rPr>
          <w:rFonts w:ascii="Times New Roman" w:hAnsi="Times New Roman" w:cs="Times New Roman"/>
          <w:b/>
          <w:bCs/>
          <w:color w:val="auto"/>
          <w:sz w:val="24"/>
          <w:szCs w:val="24"/>
        </w:rPr>
      </w:pPr>
      <w:bookmarkStart w:id="6" w:name="_Toc149162189"/>
      <w:r w:rsidRPr="00124580">
        <w:rPr>
          <w:rFonts w:ascii="Times New Roman" w:hAnsi="Times New Roman" w:cs="Times New Roman"/>
          <w:b/>
          <w:bCs/>
          <w:color w:val="auto"/>
          <w:sz w:val="24"/>
          <w:szCs w:val="24"/>
        </w:rPr>
        <w:t>References</w:t>
      </w:r>
      <w:bookmarkEnd w:id="6"/>
    </w:p>
    <w:p w14:paraId="76E28ED7" w14:textId="77777777" w:rsidR="00124580" w:rsidRPr="00124580" w:rsidRDefault="00124580" w:rsidP="00124580">
      <w:pPr>
        <w:pStyle w:val="a3"/>
        <w:spacing w:line="360" w:lineRule="auto"/>
        <w:jc w:val="both"/>
      </w:pPr>
      <w:r w:rsidRPr="00124580">
        <w:rPr>
          <w:color w:val="222222"/>
          <w:shd w:val="clear" w:color="auto" w:fill="FFFFFF"/>
        </w:rPr>
        <w:t xml:space="preserve">Abbassi, P. and Bräuning, F., </w:t>
      </w:r>
      <w:r>
        <w:rPr>
          <w:color w:val="222222"/>
          <w:shd w:val="clear" w:color="auto" w:fill="FFFFFF"/>
        </w:rPr>
        <w:t>(</w:t>
      </w:r>
      <w:r w:rsidRPr="00124580">
        <w:rPr>
          <w:color w:val="222222"/>
          <w:shd w:val="clear" w:color="auto" w:fill="FFFFFF"/>
        </w:rPr>
        <w:t>2019</w:t>
      </w:r>
      <w:r>
        <w:rPr>
          <w:color w:val="222222"/>
          <w:shd w:val="clear" w:color="auto" w:fill="FFFFFF"/>
        </w:rPr>
        <w:t>)</w:t>
      </w:r>
      <w:r w:rsidRPr="00124580">
        <w:rPr>
          <w:color w:val="222222"/>
          <w:shd w:val="clear" w:color="auto" w:fill="FFFFFF"/>
        </w:rPr>
        <w:t>. </w:t>
      </w:r>
      <w:r w:rsidRPr="00124580">
        <w:rPr>
          <w:i/>
          <w:iCs/>
          <w:color w:val="222222"/>
          <w:shd w:val="clear" w:color="auto" w:fill="FFFFFF"/>
        </w:rPr>
        <w:t>Financial Stability Effects of Foreign-Exchange Risk Migration</w:t>
      </w:r>
      <w:r w:rsidRPr="00124580">
        <w:rPr>
          <w:color w:val="222222"/>
          <w:shd w:val="clear" w:color="auto" w:fill="FFFFFF"/>
        </w:rPr>
        <w:t>. Working Paper. http://dx. doi. org/10.2139/ssrn. 3483234.</w:t>
      </w:r>
    </w:p>
    <w:p w14:paraId="6C8EB641" w14:textId="77777777" w:rsidR="00124580" w:rsidRPr="00124580" w:rsidRDefault="00124580" w:rsidP="00124580">
      <w:pPr>
        <w:pStyle w:val="a3"/>
        <w:spacing w:line="360" w:lineRule="auto"/>
        <w:jc w:val="both"/>
        <w:rPr>
          <w:color w:val="222222"/>
          <w:shd w:val="clear" w:color="auto" w:fill="FFFFFF"/>
        </w:rPr>
      </w:pPr>
      <w:r w:rsidRPr="00124580">
        <w:rPr>
          <w:color w:val="222222"/>
          <w:shd w:val="clear" w:color="auto" w:fill="FFFFFF"/>
        </w:rPr>
        <w:t xml:space="preserve">Aliber, R.Z., </w:t>
      </w:r>
      <w:r>
        <w:rPr>
          <w:color w:val="222222"/>
          <w:shd w:val="clear" w:color="auto" w:fill="FFFFFF"/>
        </w:rPr>
        <w:t>(</w:t>
      </w:r>
      <w:r w:rsidRPr="00124580">
        <w:rPr>
          <w:color w:val="222222"/>
          <w:shd w:val="clear" w:color="auto" w:fill="FFFFFF"/>
        </w:rPr>
        <w:t>2019</w:t>
      </w:r>
      <w:r>
        <w:rPr>
          <w:color w:val="222222"/>
          <w:shd w:val="clear" w:color="auto" w:fill="FFFFFF"/>
        </w:rPr>
        <w:t>)</w:t>
      </w:r>
      <w:r w:rsidRPr="00124580">
        <w:rPr>
          <w:color w:val="222222"/>
          <w:shd w:val="clear" w:color="auto" w:fill="FFFFFF"/>
        </w:rPr>
        <w:t>. The firm under pegged and floating exchange rates. In </w:t>
      </w:r>
      <w:r w:rsidRPr="00124580">
        <w:rPr>
          <w:i/>
          <w:iCs/>
          <w:color w:val="222222"/>
          <w:shd w:val="clear" w:color="auto" w:fill="FFFFFF"/>
        </w:rPr>
        <w:t>Flexible Exchange Rates/h</w:t>
      </w:r>
      <w:r w:rsidRPr="00124580">
        <w:rPr>
          <w:color w:val="222222"/>
          <w:shd w:val="clear" w:color="auto" w:fill="FFFFFF"/>
        </w:rPr>
        <w:t> (pp. 177-190). Routledge.</w:t>
      </w:r>
    </w:p>
    <w:p w14:paraId="39F2C809" w14:textId="77777777" w:rsidR="00124580" w:rsidRPr="00124580" w:rsidRDefault="00124580" w:rsidP="00124580">
      <w:pPr>
        <w:pStyle w:val="a3"/>
        <w:spacing w:line="360" w:lineRule="auto"/>
        <w:jc w:val="both"/>
        <w:rPr>
          <w:color w:val="222222"/>
          <w:shd w:val="clear" w:color="auto" w:fill="FFFFFF"/>
        </w:rPr>
      </w:pPr>
      <w:r w:rsidRPr="00124580">
        <w:rPr>
          <w:color w:val="222222"/>
          <w:shd w:val="clear" w:color="auto" w:fill="FFFFFF"/>
        </w:rPr>
        <w:t>Armour, C. and Beardsley, J.,</w:t>
      </w:r>
      <w:r>
        <w:rPr>
          <w:color w:val="222222"/>
          <w:shd w:val="clear" w:color="auto" w:fill="FFFFFF"/>
        </w:rPr>
        <w:t xml:space="preserve"> (</w:t>
      </w:r>
      <w:r w:rsidRPr="00124580">
        <w:rPr>
          <w:color w:val="222222"/>
          <w:shd w:val="clear" w:color="auto" w:fill="FFFFFF"/>
        </w:rPr>
        <w:t>2023</w:t>
      </w:r>
      <w:r>
        <w:rPr>
          <w:color w:val="222222"/>
          <w:shd w:val="clear" w:color="auto" w:fill="FFFFFF"/>
        </w:rPr>
        <w:t>)</w:t>
      </w:r>
      <w:r w:rsidRPr="00124580">
        <w:rPr>
          <w:color w:val="222222"/>
          <w:shd w:val="clear" w:color="auto" w:fill="FFFFFF"/>
        </w:rPr>
        <w:t>. Developments in Foreign Exchange and Over-the-counter Derivatives Markets| Bulletin–March 2023.</w:t>
      </w:r>
    </w:p>
    <w:p w14:paraId="31F0D4D1" w14:textId="77777777" w:rsidR="00124580" w:rsidRPr="00124580" w:rsidRDefault="00124580" w:rsidP="00124580">
      <w:pPr>
        <w:pStyle w:val="a3"/>
        <w:spacing w:line="360" w:lineRule="auto"/>
        <w:jc w:val="both"/>
        <w:rPr>
          <w:color w:val="222222"/>
          <w:shd w:val="clear" w:color="auto" w:fill="FFFFFF"/>
        </w:rPr>
      </w:pPr>
      <w:r w:rsidRPr="00124580">
        <w:rPr>
          <w:color w:val="222222"/>
          <w:shd w:val="clear" w:color="auto" w:fill="FFFFFF"/>
        </w:rPr>
        <w:t xml:space="preserve">Aslam, F., Aziz, S., Nguyen, D.K., Mughal, K.S. and Khan, M., </w:t>
      </w:r>
      <w:r>
        <w:rPr>
          <w:color w:val="222222"/>
          <w:shd w:val="clear" w:color="auto" w:fill="FFFFFF"/>
        </w:rPr>
        <w:t>(</w:t>
      </w:r>
      <w:r w:rsidRPr="00124580">
        <w:rPr>
          <w:color w:val="222222"/>
          <w:shd w:val="clear" w:color="auto" w:fill="FFFFFF"/>
        </w:rPr>
        <w:t>2020</w:t>
      </w:r>
      <w:r>
        <w:rPr>
          <w:color w:val="222222"/>
          <w:shd w:val="clear" w:color="auto" w:fill="FFFFFF"/>
        </w:rPr>
        <w:t>)</w:t>
      </w:r>
      <w:r w:rsidRPr="00124580">
        <w:rPr>
          <w:color w:val="222222"/>
          <w:shd w:val="clear" w:color="auto" w:fill="FFFFFF"/>
        </w:rPr>
        <w:t>. On the efficiency of foreign exchange markets in times of the COVID-19 pandemic. </w:t>
      </w:r>
      <w:r w:rsidRPr="00124580">
        <w:rPr>
          <w:i/>
          <w:iCs/>
          <w:color w:val="222222"/>
          <w:shd w:val="clear" w:color="auto" w:fill="FFFFFF"/>
        </w:rPr>
        <w:t>Technological forecasting and social change</w:t>
      </w:r>
      <w:r w:rsidRPr="00124580">
        <w:rPr>
          <w:color w:val="222222"/>
          <w:shd w:val="clear" w:color="auto" w:fill="FFFFFF"/>
        </w:rPr>
        <w:t>, </w:t>
      </w:r>
      <w:r w:rsidRPr="00124580">
        <w:rPr>
          <w:i/>
          <w:iCs/>
          <w:color w:val="222222"/>
          <w:shd w:val="clear" w:color="auto" w:fill="FFFFFF"/>
        </w:rPr>
        <w:t>161</w:t>
      </w:r>
      <w:r w:rsidRPr="00124580">
        <w:rPr>
          <w:color w:val="222222"/>
          <w:shd w:val="clear" w:color="auto" w:fill="FFFFFF"/>
        </w:rPr>
        <w:t>, p.120261.</w:t>
      </w:r>
    </w:p>
    <w:p w14:paraId="7F211DB4" w14:textId="77777777" w:rsidR="00124580" w:rsidRPr="00124580" w:rsidRDefault="00124580" w:rsidP="00124580">
      <w:pPr>
        <w:pStyle w:val="a3"/>
        <w:spacing w:line="360" w:lineRule="auto"/>
        <w:jc w:val="both"/>
        <w:rPr>
          <w:color w:val="222222"/>
          <w:shd w:val="clear" w:color="auto" w:fill="FFFFFF"/>
        </w:rPr>
      </w:pPr>
      <w:r w:rsidRPr="00124580">
        <w:rPr>
          <w:color w:val="222222"/>
          <w:shd w:val="clear" w:color="auto" w:fill="FFFFFF"/>
        </w:rPr>
        <w:t xml:space="preserve">Fraser, J.R., Quail, R. and Simkins, B. eds., </w:t>
      </w:r>
      <w:r>
        <w:rPr>
          <w:color w:val="222222"/>
          <w:shd w:val="clear" w:color="auto" w:fill="FFFFFF"/>
        </w:rPr>
        <w:t>(</w:t>
      </w:r>
      <w:r w:rsidRPr="00124580">
        <w:rPr>
          <w:color w:val="222222"/>
          <w:shd w:val="clear" w:color="auto" w:fill="FFFFFF"/>
        </w:rPr>
        <w:t>2021</w:t>
      </w:r>
      <w:r>
        <w:rPr>
          <w:color w:val="222222"/>
          <w:shd w:val="clear" w:color="auto" w:fill="FFFFFF"/>
        </w:rPr>
        <w:t>)</w:t>
      </w:r>
      <w:r w:rsidRPr="00124580">
        <w:rPr>
          <w:color w:val="222222"/>
          <w:shd w:val="clear" w:color="auto" w:fill="FFFFFF"/>
        </w:rPr>
        <w:t>. </w:t>
      </w:r>
      <w:r w:rsidRPr="00124580">
        <w:rPr>
          <w:i/>
          <w:iCs/>
          <w:color w:val="222222"/>
          <w:shd w:val="clear" w:color="auto" w:fill="FFFFFF"/>
        </w:rPr>
        <w:t>Enterprise risk management: Today's leading research and best practices for tomorrow's executives</w:t>
      </w:r>
      <w:r w:rsidRPr="00124580">
        <w:rPr>
          <w:color w:val="222222"/>
          <w:shd w:val="clear" w:color="auto" w:fill="FFFFFF"/>
        </w:rPr>
        <w:t>. John Wiley &amp; Sons.</w:t>
      </w:r>
    </w:p>
    <w:p w14:paraId="347D830B" w14:textId="77777777" w:rsidR="00124580" w:rsidRPr="00124580" w:rsidRDefault="00124580" w:rsidP="00124580">
      <w:pPr>
        <w:pStyle w:val="a3"/>
        <w:spacing w:line="360" w:lineRule="auto"/>
        <w:jc w:val="both"/>
        <w:rPr>
          <w:color w:val="222222"/>
          <w:shd w:val="clear" w:color="auto" w:fill="FFFFFF"/>
        </w:rPr>
      </w:pPr>
      <w:r w:rsidRPr="00124580">
        <w:rPr>
          <w:color w:val="222222"/>
          <w:shd w:val="clear" w:color="auto" w:fill="FFFFFF"/>
        </w:rPr>
        <w:t xml:space="preserve">Rampini, A.A., Viswanathan, S. and Vuillemey, G., </w:t>
      </w:r>
      <w:r>
        <w:rPr>
          <w:color w:val="222222"/>
          <w:shd w:val="clear" w:color="auto" w:fill="FFFFFF"/>
        </w:rPr>
        <w:t>(</w:t>
      </w:r>
      <w:r w:rsidRPr="00124580">
        <w:rPr>
          <w:color w:val="222222"/>
          <w:shd w:val="clear" w:color="auto" w:fill="FFFFFF"/>
        </w:rPr>
        <w:t>2020</w:t>
      </w:r>
      <w:r>
        <w:rPr>
          <w:color w:val="222222"/>
          <w:shd w:val="clear" w:color="auto" w:fill="FFFFFF"/>
        </w:rPr>
        <w:t>)</w:t>
      </w:r>
      <w:r w:rsidRPr="00124580">
        <w:rPr>
          <w:color w:val="222222"/>
          <w:shd w:val="clear" w:color="auto" w:fill="FFFFFF"/>
        </w:rPr>
        <w:t>. Retracted: Risk management in financial institutions.</w:t>
      </w:r>
    </w:p>
    <w:p w14:paraId="4E191230" w14:textId="77777777" w:rsidR="00124580" w:rsidRPr="00124580" w:rsidRDefault="00124580" w:rsidP="00124580">
      <w:pPr>
        <w:pStyle w:val="a3"/>
        <w:spacing w:line="360" w:lineRule="auto"/>
        <w:jc w:val="both"/>
        <w:rPr>
          <w:color w:val="222222"/>
          <w:shd w:val="clear" w:color="auto" w:fill="FFFFFF"/>
        </w:rPr>
      </w:pPr>
      <w:r w:rsidRPr="00124580">
        <w:rPr>
          <w:color w:val="222222"/>
          <w:shd w:val="clear" w:color="auto" w:fill="FFFFFF"/>
        </w:rPr>
        <w:t xml:space="preserve">Saunders, A., Cornett, M.M. and Erhemjamts, O., </w:t>
      </w:r>
      <w:r>
        <w:rPr>
          <w:color w:val="222222"/>
          <w:shd w:val="clear" w:color="auto" w:fill="FFFFFF"/>
        </w:rPr>
        <w:t>(</w:t>
      </w:r>
      <w:r w:rsidRPr="00124580">
        <w:rPr>
          <w:color w:val="222222"/>
          <w:shd w:val="clear" w:color="auto" w:fill="FFFFFF"/>
        </w:rPr>
        <w:t>2021</w:t>
      </w:r>
      <w:r>
        <w:rPr>
          <w:color w:val="222222"/>
          <w:shd w:val="clear" w:color="auto" w:fill="FFFFFF"/>
        </w:rPr>
        <w:t>)</w:t>
      </w:r>
      <w:r w:rsidRPr="00124580">
        <w:rPr>
          <w:color w:val="222222"/>
          <w:shd w:val="clear" w:color="auto" w:fill="FFFFFF"/>
        </w:rPr>
        <w:t>. </w:t>
      </w:r>
      <w:r w:rsidRPr="00124580">
        <w:rPr>
          <w:i/>
          <w:iCs/>
          <w:color w:val="222222"/>
          <w:shd w:val="clear" w:color="auto" w:fill="FFFFFF"/>
        </w:rPr>
        <w:t>Financial institutions management: A risk management approach</w:t>
      </w:r>
      <w:r w:rsidRPr="00124580">
        <w:rPr>
          <w:color w:val="222222"/>
          <w:shd w:val="clear" w:color="auto" w:fill="FFFFFF"/>
        </w:rPr>
        <w:t>. McGraw-Hill.</w:t>
      </w:r>
    </w:p>
    <w:p w14:paraId="7D04F6BB" w14:textId="77777777" w:rsidR="00734CB1" w:rsidRPr="00124580" w:rsidRDefault="00734CB1" w:rsidP="00124580">
      <w:pPr>
        <w:pStyle w:val="a3"/>
        <w:spacing w:line="360" w:lineRule="auto"/>
        <w:jc w:val="both"/>
      </w:pPr>
    </w:p>
    <w:p w14:paraId="6A16D6A3" w14:textId="77777777" w:rsidR="00B4677C" w:rsidRPr="00124580" w:rsidRDefault="00B4677C" w:rsidP="00124580">
      <w:pPr>
        <w:spacing w:line="360" w:lineRule="auto"/>
        <w:jc w:val="both"/>
        <w:rPr>
          <w:rFonts w:ascii="Times New Roman" w:hAnsi="Times New Roman" w:cs="Times New Roman"/>
          <w:sz w:val="24"/>
          <w:szCs w:val="24"/>
        </w:rPr>
      </w:pPr>
    </w:p>
    <w:sectPr w:rsidR="00B4677C" w:rsidRPr="0012458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37656" w14:textId="77777777" w:rsidR="00124580" w:rsidRDefault="00124580" w:rsidP="00124580">
      <w:pPr>
        <w:spacing w:after="0" w:line="240" w:lineRule="auto"/>
      </w:pPr>
      <w:r>
        <w:separator/>
      </w:r>
    </w:p>
  </w:endnote>
  <w:endnote w:type="continuationSeparator" w:id="0">
    <w:p w14:paraId="2C6899A7" w14:textId="77777777" w:rsidR="00124580" w:rsidRDefault="00124580" w:rsidP="0012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6642248"/>
      <w:docPartObj>
        <w:docPartGallery w:val="Page Numbers (Bottom of Page)"/>
        <w:docPartUnique/>
      </w:docPartObj>
    </w:sdtPr>
    <w:sdtEndPr>
      <w:rPr>
        <w:noProof/>
      </w:rPr>
    </w:sdtEndPr>
    <w:sdtContent>
      <w:p w14:paraId="1492C40C" w14:textId="3FEAEBDB" w:rsidR="00124580" w:rsidRDefault="00124580">
        <w:pPr>
          <w:pStyle w:val="a9"/>
          <w:jc w:val="center"/>
        </w:pPr>
        <w:r>
          <w:fldChar w:fldCharType="begin"/>
        </w:r>
        <w:r>
          <w:instrText xml:space="preserve"> PAGE   \* MERGEFORMAT </w:instrText>
        </w:r>
        <w:r>
          <w:fldChar w:fldCharType="separate"/>
        </w:r>
        <w:r w:rsidR="00A43982">
          <w:rPr>
            <w:noProof/>
          </w:rPr>
          <w:t>2</w:t>
        </w:r>
        <w:r>
          <w:rPr>
            <w:noProof/>
          </w:rPr>
          <w:fldChar w:fldCharType="end"/>
        </w:r>
      </w:p>
    </w:sdtContent>
  </w:sdt>
  <w:p w14:paraId="6F7C5499" w14:textId="77777777" w:rsidR="00124580" w:rsidRDefault="00124580">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FB860" w14:textId="77777777" w:rsidR="00124580" w:rsidRDefault="00124580" w:rsidP="00124580">
      <w:pPr>
        <w:spacing w:after="0" w:line="240" w:lineRule="auto"/>
      </w:pPr>
      <w:r>
        <w:separator/>
      </w:r>
    </w:p>
  </w:footnote>
  <w:footnote w:type="continuationSeparator" w:id="0">
    <w:p w14:paraId="3422C61B" w14:textId="77777777" w:rsidR="00124580" w:rsidRDefault="00124580" w:rsidP="001245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2D4"/>
    <w:rsid w:val="000322EE"/>
    <w:rsid w:val="000355C9"/>
    <w:rsid w:val="0005182A"/>
    <w:rsid w:val="00054B44"/>
    <w:rsid w:val="00066EBD"/>
    <w:rsid w:val="00067299"/>
    <w:rsid w:val="00076F17"/>
    <w:rsid w:val="00081CFF"/>
    <w:rsid w:val="00087D4F"/>
    <w:rsid w:val="00124580"/>
    <w:rsid w:val="0014544F"/>
    <w:rsid w:val="00167AB7"/>
    <w:rsid w:val="00172146"/>
    <w:rsid w:val="001A2E60"/>
    <w:rsid w:val="001A3E42"/>
    <w:rsid w:val="001C07C9"/>
    <w:rsid w:val="001D4723"/>
    <w:rsid w:val="00202B1D"/>
    <w:rsid w:val="00212CBA"/>
    <w:rsid w:val="002240D8"/>
    <w:rsid w:val="00280EF8"/>
    <w:rsid w:val="002958B6"/>
    <w:rsid w:val="002C261D"/>
    <w:rsid w:val="002C6013"/>
    <w:rsid w:val="002E4446"/>
    <w:rsid w:val="00307F95"/>
    <w:rsid w:val="00311AE5"/>
    <w:rsid w:val="00311D70"/>
    <w:rsid w:val="00320670"/>
    <w:rsid w:val="0036303E"/>
    <w:rsid w:val="00383A35"/>
    <w:rsid w:val="00394122"/>
    <w:rsid w:val="003977BB"/>
    <w:rsid w:val="003C5002"/>
    <w:rsid w:val="003D5019"/>
    <w:rsid w:val="003F7406"/>
    <w:rsid w:val="0040775A"/>
    <w:rsid w:val="00420379"/>
    <w:rsid w:val="00451A35"/>
    <w:rsid w:val="00473C2C"/>
    <w:rsid w:val="004805B0"/>
    <w:rsid w:val="0049068F"/>
    <w:rsid w:val="004A20B6"/>
    <w:rsid w:val="004A74C9"/>
    <w:rsid w:val="004B0170"/>
    <w:rsid w:val="004C7429"/>
    <w:rsid w:val="004C7812"/>
    <w:rsid w:val="0051016F"/>
    <w:rsid w:val="00565CCA"/>
    <w:rsid w:val="00573CE2"/>
    <w:rsid w:val="005D2EBB"/>
    <w:rsid w:val="00610081"/>
    <w:rsid w:val="00640576"/>
    <w:rsid w:val="00662667"/>
    <w:rsid w:val="006B44CC"/>
    <w:rsid w:val="006B4C9C"/>
    <w:rsid w:val="006F0AD2"/>
    <w:rsid w:val="006F18B6"/>
    <w:rsid w:val="0070052A"/>
    <w:rsid w:val="00706A17"/>
    <w:rsid w:val="00734CB1"/>
    <w:rsid w:val="007621EB"/>
    <w:rsid w:val="00781276"/>
    <w:rsid w:val="00782614"/>
    <w:rsid w:val="00784A7F"/>
    <w:rsid w:val="00786E04"/>
    <w:rsid w:val="007A36E0"/>
    <w:rsid w:val="007B26B2"/>
    <w:rsid w:val="007F58B0"/>
    <w:rsid w:val="00806916"/>
    <w:rsid w:val="008100BB"/>
    <w:rsid w:val="008209DF"/>
    <w:rsid w:val="00870668"/>
    <w:rsid w:val="008860EA"/>
    <w:rsid w:val="008A087D"/>
    <w:rsid w:val="008C4677"/>
    <w:rsid w:val="00906F1E"/>
    <w:rsid w:val="00907445"/>
    <w:rsid w:val="009131F0"/>
    <w:rsid w:val="00961DE3"/>
    <w:rsid w:val="00963420"/>
    <w:rsid w:val="00970352"/>
    <w:rsid w:val="009840A0"/>
    <w:rsid w:val="00984A4C"/>
    <w:rsid w:val="00990FEA"/>
    <w:rsid w:val="00994D84"/>
    <w:rsid w:val="009A2794"/>
    <w:rsid w:val="00A062F6"/>
    <w:rsid w:val="00A1223A"/>
    <w:rsid w:val="00A34B2E"/>
    <w:rsid w:val="00A43982"/>
    <w:rsid w:val="00A50A2D"/>
    <w:rsid w:val="00A55E20"/>
    <w:rsid w:val="00A64EF8"/>
    <w:rsid w:val="00A66BF4"/>
    <w:rsid w:val="00A71CDA"/>
    <w:rsid w:val="00AD25EC"/>
    <w:rsid w:val="00B066BA"/>
    <w:rsid w:val="00B24606"/>
    <w:rsid w:val="00B4677C"/>
    <w:rsid w:val="00B622E5"/>
    <w:rsid w:val="00B76898"/>
    <w:rsid w:val="00BB2A2D"/>
    <w:rsid w:val="00BC0D6C"/>
    <w:rsid w:val="00C20CF8"/>
    <w:rsid w:val="00C33F60"/>
    <w:rsid w:val="00C439A6"/>
    <w:rsid w:val="00C55F1B"/>
    <w:rsid w:val="00C96103"/>
    <w:rsid w:val="00CA379A"/>
    <w:rsid w:val="00CF72D4"/>
    <w:rsid w:val="00D01A23"/>
    <w:rsid w:val="00D031CC"/>
    <w:rsid w:val="00D06283"/>
    <w:rsid w:val="00D504AF"/>
    <w:rsid w:val="00D64314"/>
    <w:rsid w:val="00D744A7"/>
    <w:rsid w:val="00D9793D"/>
    <w:rsid w:val="00DA6C0A"/>
    <w:rsid w:val="00DC7629"/>
    <w:rsid w:val="00DF095C"/>
    <w:rsid w:val="00E65D4A"/>
    <w:rsid w:val="00E82171"/>
    <w:rsid w:val="00E93DA1"/>
    <w:rsid w:val="00EA0BA4"/>
    <w:rsid w:val="00EA0C72"/>
    <w:rsid w:val="00EA53FA"/>
    <w:rsid w:val="00ED3320"/>
    <w:rsid w:val="00F1559B"/>
    <w:rsid w:val="00F2766C"/>
    <w:rsid w:val="00F53B8E"/>
    <w:rsid w:val="00F64829"/>
    <w:rsid w:val="00F65D94"/>
    <w:rsid w:val="00FD11E6"/>
    <w:rsid w:val="00FD5E1D"/>
    <w:rsid w:val="00FE43EB"/>
    <w:rsid w:val="00FF00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68910"/>
  <w15:chartTrackingRefBased/>
  <w15:docId w15:val="{7B411A1E-30A7-47C6-8327-FA647D189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90F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F72D4"/>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a4">
    <w:name w:val="Strong"/>
    <w:basedOn w:val="a0"/>
    <w:uiPriority w:val="22"/>
    <w:qFormat/>
    <w:rsid w:val="00CF72D4"/>
    <w:rPr>
      <w:b/>
      <w:bCs/>
    </w:rPr>
  </w:style>
  <w:style w:type="character" w:customStyle="1" w:styleId="10">
    <w:name w:val="Заголовок 1 Знак"/>
    <w:basedOn w:val="a0"/>
    <w:link w:val="1"/>
    <w:uiPriority w:val="9"/>
    <w:rsid w:val="00990FEA"/>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990FEA"/>
    <w:pPr>
      <w:outlineLvl w:val="9"/>
    </w:pPr>
    <w:rPr>
      <w:kern w:val="0"/>
      <w:lang w:val="en-US"/>
      <w14:ligatures w14:val="none"/>
    </w:rPr>
  </w:style>
  <w:style w:type="paragraph" w:styleId="11">
    <w:name w:val="toc 1"/>
    <w:basedOn w:val="a"/>
    <w:next w:val="a"/>
    <w:autoRedefine/>
    <w:uiPriority w:val="39"/>
    <w:unhideWhenUsed/>
    <w:rsid w:val="00A43982"/>
    <w:pPr>
      <w:tabs>
        <w:tab w:val="right" w:leader="dot" w:pos="9016"/>
      </w:tabs>
      <w:spacing w:after="100" w:line="360" w:lineRule="auto"/>
      <w:jc w:val="both"/>
    </w:pPr>
    <w:rPr>
      <w:rFonts w:ascii="Times New Roman" w:hAnsi="Times New Roman" w:cs="Times New Roman"/>
      <w:b/>
      <w:sz w:val="24"/>
      <w:szCs w:val="24"/>
    </w:rPr>
  </w:style>
  <w:style w:type="character" w:styleId="a6">
    <w:name w:val="Hyperlink"/>
    <w:basedOn w:val="a0"/>
    <w:uiPriority w:val="99"/>
    <w:unhideWhenUsed/>
    <w:rsid w:val="00990FEA"/>
    <w:rPr>
      <w:color w:val="0563C1" w:themeColor="hyperlink"/>
      <w:u w:val="single"/>
    </w:rPr>
  </w:style>
  <w:style w:type="paragraph" w:styleId="a7">
    <w:name w:val="header"/>
    <w:basedOn w:val="a"/>
    <w:link w:val="a8"/>
    <w:uiPriority w:val="99"/>
    <w:unhideWhenUsed/>
    <w:rsid w:val="00124580"/>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124580"/>
  </w:style>
  <w:style w:type="paragraph" w:styleId="a9">
    <w:name w:val="footer"/>
    <w:basedOn w:val="a"/>
    <w:link w:val="aa"/>
    <w:uiPriority w:val="99"/>
    <w:unhideWhenUsed/>
    <w:rsid w:val="00124580"/>
    <w:pPr>
      <w:tabs>
        <w:tab w:val="center" w:pos="4513"/>
        <w:tab w:val="right" w:pos="9026"/>
      </w:tabs>
      <w:spacing w:after="0" w:line="240" w:lineRule="auto"/>
    </w:pPr>
  </w:style>
  <w:style w:type="character" w:customStyle="1" w:styleId="aa">
    <w:name w:val="Нижний колонтитул Знак"/>
    <w:basedOn w:val="a0"/>
    <w:link w:val="a9"/>
    <w:uiPriority w:val="99"/>
    <w:rsid w:val="00124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028753">
      <w:bodyDiv w:val="1"/>
      <w:marLeft w:val="0"/>
      <w:marRight w:val="0"/>
      <w:marTop w:val="0"/>
      <w:marBottom w:val="0"/>
      <w:divBdr>
        <w:top w:val="none" w:sz="0" w:space="0" w:color="auto"/>
        <w:left w:val="none" w:sz="0" w:space="0" w:color="auto"/>
        <w:bottom w:val="none" w:sz="0" w:space="0" w:color="auto"/>
        <w:right w:val="none" w:sz="0" w:space="0" w:color="auto"/>
      </w:divBdr>
    </w:div>
    <w:div w:id="647588651">
      <w:bodyDiv w:val="1"/>
      <w:marLeft w:val="0"/>
      <w:marRight w:val="0"/>
      <w:marTop w:val="0"/>
      <w:marBottom w:val="0"/>
      <w:divBdr>
        <w:top w:val="none" w:sz="0" w:space="0" w:color="auto"/>
        <w:left w:val="none" w:sz="0" w:space="0" w:color="auto"/>
        <w:bottom w:val="none" w:sz="0" w:space="0" w:color="auto"/>
        <w:right w:val="none" w:sz="0" w:space="0" w:color="auto"/>
      </w:divBdr>
    </w:div>
    <w:div w:id="731656668">
      <w:bodyDiv w:val="1"/>
      <w:marLeft w:val="0"/>
      <w:marRight w:val="0"/>
      <w:marTop w:val="0"/>
      <w:marBottom w:val="0"/>
      <w:divBdr>
        <w:top w:val="none" w:sz="0" w:space="0" w:color="auto"/>
        <w:left w:val="none" w:sz="0" w:space="0" w:color="auto"/>
        <w:bottom w:val="none" w:sz="0" w:space="0" w:color="auto"/>
        <w:right w:val="none" w:sz="0" w:space="0" w:color="auto"/>
      </w:divBdr>
    </w:div>
    <w:div w:id="779492061">
      <w:bodyDiv w:val="1"/>
      <w:marLeft w:val="0"/>
      <w:marRight w:val="0"/>
      <w:marTop w:val="0"/>
      <w:marBottom w:val="0"/>
      <w:divBdr>
        <w:top w:val="none" w:sz="0" w:space="0" w:color="auto"/>
        <w:left w:val="none" w:sz="0" w:space="0" w:color="auto"/>
        <w:bottom w:val="none" w:sz="0" w:space="0" w:color="auto"/>
        <w:right w:val="none" w:sz="0" w:space="0" w:color="auto"/>
      </w:divBdr>
    </w:div>
    <w:div w:id="918827181">
      <w:bodyDiv w:val="1"/>
      <w:marLeft w:val="0"/>
      <w:marRight w:val="0"/>
      <w:marTop w:val="0"/>
      <w:marBottom w:val="0"/>
      <w:divBdr>
        <w:top w:val="none" w:sz="0" w:space="0" w:color="auto"/>
        <w:left w:val="none" w:sz="0" w:space="0" w:color="auto"/>
        <w:bottom w:val="none" w:sz="0" w:space="0" w:color="auto"/>
        <w:right w:val="none" w:sz="0" w:space="0" w:color="auto"/>
      </w:divBdr>
    </w:div>
    <w:div w:id="922031913">
      <w:bodyDiv w:val="1"/>
      <w:marLeft w:val="0"/>
      <w:marRight w:val="0"/>
      <w:marTop w:val="0"/>
      <w:marBottom w:val="0"/>
      <w:divBdr>
        <w:top w:val="none" w:sz="0" w:space="0" w:color="auto"/>
        <w:left w:val="none" w:sz="0" w:space="0" w:color="auto"/>
        <w:bottom w:val="none" w:sz="0" w:space="0" w:color="auto"/>
        <w:right w:val="none" w:sz="0" w:space="0" w:color="auto"/>
      </w:divBdr>
      <w:divsChild>
        <w:div w:id="218175051">
          <w:marLeft w:val="0"/>
          <w:marRight w:val="0"/>
          <w:marTop w:val="0"/>
          <w:marBottom w:val="0"/>
          <w:divBdr>
            <w:top w:val="none" w:sz="0" w:space="0" w:color="auto"/>
            <w:left w:val="none" w:sz="0" w:space="0" w:color="auto"/>
            <w:bottom w:val="none" w:sz="0" w:space="0" w:color="auto"/>
            <w:right w:val="none" w:sz="0" w:space="0" w:color="auto"/>
          </w:divBdr>
        </w:div>
        <w:div w:id="1292008620">
          <w:marLeft w:val="0"/>
          <w:marRight w:val="0"/>
          <w:marTop w:val="0"/>
          <w:marBottom w:val="0"/>
          <w:divBdr>
            <w:top w:val="none" w:sz="0" w:space="0" w:color="auto"/>
            <w:left w:val="none" w:sz="0" w:space="0" w:color="auto"/>
            <w:bottom w:val="none" w:sz="0" w:space="0" w:color="auto"/>
            <w:right w:val="none" w:sz="0" w:space="0" w:color="auto"/>
          </w:divBdr>
        </w:div>
        <w:div w:id="1853565547">
          <w:marLeft w:val="0"/>
          <w:marRight w:val="0"/>
          <w:marTop w:val="0"/>
          <w:marBottom w:val="0"/>
          <w:divBdr>
            <w:top w:val="none" w:sz="0" w:space="0" w:color="auto"/>
            <w:left w:val="none" w:sz="0" w:space="0" w:color="auto"/>
            <w:bottom w:val="none" w:sz="0" w:space="0" w:color="auto"/>
            <w:right w:val="none" w:sz="0" w:space="0" w:color="auto"/>
          </w:divBdr>
        </w:div>
        <w:div w:id="1711147210">
          <w:marLeft w:val="0"/>
          <w:marRight w:val="0"/>
          <w:marTop w:val="0"/>
          <w:marBottom w:val="0"/>
          <w:divBdr>
            <w:top w:val="none" w:sz="0" w:space="0" w:color="auto"/>
            <w:left w:val="none" w:sz="0" w:space="0" w:color="auto"/>
            <w:bottom w:val="none" w:sz="0" w:space="0" w:color="auto"/>
            <w:right w:val="none" w:sz="0" w:space="0" w:color="auto"/>
          </w:divBdr>
        </w:div>
      </w:divsChild>
    </w:div>
    <w:div w:id="961494635">
      <w:bodyDiv w:val="1"/>
      <w:marLeft w:val="0"/>
      <w:marRight w:val="0"/>
      <w:marTop w:val="0"/>
      <w:marBottom w:val="0"/>
      <w:divBdr>
        <w:top w:val="none" w:sz="0" w:space="0" w:color="auto"/>
        <w:left w:val="none" w:sz="0" w:space="0" w:color="auto"/>
        <w:bottom w:val="none" w:sz="0" w:space="0" w:color="auto"/>
        <w:right w:val="none" w:sz="0" w:space="0" w:color="auto"/>
      </w:divBdr>
    </w:div>
    <w:div w:id="1239097725">
      <w:bodyDiv w:val="1"/>
      <w:marLeft w:val="0"/>
      <w:marRight w:val="0"/>
      <w:marTop w:val="0"/>
      <w:marBottom w:val="0"/>
      <w:divBdr>
        <w:top w:val="none" w:sz="0" w:space="0" w:color="auto"/>
        <w:left w:val="none" w:sz="0" w:space="0" w:color="auto"/>
        <w:bottom w:val="none" w:sz="0" w:space="0" w:color="auto"/>
        <w:right w:val="none" w:sz="0" w:space="0" w:color="auto"/>
      </w:divBdr>
    </w:div>
    <w:div w:id="1303000606">
      <w:bodyDiv w:val="1"/>
      <w:marLeft w:val="0"/>
      <w:marRight w:val="0"/>
      <w:marTop w:val="0"/>
      <w:marBottom w:val="0"/>
      <w:divBdr>
        <w:top w:val="none" w:sz="0" w:space="0" w:color="auto"/>
        <w:left w:val="none" w:sz="0" w:space="0" w:color="auto"/>
        <w:bottom w:val="none" w:sz="0" w:space="0" w:color="auto"/>
        <w:right w:val="none" w:sz="0" w:space="0" w:color="auto"/>
      </w:divBdr>
    </w:div>
    <w:div w:id="160094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1D976-3E82-4828-A9AE-05A91D183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1665</Words>
  <Characters>10173</Characters>
  <Application>Microsoft Office Word</Application>
  <DocSecurity>0</DocSecurity>
  <Lines>84</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bibliotecar</cp:lastModifiedBy>
  <cp:revision>4</cp:revision>
  <dcterms:created xsi:type="dcterms:W3CDTF">2023-10-25T06:21:00Z</dcterms:created>
  <dcterms:modified xsi:type="dcterms:W3CDTF">2023-11-02T06:33:00Z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5903b3c1-9135-4fef-a12d-506e5172ce02</vt:lpwstr>
  </property>
</Properties>
</file>