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Introduction Memory Theories Part A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In this essay, we will look at two theories around memory, and how they compare and contrast. The first theory we explore around memory will be the ‘ Multi-store memory model’ proposed by Atkinson and Shiffrin (1968). The second memory theory we will compare and contrast to this is ‘The Working memory model’  suggested by Baddely and Hitch (1974).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Multi-store memory model was proposed by Atkinson and Shiffrin (1968) which puts forward that there are three different memory stores, in a linear way that all have different jobs. The three main stores are sensory memory, short-term memory, and long-term memory. ‘Each store differs in the way information is processed (encoded) and how much information can be stored (capacity) and for how long (duration) </w:t>
      </w:r>
      <w:r w:rsidDel="00000000" w:rsidR="00000000" w:rsidRPr="00000000">
        <w:rPr>
          <w:rtl w:val="0"/>
        </w:rPr>
        <w:t xml:space="preserve"> (Mcleod, 2021). </w:t>
      </w:r>
    </w:p>
    <w:p w:rsidR="00000000" w:rsidDel="00000000" w:rsidP="00000000" w:rsidRDefault="00000000" w:rsidRPr="00000000" w14:paraId="00000007">
      <w:pPr>
        <w:rPr>
          <w:highlight w:val="magenta"/>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 Sensory memory store is only able to hold information for a short time, the short-term memory store has a lesser magnitude, with very minimal capacity, and the long-term memory store has an exhaustible capacity, locking in information for exceedingly vast durations of time’  </w:t>
      </w:r>
      <w:r w:rsidDel="00000000" w:rsidR="00000000" w:rsidRPr="00000000">
        <w:rPr>
          <w:rtl w:val="0"/>
        </w:rPr>
        <w:t xml:space="preserve">(Enswick and Kean, 2005). </w:t>
      </w:r>
    </w:p>
    <w:p w:rsidR="00000000" w:rsidDel="00000000" w:rsidP="00000000" w:rsidRDefault="00000000" w:rsidRPr="00000000" w14:paraId="00000009">
      <w:pPr>
        <w:rPr/>
      </w:pPr>
      <w:r w:rsidDel="00000000" w:rsidR="00000000" w:rsidRPr="00000000">
        <w:rPr>
          <w:rtl w:val="0"/>
        </w:rPr>
        <w:t xml:space="preserve">How does each memory store encode information, and for how long, ‘Encoding is a process in which information is dealt with so it can be sorted through, this enables it to be stored in the memory, there are three main ways in which information can be encoded, visual, acoustic, and semantic. However, if the information is of importance to an individual, the encoding process will happen, and rehearsal will take place of that information, as you will want to retrieve it again, whether that be a telephone number or a bus time. If it is not rehearsed, the memory is lost to displacement decay </w:t>
      </w:r>
      <w:r w:rsidDel="00000000" w:rsidR="00000000" w:rsidRPr="00000000">
        <w:rPr>
          <w:rtl w:val="0"/>
        </w:rPr>
        <w:t xml:space="preserve">(Mcleod, 2021). </w:t>
      </w:r>
    </w:p>
    <w:p w:rsidR="00000000" w:rsidDel="00000000" w:rsidP="00000000" w:rsidRDefault="00000000" w:rsidRPr="00000000" w14:paraId="0000000A">
      <w:pPr>
        <w:rPr/>
      </w:pPr>
      <w:r w:rsidDel="00000000" w:rsidR="00000000" w:rsidRPr="00000000">
        <w:rPr>
          <w:rtl w:val="0"/>
        </w:rPr>
        <w:t xml:space="preserve">The second memory theory we will be looking at is ‘The working memory’ proposed by Baddeley and Hitch (1974). They suggested that memory is not as straightforward as Atkinson and Shiffrin had proposed, and came to criticise the Multi-store memory model theory. Baddeley and Hitch’s theory looks at short-term memory only and it is the cognitive approach. They proposed that one can capture images in their mind in the short term, and use this as a mental sketch pad in an individual's mind to help with everyday tasks like problem-solving </w:t>
      </w:r>
      <w:r w:rsidDel="00000000" w:rsidR="00000000" w:rsidRPr="00000000">
        <w:rPr>
          <w:rtl w:val="0"/>
        </w:rPr>
        <w:t xml:space="preserve">( Jones, 2022). </w:t>
      </w:r>
    </w:p>
    <w:p w:rsidR="00000000" w:rsidDel="00000000" w:rsidP="00000000" w:rsidRDefault="00000000" w:rsidRPr="00000000" w14:paraId="0000000B">
      <w:pPr>
        <w:rPr/>
      </w:pPr>
      <w:r w:rsidDel="00000000" w:rsidR="00000000" w:rsidRPr="00000000">
        <w:rPr>
          <w:rtl w:val="0"/>
        </w:rPr>
        <w:t xml:space="preserve">The Multi-store memory theory is not as straightforward as we would have been led to believe by the research methods, which suggested it was a linear process, relatively straightforward, and not giving any thought to other processes involved as we encode information. The Working memory seems to have suggested and totally went against the theory of such simplicity, that actually it is not as straightforward as we think. There are a number of other factors that come into play with how we encode and process memories. Furthermore, the working memory model suggests that one can rehearse a memory and that memory will not necessarily go into decay as the multi-store memory has suggested.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To conclude, both these memory models seem to suggest the breakdown of our thoughts into different categories in our memory stores, however, both have their differences. Multi Store memory is not as straightforward as suggested, and Working memory suggests that our encoding process requires more encoding, rehearsal, visual, and phonological processes to help retain information.  </w:t>
      </w:r>
    </w:p>
    <w:p w:rsidR="00000000" w:rsidDel="00000000" w:rsidP="00000000" w:rsidRDefault="00000000" w:rsidRPr="00000000" w14:paraId="0000000E">
      <w:pPr>
        <w:rPr>
          <w:highlight w:val="magenta"/>
        </w:rPr>
      </w:pPr>
      <w:r w:rsidDel="00000000" w:rsidR="00000000" w:rsidRPr="00000000">
        <w:rPr>
          <w:rtl w:val="0"/>
        </w:rPr>
      </w:r>
    </w:p>
    <w:p w:rsidR="00000000" w:rsidDel="00000000" w:rsidP="00000000" w:rsidRDefault="00000000" w:rsidRPr="00000000" w14:paraId="0000000F">
      <w:pPr>
        <w:rPr>
          <w:highlight w:val="magenta"/>
        </w:rPr>
      </w:pPr>
      <w:r w:rsidDel="00000000" w:rsidR="00000000" w:rsidRPr="00000000">
        <w:rPr>
          <w:rtl w:val="0"/>
        </w:rPr>
      </w:r>
    </w:p>
    <w:p w:rsidR="00000000" w:rsidDel="00000000" w:rsidP="00000000" w:rsidRDefault="00000000" w:rsidRPr="00000000" w14:paraId="00000010">
      <w:pPr>
        <w:rPr>
          <w:highlight w:val="magenta"/>
        </w:rPr>
      </w:pPr>
      <w:r w:rsidDel="00000000" w:rsidR="00000000" w:rsidRPr="00000000">
        <w:rPr>
          <w:color w:val="222222"/>
          <w:sz w:val="20"/>
          <w:szCs w:val="20"/>
          <w:highlight w:val="white"/>
          <w:rtl w:val="0"/>
        </w:rPr>
        <w:t xml:space="preserve">Baddeley, A. (1992). Working memory. </w:t>
      </w:r>
      <w:r w:rsidDel="00000000" w:rsidR="00000000" w:rsidRPr="00000000">
        <w:rPr>
          <w:i w:val="1"/>
          <w:color w:val="222222"/>
          <w:sz w:val="20"/>
          <w:szCs w:val="20"/>
          <w:highlight w:val="white"/>
          <w:rtl w:val="0"/>
        </w:rPr>
        <w:t xml:space="preserve">Science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255</w:t>
      </w:r>
      <w:r w:rsidDel="00000000" w:rsidR="00000000" w:rsidRPr="00000000">
        <w:rPr>
          <w:color w:val="222222"/>
          <w:sz w:val="20"/>
          <w:szCs w:val="20"/>
          <w:highlight w:val="white"/>
          <w:rtl w:val="0"/>
        </w:rPr>
        <w:t xml:space="preserve">(5044), 556-559.Baddeley, A. (1992). Working memory. </w:t>
      </w:r>
      <w:r w:rsidDel="00000000" w:rsidR="00000000" w:rsidRPr="00000000">
        <w:rPr>
          <w:i w:val="1"/>
          <w:color w:val="222222"/>
          <w:sz w:val="20"/>
          <w:szCs w:val="20"/>
          <w:highlight w:val="white"/>
          <w:rtl w:val="0"/>
        </w:rPr>
        <w:t xml:space="preserve">Science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255</w:t>
      </w:r>
      <w:r w:rsidDel="00000000" w:rsidR="00000000" w:rsidRPr="00000000">
        <w:rPr>
          <w:color w:val="222222"/>
          <w:sz w:val="20"/>
          <w:szCs w:val="20"/>
          <w:highlight w:val="white"/>
          <w:rtl w:val="0"/>
        </w:rPr>
        <w:t xml:space="preserve">(5044), 556-559.Baddeley, A. (1992). Working memory. </w:t>
      </w:r>
      <w:r w:rsidDel="00000000" w:rsidR="00000000" w:rsidRPr="00000000">
        <w:rPr>
          <w:i w:val="1"/>
          <w:color w:val="222222"/>
          <w:sz w:val="20"/>
          <w:szCs w:val="20"/>
          <w:highlight w:val="white"/>
          <w:rtl w:val="0"/>
        </w:rPr>
        <w:t xml:space="preserve">Science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255</w:t>
      </w:r>
      <w:r w:rsidDel="00000000" w:rsidR="00000000" w:rsidRPr="00000000">
        <w:rPr>
          <w:color w:val="222222"/>
          <w:sz w:val="20"/>
          <w:szCs w:val="20"/>
          <w:highlight w:val="white"/>
          <w:rtl w:val="0"/>
        </w:rPr>
        <w:t xml:space="preserve">(5044), 556-559.</w:t>
      </w: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color w:val="222222"/>
          <w:sz w:val="20"/>
          <w:szCs w:val="20"/>
          <w:highlight w:val="white"/>
        </w:rPr>
      </w:pPr>
      <w:r w:rsidDel="00000000" w:rsidR="00000000" w:rsidRPr="00000000">
        <w:rPr>
          <w:color w:val="222222"/>
          <w:sz w:val="20"/>
          <w:szCs w:val="20"/>
          <w:highlight w:val="white"/>
          <w:rtl w:val="0"/>
        </w:rPr>
        <w:t xml:space="preserve">McLeod, S. A. (2007). Stages of memory-encoding storage and retrieval. </w:t>
      </w:r>
      <w:r w:rsidDel="00000000" w:rsidR="00000000" w:rsidRPr="00000000">
        <w:rPr>
          <w:i w:val="1"/>
          <w:color w:val="222222"/>
          <w:sz w:val="20"/>
          <w:szCs w:val="20"/>
          <w:highlight w:val="white"/>
          <w:rtl w:val="0"/>
        </w:rPr>
        <w:t xml:space="preserve">Retrieved</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21</w:t>
      </w:r>
      <w:r w:rsidDel="00000000" w:rsidR="00000000" w:rsidRPr="00000000">
        <w:rPr>
          <w:color w:val="222222"/>
          <w:sz w:val="20"/>
          <w:szCs w:val="20"/>
          <w:highlight w:val="white"/>
          <w:rtl w:val="0"/>
        </w:rPr>
        <w:t xml:space="preserve">, 2015.</w:t>
      </w:r>
    </w:p>
    <w:p w:rsidR="00000000" w:rsidDel="00000000" w:rsidP="00000000" w:rsidRDefault="00000000" w:rsidRPr="00000000" w14:paraId="00000013">
      <w:pPr>
        <w:rPr>
          <w:color w:val="222222"/>
          <w:sz w:val="20"/>
          <w:szCs w:val="20"/>
          <w:highlight w:val="white"/>
        </w:rPr>
      </w:pPr>
      <w:r w:rsidDel="00000000" w:rsidR="00000000" w:rsidRPr="00000000">
        <w:rPr>
          <w:rtl w:val="0"/>
        </w:rPr>
      </w:r>
    </w:p>
    <w:p w:rsidR="00000000" w:rsidDel="00000000" w:rsidP="00000000" w:rsidRDefault="00000000" w:rsidRPr="00000000" w14:paraId="00000014">
      <w:pPr>
        <w:rPr>
          <w:color w:val="222222"/>
          <w:sz w:val="20"/>
          <w:szCs w:val="20"/>
        </w:rPr>
      </w:pPr>
      <w:r w:rsidDel="00000000" w:rsidR="00000000" w:rsidRPr="00000000">
        <w:rPr>
          <w:rtl w:val="0"/>
        </w:rPr>
        <w:t xml:space="preserve">Jones, S. (2022)</w:t>
      </w:r>
      <w:r w:rsidDel="00000000" w:rsidR="00000000" w:rsidRPr="00000000">
        <w:rPr>
          <w:rtl w:val="0"/>
        </w:rPr>
        <w:t xml:space="preserve"> </w:t>
      </w:r>
      <w:r w:rsidDel="00000000" w:rsidR="00000000" w:rsidRPr="00000000">
        <w:rPr>
          <w:i w:val="1"/>
          <w:rtl w:val="0"/>
        </w:rPr>
        <w:t xml:space="preserve">lecture 2 Memory. </w:t>
      </w:r>
      <w:r w:rsidDel="00000000" w:rsidR="00000000" w:rsidRPr="00000000">
        <w:rPr>
          <w:rtl w:val="0"/>
        </w:rPr>
        <w:t xml:space="preserve">Retrieved 16 November 2022</w:t>
      </w:r>
      <w:r w:rsidDel="00000000" w:rsidR="00000000" w:rsidRPr="00000000">
        <w:rPr>
          <w:rtl w:val="0"/>
        </w:rPr>
      </w:r>
    </w:p>
    <w:p w:rsidR="00000000" w:rsidDel="00000000" w:rsidP="00000000" w:rsidRDefault="00000000" w:rsidRPr="00000000" w14:paraId="00000015">
      <w:pPr>
        <w:rPr>
          <w:color w:val="222222"/>
          <w:sz w:val="20"/>
          <w:szCs w:val="20"/>
          <w:highlight w:val="white"/>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Cognitive psychology (book) learning and memory Michael W. Eysenck and Mark T </w:t>
      </w:r>
    </w:p>
    <w:p w:rsidR="00000000" w:rsidDel="00000000" w:rsidP="00000000" w:rsidRDefault="00000000" w:rsidRPr="00000000" w14:paraId="00000017">
      <w:pPr>
        <w:rPr/>
      </w:pPr>
      <w:r w:rsidDel="00000000" w:rsidR="00000000" w:rsidRPr="00000000">
        <w:rPr>
          <w:rtl w:val="0"/>
        </w:rPr>
        <w:t xml:space="preserve">Keane (2005</w:t>
      </w:r>
    </w:p>
    <w:p w:rsidR="00000000" w:rsidDel="00000000" w:rsidP="00000000" w:rsidRDefault="00000000" w:rsidRPr="00000000" w14:paraId="00000018">
      <w:pPr>
        <w:rPr/>
      </w:pPr>
      <w:r w:rsidDel="00000000" w:rsidR="00000000" w:rsidRPr="00000000">
        <w:rPr>
          <w:rtl w:val="0"/>
        </w:rPr>
        <w:t xml:space="preserve">Eysenck M, Keane M. 2005. </w:t>
      </w:r>
      <w:r w:rsidDel="00000000" w:rsidR="00000000" w:rsidRPr="00000000">
        <w:rPr>
          <w:i w:val="1"/>
          <w:rtl w:val="0"/>
        </w:rPr>
        <w:t xml:space="preserve">Cognitive psychology learning and memory. </w:t>
      </w:r>
      <w:r w:rsidDel="00000000" w:rsidR="00000000" w:rsidRPr="00000000">
        <w:rPr>
          <w:rtl w:val="0"/>
        </w:rPr>
        <w:t xml:space="preserve">Source, Book. Retrieved 16 November 2022</w:t>
      </w:r>
    </w:p>
    <w:p w:rsidR="00000000" w:rsidDel="00000000" w:rsidP="00000000" w:rsidRDefault="00000000" w:rsidRPr="00000000" w14:paraId="00000019">
      <w:pPr>
        <w:rPr/>
      </w:pPr>
      <w:r w:rsidDel="00000000" w:rsidR="00000000" w:rsidRPr="00000000">
        <w:rPr>
          <w:rtl w:val="0"/>
        </w:rPr>
        <w:t xml:space="preserve">   </w:t>
      </w:r>
    </w:p>
    <w:p w:rsidR="00000000" w:rsidDel="00000000" w:rsidP="00000000" w:rsidRDefault="00000000" w:rsidRPr="00000000" w14:paraId="0000001A">
      <w:pPr>
        <w:rPr>
          <w:highlight w:val="magenta"/>
        </w:rPr>
      </w:pPr>
      <w:r w:rsidDel="00000000" w:rsidR="00000000" w:rsidRPr="00000000">
        <w:rPr>
          <w:rtl w:val="0"/>
        </w:rPr>
      </w:r>
    </w:p>
    <w:p w:rsidR="00000000" w:rsidDel="00000000" w:rsidP="00000000" w:rsidRDefault="00000000" w:rsidRPr="00000000" w14:paraId="0000001B">
      <w:pPr>
        <w:rPr>
          <w:color w:val="222222"/>
          <w:sz w:val="20"/>
          <w:szCs w:val="20"/>
          <w:highlight w:val="white"/>
        </w:rPr>
      </w:pPr>
      <w:r w:rsidDel="00000000" w:rsidR="00000000" w:rsidRPr="00000000">
        <w:rPr>
          <w:color w:val="222222"/>
          <w:sz w:val="20"/>
          <w:szCs w:val="20"/>
          <w:highlight w:val="white"/>
          <w:rtl w:val="0"/>
        </w:rPr>
        <w:t xml:space="preserve">Theories of Attention and Perception </w:t>
      </w:r>
    </w:p>
    <w:p w:rsidR="00000000" w:rsidDel="00000000" w:rsidP="00000000" w:rsidRDefault="00000000" w:rsidRPr="00000000" w14:paraId="0000001C">
      <w:pPr>
        <w:rPr>
          <w:color w:val="222222"/>
          <w:sz w:val="20"/>
          <w:szCs w:val="20"/>
          <w:highlight w:val="white"/>
        </w:rPr>
      </w:pPr>
      <w:r w:rsidDel="00000000" w:rsidR="00000000" w:rsidRPr="00000000">
        <w:rPr>
          <w:rtl w:val="0"/>
        </w:rPr>
      </w:r>
    </w:p>
    <w:p w:rsidR="00000000" w:rsidDel="00000000" w:rsidP="00000000" w:rsidRDefault="00000000" w:rsidRPr="00000000" w14:paraId="0000001D">
      <w:pPr>
        <w:rPr>
          <w:color w:val="222222"/>
          <w:sz w:val="20"/>
          <w:szCs w:val="20"/>
          <w:highlight w:val="white"/>
        </w:rPr>
      </w:pPr>
      <w:r w:rsidDel="00000000" w:rsidR="00000000" w:rsidRPr="00000000">
        <w:rPr>
          <w:color w:val="222222"/>
          <w:sz w:val="20"/>
          <w:szCs w:val="20"/>
          <w:highlight w:val="white"/>
          <w:rtl w:val="0"/>
        </w:rPr>
        <w:t xml:space="preserve">In this essay, we will be looking at theories of attention and perception and how we perceive objects around us. Can we really multitask and give each individual task our full attention? We will be looking at research around this. Also, how do we perceive things around us</w:t>
      </w:r>
      <w:r w:rsidDel="00000000" w:rsidR="00000000" w:rsidRPr="00000000">
        <w:rPr>
          <w:color w:val="222222"/>
          <w:sz w:val="20"/>
          <w:szCs w:val="20"/>
          <w:highlight w:val="white"/>
          <w:rtl w:val="0"/>
        </w:rPr>
        <w:t xml:space="preserve">, in</w:t>
      </w:r>
      <w:r w:rsidDel="00000000" w:rsidR="00000000" w:rsidRPr="00000000">
        <w:rPr>
          <w:color w:val="222222"/>
          <w:sz w:val="20"/>
          <w:szCs w:val="20"/>
          <w:highlight w:val="white"/>
          <w:rtl w:val="0"/>
        </w:rPr>
        <w:t xml:space="preserve"> the second part of this essay we will be looking at “change blindness” and how studies have shown this phenomenon really does exist. </w:t>
      </w:r>
    </w:p>
    <w:p w:rsidR="00000000" w:rsidDel="00000000" w:rsidP="00000000" w:rsidRDefault="00000000" w:rsidRPr="00000000" w14:paraId="0000001E">
      <w:pPr>
        <w:rPr>
          <w:color w:val="222222"/>
          <w:sz w:val="20"/>
          <w:szCs w:val="20"/>
          <w:highlight w:val="white"/>
        </w:rPr>
      </w:pPr>
      <w:r w:rsidDel="00000000" w:rsidR="00000000" w:rsidRPr="00000000">
        <w:rPr>
          <w:rtl w:val="0"/>
        </w:rPr>
      </w:r>
    </w:p>
    <w:p w:rsidR="00000000" w:rsidDel="00000000" w:rsidP="00000000" w:rsidRDefault="00000000" w:rsidRPr="00000000" w14:paraId="0000001F">
      <w:pPr>
        <w:rPr>
          <w:color w:val="222222"/>
          <w:sz w:val="20"/>
          <w:szCs w:val="20"/>
          <w:highlight w:val="white"/>
        </w:rPr>
      </w:pPr>
      <w:r w:rsidDel="00000000" w:rsidR="00000000" w:rsidRPr="00000000">
        <w:rPr>
          <w:color w:val="222222"/>
          <w:sz w:val="20"/>
          <w:szCs w:val="20"/>
          <w:highlight w:val="white"/>
          <w:rtl w:val="0"/>
        </w:rPr>
        <w:t xml:space="preserve">Let us look at divided attention and multitasking. What research suggests when it comes to giving more than one thing our attention, is that it affects our ability to concentrate on each task. </w:t>
      </w:r>
    </w:p>
    <w:p w:rsidR="00000000" w:rsidDel="00000000" w:rsidP="00000000" w:rsidRDefault="00000000" w:rsidRPr="00000000" w14:paraId="00000020">
      <w:pPr>
        <w:rPr>
          <w:color w:val="222222"/>
          <w:sz w:val="20"/>
          <w:szCs w:val="20"/>
          <w:highlight w:val="white"/>
        </w:rPr>
      </w:pPr>
      <w:r w:rsidDel="00000000" w:rsidR="00000000" w:rsidRPr="00000000">
        <w:rPr>
          <w:color w:val="222222"/>
          <w:sz w:val="20"/>
          <w:szCs w:val="20"/>
          <w:highlight w:val="white"/>
          <w:rtl w:val="0"/>
        </w:rPr>
        <w:t xml:space="preserve">We are all probably very aware that there are laws put in place to not use your phone while driving, and not text while driving, as it is more likely you will have an accident if you are not concentrating fully on the road ahead. We will now look at studies and research behind this. </w:t>
      </w:r>
    </w:p>
    <w:p w:rsidR="00000000" w:rsidDel="00000000" w:rsidP="00000000" w:rsidRDefault="00000000" w:rsidRPr="00000000" w14:paraId="00000021">
      <w:pPr>
        <w:rPr>
          <w:color w:val="222222"/>
          <w:sz w:val="20"/>
          <w:szCs w:val="20"/>
        </w:rPr>
      </w:pPr>
      <w:r w:rsidDel="00000000" w:rsidR="00000000" w:rsidRPr="00000000">
        <w:rPr>
          <w:color w:val="222222"/>
          <w:sz w:val="20"/>
          <w:szCs w:val="20"/>
          <w:highlight w:val="white"/>
          <w:rtl w:val="0"/>
        </w:rPr>
        <w:t xml:space="preserve">It is believed that in 2018 there were around 400,000 individuals who were injured in accidents caused by distracted driving, it is suggested that drivers who are less experienced behind the wheel are more likely to be involved in an accident while partaking in texting while driving, however, this does not mean that older more experienced drivers are not at risk, as they are also </w:t>
      </w:r>
      <w:r w:rsidDel="00000000" w:rsidR="00000000" w:rsidRPr="00000000">
        <w:rPr>
          <w:color w:val="222222"/>
          <w:sz w:val="20"/>
          <w:szCs w:val="20"/>
          <w:rtl w:val="0"/>
        </w:rPr>
        <w:t xml:space="preserve">( Tholen 2021)</w:t>
      </w:r>
    </w:p>
    <w:p w:rsidR="00000000" w:rsidDel="00000000" w:rsidP="00000000" w:rsidRDefault="00000000" w:rsidRPr="00000000" w14:paraId="00000022">
      <w:pPr>
        <w:rPr>
          <w:color w:val="222222"/>
          <w:sz w:val="20"/>
          <w:szCs w:val="20"/>
        </w:rPr>
      </w:pPr>
      <w:r w:rsidDel="00000000" w:rsidR="00000000" w:rsidRPr="00000000">
        <w:rPr>
          <w:color w:val="222222"/>
          <w:sz w:val="20"/>
          <w:szCs w:val="20"/>
          <w:rtl w:val="0"/>
        </w:rPr>
        <w:t xml:space="preserve">The AA website has suggested that Texting while driving is very dangerous and has pointed out three reasons why this links to attention and multitasking, doing more than one thing at a time. They have stated ‘</w:t>
      </w:r>
      <w:r w:rsidDel="00000000" w:rsidR="00000000" w:rsidRPr="00000000">
        <w:rPr>
          <w:color w:val="21252d"/>
          <w:sz w:val="21"/>
          <w:szCs w:val="21"/>
          <w:rtl w:val="0"/>
        </w:rPr>
        <w:t xml:space="preserve">distraction’</w:t>
      </w:r>
      <w:r w:rsidDel="00000000" w:rsidR="00000000" w:rsidRPr="00000000">
        <w:rPr>
          <w:b w:val="1"/>
          <w:color w:val="21252d"/>
          <w:sz w:val="21"/>
          <w:szCs w:val="21"/>
          <w:rtl w:val="0"/>
        </w:rPr>
        <w:t xml:space="preserve"> </w:t>
      </w:r>
      <w:r w:rsidDel="00000000" w:rsidR="00000000" w:rsidRPr="00000000">
        <w:rPr>
          <w:color w:val="21252d"/>
          <w:sz w:val="21"/>
          <w:szCs w:val="21"/>
          <w:rtl w:val="0"/>
        </w:rPr>
        <w:t xml:space="preserve">as the first while </w:t>
      </w:r>
      <w:r w:rsidDel="00000000" w:rsidR="00000000" w:rsidRPr="00000000">
        <w:rPr>
          <w:color w:val="21252d"/>
          <w:sz w:val="21"/>
          <w:szCs w:val="21"/>
          <w:rtl w:val="0"/>
        </w:rPr>
        <w:t xml:space="preserve">driving, using your phone requires you to concentrate on two ‘thinking’ tasks at once, which our brains are not programmed to do effectively, as well as p</w:t>
      </w:r>
      <w:r w:rsidDel="00000000" w:rsidR="00000000" w:rsidRPr="00000000">
        <w:rPr>
          <w:color w:val="21252d"/>
          <w:sz w:val="21"/>
          <w:szCs w:val="21"/>
          <w:highlight w:val="white"/>
          <w:rtl w:val="0"/>
        </w:rPr>
        <w:t xml:space="preserve">hysical impairment. Secondly, holding your phone leaves only one hand in control of the car, and thirdly visual impairment, glancing down at your phone means taking your eyes off the road. Even looking away for a couple of seconds means you miss whole stretches of road, which increases your chance of a collision”</w:t>
      </w:r>
      <w:r w:rsidDel="00000000" w:rsidR="00000000" w:rsidRPr="00000000">
        <w:rPr>
          <w:color w:val="21252d"/>
          <w:sz w:val="21"/>
          <w:szCs w:val="21"/>
          <w:rtl w:val="0"/>
        </w:rPr>
        <w:t xml:space="preserve"> </w:t>
      </w:r>
      <w:r w:rsidDel="00000000" w:rsidR="00000000" w:rsidRPr="00000000">
        <w:rPr>
          <w:color w:val="21252d"/>
          <w:sz w:val="21"/>
          <w:szCs w:val="21"/>
          <w:rtl w:val="0"/>
        </w:rPr>
        <w:t xml:space="preserve">(AA, 2022)</w:t>
      </w:r>
      <w:r w:rsidDel="00000000" w:rsidR="00000000" w:rsidRPr="00000000">
        <w:rPr>
          <w:color w:val="21252d"/>
          <w:sz w:val="21"/>
          <w:szCs w:val="21"/>
          <w:rtl w:val="0"/>
        </w:rPr>
        <w:t xml:space="preserve">.</w:t>
      </w:r>
      <w:r w:rsidDel="00000000" w:rsidR="00000000" w:rsidRPr="00000000">
        <w:rPr>
          <w:color w:val="21252d"/>
          <w:sz w:val="21"/>
          <w:szCs w:val="21"/>
          <w:highlight w:val="white"/>
          <w:rtl w:val="0"/>
        </w:rPr>
        <w:t xml:space="preserve"> The advice AA gives on their website relates to multitasking, and attention and they suggest multi-tasking outside the car. If you need to call someone, call before you leave, text before you drive, or when you get to a service station</w:t>
      </w:r>
      <w:r w:rsidDel="00000000" w:rsidR="00000000" w:rsidRPr="00000000">
        <w:rPr>
          <w:color w:val="21252d"/>
          <w:sz w:val="21"/>
          <w:szCs w:val="21"/>
          <w:rtl w:val="0"/>
        </w:rPr>
        <w:t xml:space="preserve"> </w:t>
      </w:r>
      <w:r w:rsidDel="00000000" w:rsidR="00000000" w:rsidRPr="00000000">
        <w:rPr>
          <w:color w:val="21252d"/>
          <w:sz w:val="21"/>
          <w:szCs w:val="21"/>
          <w:rtl w:val="0"/>
        </w:rPr>
        <w:t xml:space="preserve">(AA, 2022).</w:t>
      </w:r>
      <w:r w:rsidDel="00000000" w:rsidR="00000000" w:rsidRPr="00000000">
        <w:rPr>
          <w:rtl w:val="0"/>
        </w:rPr>
      </w:r>
    </w:p>
    <w:p w:rsidR="00000000" w:rsidDel="00000000" w:rsidP="00000000" w:rsidRDefault="00000000" w:rsidRPr="00000000" w14:paraId="00000023">
      <w:pPr>
        <w:rPr>
          <w:color w:val="222222"/>
          <w:sz w:val="20"/>
          <w:szCs w:val="20"/>
        </w:rPr>
      </w:pPr>
      <w:r w:rsidDel="00000000" w:rsidR="00000000" w:rsidRPr="00000000">
        <w:rPr>
          <w:color w:val="222222"/>
          <w:sz w:val="20"/>
          <w:szCs w:val="20"/>
          <w:highlight w:val="white"/>
          <w:rtl w:val="0"/>
        </w:rPr>
        <w:t xml:space="preserve">Multitasking is giving attention to two or more things at one time, and probably thinking you are giving them your full attention, however, you are not. Multitasking research has suggested that you are less productive in your tasks if you are not giving them your full undivided attention. It may seem like you are accomplishing many things at once, but what is really going on is your attention to each task is being shifted and because of this distraction you are simply not giving it your one hundred percent attention and focus, hence less productivity, and distraction </w:t>
      </w:r>
      <w:r w:rsidDel="00000000" w:rsidR="00000000" w:rsidRPr="00000000">
        <w:rPr>
          <w:color w:val="222222"/>
          <w:sz w:val="20"/>
          <w:szCs w:val="20"/>
          <w:rtl w:val="0"/>
        </w:rPr>
        <w:t xml:space="preserve">(Cherry, 2021). </w:t>
      </w:r>
    </w:p>
    <w:p w:rsidR="00000000" w:rsidDel="00000000" w:rsidP="00000000" w:rsidRDefault="00000000" w:rsidRPr="00000000" w14:paraId="00000024">
      <w:pPr>
        <w:rPr>
          <w:color w:val="222222"/>
          <w:sz w:val="20"/>
          <w:szCs w:val="20"/>
          <w:highlight w:val="yellow"/>
        </w:rPr>
      </w:pPr>
      <w:r w:rsidDel="00000000" w:rsidR="00000000" w:rsidRPr="00000000">
        <w:rPr>
          <w:rtl w:val="0"/>
        </w:rPr>
      </w:r>
    </w:p>
    <w:p w:rsidR="00000000" w:rsidDel="00000000" w:rsidP="00000000" w:rsidRDefault="00000000" w:rsidRPr="00000000" w14:paraId="00000025">
      <w:pPr>
        <w:rPr>
          <w:color w:val="222222"/>
          <w:sz w:val="20"/>
          <w:szCs w:val="20"/>
        </w:rPr>
      </w:pPr>
      <w:r w:rsidDel="00000000" w:rsidR="00000000" w:rsidRPr="00000000">
        <w:rPr>
          <w:color w:val="222222"/>
          <w:sz w:val="20"/>
          <w:szCs w:val="20"/>
          <w:rtl w:val="0"/>
        </w:rPr>
        <w:t xml:space="preserve">We will now have a look into the phenomenon that is known as “Change blindness” </w:t>
      </w:r>
      <w:r w:rsidDel="00000000" w:rsidR="00000000" w:rsidRPr="00000000">
        <w:rPr>
          <w:color w:val="222222"/>
          <w:sz w:val="20"/>
          <w:szCs w:val="20"/>
          <w:rtl w:val="0"/>
        </w:rPr>
        <w:t xml:space="preserve">this</w:t>
      </w:r>
      <w:r w:rsidDel="00000000" w:rsidR="00000000" w:rsidRPr="00000000">
        <w:rPr>
          <w:color w:val="222222"/>
          <w:sz w:val="20"/>
          <w:szCs w:val="20"/>
          <w:rtl w:val="0"/>
        </w:rPr>
        <w:t xml:space="preserve"> is a fascinating subject, and many studies have been done to support its theories. While an individual could be watching a video on “change blindness” the reporter may have changed her top from yellow to green by the end of the video. However, the watcher was not aware until they were told that the reporter had changed her top, that is just one example of how “change blindness” occurs. “Given the strength of its effects and its tight connection with attention, change blindness appears to be a powerful way of exploring the nature of visual attention and the role it plays in our perception of the world (Rensink, 2022). There have been a number of magic acts on television, whereby the magician would end his show in a blue t-shirt, however, the audience was surprised when he revealed he actually started out the act in a white t-shirt, most people are surprised when they find out that they missed this change happening, this is probably because they were focused on something else that the magician was doing, so missed it completely. There have been other studies done where participants would look at a picture and be told that something will change in that picture, now no matter how much the person concentrates on that picture, they can still miss the change that has taken place. Why does change blindness occur in the brain. It is quite simple actually, that we do not give everything our absolute attention, and our capacity to take in every single thing in our environments is just not feasible (J. Clin, 2011)</w:t>
      </w:r>
    </w:p>
    <w:p w:rsidR="00000000" w:rsidDel="00000000" w:rsidP="00000000" w:rsidRDefault="00000000" w:rsidRPr="00000000" w14:paraId="00000026">
      <w:pPr>
        <w:rPr>
          <w:color w:val="222222"/>
          <w:sz w:val="20"/>
          <w:szCs w:val="20"/>
          <w:highlight w:val="yellow"/>
        </w:rPr>
      </w:pPr>
      <w:r w:rsidDel="00000000" w:rsidR="00000000" w:rsidRPr="00000000">
        <w:rPr>
          <w:rtl w:val="0"/>
        </w:rPr>
      </w:r>
    </w:p>
    <w:p w:rsidR="00000000" w:rsidDel="00000000" w:rsidP="00000000" w:rsidRDefault="00000000" w:rsidRPr="00000000" w14:paraId="00000027">
      <w:pPr>
        <w:rPr>
          <w:color w:val="222222"/>
          <w:sz w:val="20"/>
          <w:szCs w:val="20"/>
        </w:rPr>
      </w:pPr>
      <w:r w:rsidDel="00000000" w:rsidR="00000000" w:rsidRPr="00000000">
        <w:rPr>
          <w:color w:val="222222"/>
          <w:sz w:val="20"/>
          <w:szCs w:val="20"/>
          <w:rtl w:val="0"/>
        </w:rPr>
        <w:t xml:space="preserve">To conclude, looking at multi-tasking, it is obvious that it is not always productive, we may think doing five things at once is remarkable but as stated, divided attention is not always the best for productivity. Not giving one thing our upmost attention as stated here can, in driving a vehicle, be life threatening, however, one can multitask doing jobs around the house which may not cause death, but may reduce productivity. </w:t>
      </w:r>
    </w:p>
    <w:p w:rsidR="00000000" w:rsidDel="00000000" w:rsidP="00000000" w:rsidRDefault="00000000" w:rsidRPr="00000000" w14:paraId="00000028">
      <w:pPr>
        <w:rPr>
          <w:color w:val="222222"/>
          <w:sz w:val="20"/>
          <w:szCs w:val="20"/>
        </w:rPr>
      </w:pPr>
      <w:r w:rsidDel="00000000" w:rsidR="00000000" w:rsidRPr="00000000">
        <w:rPr>
          <w:color w:val="222222"/>
          <w:sz w:val="20"/>
          <w:szCs w:val="20"/>
          <w:rtl w:val="0"/>
        </w:rPr>
        <w:t xml:space="preserve">The phenomenom of Change blindness is an interesting concept, for one to have both eyes looking at a screen and not to see any changes that happen right in front of them is fascinating. One can be concentrating on the motion of objects or movements of objects around them, and totally miss a massive change within all of that. It was also stated that no matter how much an individual would concentrate and look for change, they would still probably miss it. We may think we perceive objects around us very well, and that we are very aware of our environment and objects around us, but studies have shown this is not the case at all. </w:t>
      </w:r>
    </w:p>
    <w:p w:rsidR="00000000" w:rsidDel="00000000" w:rsidP="00000000" w:rsidRDefault="00000000" w:rsidRPr="00000000" w14:paraId="00000029">
      <w:pPr>
        <w:rPr>
          <w:color w:val="222222"/>
          <w:sz w:val="20"/>
          <w:szCs w:val="20"/>
          <w:highlight w:val="yellow"/>
        </w:rPr>
      </w:pPr>
      <w:r w:rsidDel="00000000" w:rsidR="00000000" w:rsidRPr="00000000">
        <w:rPr>
          <w:rtl w:val="0"/>
        </w:rPr>
      </w:r>
    </w:p>
    <w:p w:rsidR="00000000" w:rsidDel="00000000" w:rsidP="00000000" w:rsidRDefault="00000000" w:rsidRPr="00000000" w14:paraId="0000002A">
      <w:pPr>
        <w:rPr>
          <w:color w:val="222222"/>
          <w:sz w:val="20"/>
          <w:szCs w:val="20"/>
          <w:highlight w:val="yellow"/>
        </w:rPr>
      </w:pPr>
      <w:r w:rsidDel="00000000" w:rsidR="00000000" w:rsidRPr="00000000">
        <w:rPr>
          <w:rtl w:val="0"/>
        </w:rPr>
      </w:r>
    </w:p>
    <w:p w:rsidR="00000000" w:rsidDel="00000000" w:rsidP="00000000" w:rsidRDefault="00000000" w:rsidRPr="00000000" w14:paraId="0000002B">
      <w:pPr>
        <w:rPr>
          <w:color w:val="222222"/>
          <w:sz w:val="20"/>
          <w:szCs w:val="20"/>
        </w:rPr>
      </w:pPr>
      <w:r w:rsidDel="00000000" w:rsidR="00000000" w:rsidRPr="00000000">
        <w:rPr>
          <w:rtl w:val="0"/>
        </w:rPr>
      </w:r>
    </w:p>
    <w:p w:rsidR="00000000" w:rsidDel="00000000" w:rsidP="00000000" w:rsidRDefault="00000000" w:rsidRPr="00000000" w14:paraId="0000002C">
      <w:pPr>
        <w:rPr>
          <w:color w:val="222222"/>
          <w:sz w:val="20"/>
          <w:szCs w:val="20"/>
          <w:highlight w:val="white"/>
        </w:rPr>
      </w:pPr>
      <w:r w:rsidDel="00000000" w:rsidR="00000000" w:rsidRPr="00000000">
        <w:rPr>
          <w:color w:val="222222"/>
          <w:sz w:val="20"/>
          <w:szCs w:val="20"/>
          <w:highlight w:val="white"/>
          <w:rtl w:val="0"/>
        </w:rPr>
        <w:t xml:space="preserve"> </w:t>
      </w:r>
    </w:p>
    <w:p w:rsidR="00000000" w:rsidDel="00000000" w:rsidP="00000000" w:rsidRDefault="00000000" w:rsidRPr="00000000" w14:paraId="0000002D">
      <w:pPr>
        <w:rPr>
          <w:color w:val="222222"/>
          <w:sz w:val="20"/>
          <w:szCs w:val="20"/>
          <w:highlight w:val="white"/>
        </w:rPr>
      </w:pPr>
      <w:r w:rsidDel="00000000" w:rsidR="00000000" w:rsidRPr="00000000">
        <w:rPr>
          <w:color w:val="222222"/>
          <w:sz w:val="20"/>
          <w:szCs w:val="20"/>
          <w:highlight w:val="white"/>
          <w:rtl w:val="0"/>
        </w:rPr>
        <w:t xml:space="preserve"> </w:t>
      </w:r>
    </w:p>
    <w:p w:rsidR="00000000" w:rsidDel="00000000" w:rsidP="00000000" w:rsidRDefault="00000000" w:rsidRPr="00000000" w14:paraId="0000002E">
      <w:pPr>
        <w:rPr>
          <w:color w:val="222222"/>
          <w:sz w:val="20"/>
          <w:szCs w:val="20"/>
          <w:highlight w:val="white"/>
        </w:rPr>
      </w:pPr>
      <w:r w:rsidDel="00000000" w:rsidR="00000000" w:rsidRPr="00000000">
        <w:rPr>
          <w:rtl w:val="0"/>
        </w:rPr>
      </w:r>
    </w:p>
    <w:p w:rsidR="00000000" w:rsidDel="00000000" w:rsidP="00000000" w:rsidRDefault="00000000" w:rsidRPr="00000000" w14:paraId="0000002F">
      <w:pPr>
        <w:rPr>
          <w:color w:val="222222"/>
          <w:sz w:val="20"/>
          <w:szCs w:val="20"/>
          <w:highlight w:val="white"/>
        </w:rPr>
      </w:pPr>
      <w:r w:rsidDel="00000000" w:rsidR="00000000" w:rsidRPr="00000000">
        <w:rPr>
          <w:rtl w:val="0"/>
        </w:rPr>
      </w:r>
    </w:p>
    <w:p w:rsidR="00000000" w:rsidDel="00000000" w:rsidP="00000000" w:rsidRDefault="00000000" w:rsidRPr="00000000" w14:paraId="00000030">
      <w:pPr>
        <w:rPr>
          <w:color w:val="222222"/>
          <w:sz w:val="20"/>
          <w:szCs w:val="20"/>
          <w:highlight w:val="white"/>
        </w:rPr>
      </w:pPr>
      <w:r w:rsidDel="00000000" w:rsidR="00000000" w:rsidRPr="00000000">
        <w:rPr>
          <w:rtl w:val="0"/>
        </w:rPr>
      </w:r>
    </w:p>
    <w:p w:rsidR="00000000" w:rsidDel="00000000" w:rsidP="00000000" w:rsidRDefault="00000000" w:rsidRPr="00000000" w14:paraId="00000031">
      <w:pPr>
        <w:rPr>
          <w:color w:val="222222"/>
          <w:sz w:val="20"/>
          <w:szCs w:val="20"/>
          <w:highlight w:val="white"/>
        </w:rPr>
      </w:pPr>
      <w:r w:rsidDel="00000000" w:rsidR="00000000" w:rsidRPr="00000000">
        <w:rPr>
          <w:rtl w:val="0"/>
        </w:rPr>
      </w:r>
    </w:p>
    <w:p w:rsidR="00000000" w:rsidDel="00000000" w:rsidP="00000000" w:rsidRDefault="00000000" w:rsidRPr="00000000" w14:paraId="00000032">
      <w:pPr>
        <w:rPr>
          <w:color w:val="222222"/>
          <w:sz w:val="20"/>
          <w:szCs w:val="20"/>
          <w:highlight w:val="white"/>
        </w:rPr>
      </w:pPr>
      <w:r w:rsidDel="00000000" w:rsidR="00000000" w:rsidRPr="00000000">
        <w:rPr>
          <w:rtl w:val="0"/>
        </w:rPr>
      </w:r>
    </w:p>
    <w:p w:rsidR="00000000" w:rsidDel="00000000" w:rsidP="00000000" w:rsidRDefault="00000000" w:rsidRPr="00000000" w14:paraId="00000033">
      <w:pPr>
        <w:rPr>
          <w:color w:val="222222"/>
          <w:sz w:val="20"/>
          <w:szCs w:val="20"/>
          <w:highlight w:val="white"/>
        </w:rPr>
      </w:pPr>
      <w:r w:rsidDel="00000000" w:rsidR="00000000" w:rsidRPr="00000000">
        <w:rPr>
          <w:rtl w:val="0"/>
        </w:rPr>
      </w:r>
    </w:p>
    <w:p w:rsidR="00000000" w:rsidDel="00000000" w:rsidP="00000000" w:rsidRDefault="00000000" w:rsidRPr="00000000" w14:paraId="00000034">
      <w:pPr>
        <w:rPr>
          <w:color w:val="222222"/>
          <w:sz w:val="20"/>
          <w:szCs w:val="20"/>
          <w:highlight w:val="white"/>
        </w:rPr>
      </w:pPr>
      <w:r w:rsidDel="00000000" w:rsidR="00000000" w:rsidRPr="00000000">
        <w:rPr>
          <w:rtl w:val="0"/>
        </w:rPr>
      </w:r>
    </w:p>
    <w:p w:rsidR="00000000" w:rsidDel="00000000" w:rsidP="00000000" w:rsidRDefault="00000000" w:rsidRPr="00000000" w14:paraId="00000035">
      <w:pPr>
        <w:rPr>
          <w:color w:val="222222"/>
          <w:sz w:val="20"/>
          <w:szCs w:val="20"/>
          <w:highlight w:val="white"/>
        </w:rPr>
      </w:pPr>
      <w:r w:rsidDel="00000000" w:rsidR="00000000" w:rsidRPr="00000000">
        <w:rPr>
          <w:rtl w:val="0"/>
        </w:rPr>
      </w:r>
    </w:p>
    <w:p w:rsidR="00000000" w:rsidDel="00000000" w:rsidP="00000000" w:rsidRDefault="00000000" w:rsidRPr="00000000" w14:paraId="00000036">
      <w:pPr>
        <w:rPr>
          <w:color w:val="222222"/>
          <w:sz w:val="20"/>
          <w:szCs w:val="20"/>
          <w:highlight w:val="white"/>
        </w:rPr>
      </w:pPr>
      <w:r w:rsidDel="00000000" w:rsidR="00000000" w:rsidRPr="00000000">
        <w:rPr>
          <w:rtl w:val="0"/>
        </w:rPr>
      </w:r>
    </w:p>
    <w:p w:rsidR="00000000" w:rsidDel="00000000" w:rsidP="00000000" w:rsidRDefault="00000000" w:rsidRPr="00000000" w14:paraId="00000037">
      <w:pPr>
        <w:rPr>
          <w:color w:val="222222"/>
          <w:sz w:val="20"/>
          <w:szCs w:val="20"/>
          <w:highlight w:val="white"/>
        </w:rPr>
      </w:pPr>
      <w:r w:rsidDel="00000000" w:rsidR="00000000" w:rsidRPr="00000000">
        <w:rPr>
          <w:rtl w:val="0"/>
        </w:rPr>
      </w:r>
    </w:p>
    <w:p w:rsidR="00000000" w:rsidDel="00000000" w:rsidP="00000000" w:rsidRDefault="00000000" w:rsidRPr="00000000" w14:paraId="00000038">
      <w:pPr>
        <w:rPr>
          <w:color w:val="222222"/>
          <w:sz w:val="20"/>
          <w:szCs w:val="20"/>
          <w:highlight w:val="white"/>
        </w:rPr>
      </w:pPr>
      <w:r w:rsidDel="00000000" w:rsidR="00000000" w:rsidRPr="00000000">
        <w:rPr>
          <w:rtl w:val="0"/>
        </w:rPr>
      </w:r>
    </w:p>
    <w:p w:rsidR="00000000" w:rsidDel="00000000" w:rsidP="00000000" w:rsidRDefault="00000000" w:rsidRPr="00000000" w14:paraId="00000039">
      <w:pPr>
        <w:rPr>
          <w:color w:val="222222"/>
          <w:sz w:val="20"/>
          <w:szCs w:val="20"/>
          <w:highlight w:val="white"/>
        </w:rPr>
      </w:pPr>
      <w:r w:rsidDel="00000000" w:rsidR="00000000" w:rsidRPr="00000000">
        <w:rPr>
          <w:rtl w:val="0"/>
        </w:rPr>
      </w:r>
    </w:p>
    <w:p w:rsidR="00000000" w:rsidDel="00000000" w:rsidP="00000000" w:rsidRDefault="00000000" w:rsidRPr="00000000" w14:paraId="0000003A">
      <w:pPr>
        <w:rPr>
          <w:color w:val="222222"/>
          <w:sz w:val="20"/>
          <w:szCs w:val="20"/>
          <w:highlight w:val="white"/>
        </w:rPr>
      </w:pPr>
      <w:r w:rsidDel="00000000" w:rsidR="00000000" w:rsidRPr="00000000">
        <w:rPr>
          <w:rtl w:val="0"/>
        </w:rPr>
      </w:r>
    </w:p>
    <w:p w:rsidR="00000000" w:rsidDel="00000000" w:rsidP="00000000" w:rsidRDefault="00000000" w:rsidRPr="00000000" w14:paraId="0000003B">
      <w:pPr>
        <w:rPr>
          <w:color w:val="222222"/>
          <w:sz w:val="20"/>
          <w:szCs w:val="20"/>
          <w:highlight w:val="white"/>
        </w:rPr>
      </w:pPr>
      <w:r w:rsidDel="00000000" w:rsidR="00000000" w:rsidRPr="00000000">
        <w:rPr>
          <w:rtl w:val="0"/>
        </w:rPr>
      </w:r>
    </w:p>
    <w:p w:rsidR="00000000" w:rsidDel="00000000" w:rsidP="00000000" w:rsidRDefault="00000000" w:rsidRPr="00000000" w14:paraId="0000003C">
      <w:pPr>
        <w:rPr>
          <w:color w:val="222222"/>
          <w:sz w:val="20"/>
          <w:szCs w:val="20"/>
          <w:highlight w:val="white"/>
        </w:rPr>
      </w:pPr>
      <w:r w:rsidDel="00000000" w:rsidR="00000000" w:rsidRPr="00000000">
        <w:rPr>
          <w:rtl w:val="0"/>
        </w:rPr>
      </w:r>
    </w:p>
    <w:p w:rsidR="00000000" w:rsidDel="00000000" w:rsidP="00000000" w:rsidRDefault="00000000" w:rsidRPr="00000000" w14:paraId="0000003D">
      <w:pPr>
        <w:rPr>
          <w:color w:val="222222"/>
          <w:sz w:val="20"/>
          <w:szCs w:val="20"/>
          <w:highlight w:val="white"/>
        </w:rPr>
      </w:pPr>
      <w:r w:rsidDel="00000000" w:rsidR="00000000" w:rsidRPr="00000000">
        <w:rPr>
          <w:rtl w:val="0"/>
        </w:rPr>
      </w:r>
    </w:p>
    <w:p w:rsidR="00000000" w:rsidDel="00000000" w:rsidP="00000000" w:rsidRDefault="00000000" w:rsidRPr="00000000" w14:paraId="0000003E">
      <w:pPr>
        <w:rPr>
          <w:color w:val="222222"/>
          <w:sz w:val="20"/>
          <w:szCs w:val="20"/>
          <w:highlight w:val="white"/>
        </w:rPr>
      </w:pPr>
      <w:r w:rsidDel="00000000" w:rsidR="00000000" w:rsidRPr="00000000">
        <w:rPr>
          <w:rtl w:val="0"/>
        </w:rPr>
      </w:r>
    </w:p>
    <w:p w:rsidR="00000000" w:rsidDel="00000000" w:rsidP="00000000" w:rsidRDefault="00000000" w:rsidRPr="00000000" w14:paraId="0000003F">
      <w:pPr>
        <w:rPr>
          <w:color w:val="222222"/>
          <w:sz w:val="20"/>
          <w:szCs w:val="20"/>
          <w:highlight w:val="white"/>
        </w:rPr>
      </w:pPr>
      <w:r w:rsidDel="00000000" w:rsidR="00000000" w:rsidRPr="00000000">
        <w:rPr>
          <w:rtl w:val="0"/>
        </w:rPr>
      </w:r>
    </w:p>
    <w:p w:rsidR="00000000" w:rsidDel="00000000" w:rsidP="00000000" w:rsidRDefault="00000000" w:rsidRPr="00000000" w14:paraId="00000040">
      <w:pPr>
        <w:spacing w:after="240" w:before="240" w:lineRule="auto"/>
        <w:ind w:left="0" w:firstLine="0"/>
        <w:rPr>
          <w:color w:val="222222"/>
          <w:sz w:val="20"/>
          <w:szCs w:val="20"/>
          <w:highlight w:val="white"/>
        </w:rPr>
      </w:pPr>
      <w:r w:rsidDel="00000000" w:rsidR="00000000" w:rsidRPr="00000000">
        <w:rPr>
          <w:color w:val="222222"/>
          <w:sz w:val="20"/>
          <w:szCs w:val="20"/>
          <w:highlight w:val="white"/>
          <w:rtl w:val="0"/>
        </w:rPr>
        <w:t xml:space="preserve">Tholen, C. (2022, January 4). </w:t>
      </w:r>
      <w:r w:rsidDel="00000000" w:rsidR="00000000" w:rsidRPr="00000000">
        <w:rPr>
          <w:i w:val="1"/>
          <w:color w:val="222222"/>
          <w:sz w:val="20"/>
          <w:szCs w:val="20"/>
          <w:highlight w:val="white"/>
          <w:rtl w:val="0"/>
        </w:rPr>
        <w:t xml:space="preserve">What are the dangers of texting while driving?</w:t>
      </w:r>
      <w:r w:rsidDel="00000000" w:rsidR="00000000" w:rsidRPr="00000000">
        <w:rPr>
          <w:color w:val="222222"/>
          <w:sz w:val="20"/>
          <w:szCs w:val="20"/>
          <w:highlight w:val="white"/>
          <w:rtl w:val="0"/>
        </w:rPr>
        <w:t xml:space="preserve"> SafeWise. Retrieved November 16, 2022, from </w:t>
      </w:r>
      <w:hyperlink r:id="rId6">
        <w:r w:rsidDel="00000000" w:rsidR="00000000" w:rsidRPr="00000000">
          <w:rPr>
            <w:color w:val="1155cc"/>
            <w:sz w:val="20"/>
            <w:szCs w:val="20"/>
            <w:highlight w:val="white"/>
            <w:u w:val="single"/>
            <w:rtl w:val="0"/>
          </w:rPr>
          <w:t xml:space="preserve">https://www.safewise.com/faq/auto-safety/danger-texting-driving/</w:t>
        </w:r>
      </w:hyperlink>
      <w:r w:rsidDel="00000000" w:rsidR="00000000" w:rsidRPr="00000000">
        <w:rPr>
          <w:color w:val="222222"/>
          <w:sz w:val="20"/>
          <w:szCs w:val="20"/>
          <w:highlight w:val="white"/>
          <w:rtl w:val="0"/>
        </w:rPr>
        <w:t xml:space="preserve"> </w:t>
      </w:r>
    </w:p>
    <w:p w:rsidR="00000000" w:rsidDel="00000000" w:rsidP="00000000" w:rsidRDefault="00000000" w:rsidRPr="00000000" w14:paraId="00000041">
      <w:pPr>
        <w:rPr>
          <w:color w:val="222222"/>
          <w:sz w:val="20"/>
          <w:szCs w:val="20"/>
          <w:highlight w:val="white"/>
        </w:rPr>
      </w:pPr>
      <w:r w:rsidDel="00000000" w:rsidR="00000000" w:rsidRPr="00000000">
        <w:rPr>
          <w:rtl w:val="0"/>
        </w:rPr>
      </w:r>
    </w:p>
    <w:p w:rsidR="00000000" w:rsidDel="00000000" w:rsidP="00000000" w:rsidRDefault="00000000" w:rsidRPr="00000000" w14:paraId="00000042">
      <w:pPr>
        <w:rPr>
          <w:color w:val="222222"/>
          <w:sz w:val="20"/>
          <w:szCs w:val="20"/>
          <w:highlight w:val="white"/>
        </w:rPr>
      </w:pPr>
      <w:r w:rsidDel="00000000" w:rsidR="00000000" w:rsidRPr="00000000">
        <w:rPr>
          <w:color w:val="222222"/>
          <w:sz w:val="20"/>
          <w:szCs w:val="20"/>
          <w:highlight w:val="white"/>
          <w:rtl w:val="0"/>
        </w:rPr>
        <w:t xml:space="preserve">Cherry K. (2021)</w:t>
      </w:r>
      <w:r w:rsidDel="00000000" w:rsidR="00000000" w:rsidRPr="00000000">
        <w:rPr>
          <w:i w:val="1"/>
          <w:color w:val="222222"/>
          <w:sz w:val="20"/>
          <w:szCs w:val="20"/>
          <w:highlight w:val="white"/>
          <w:rtl w:val="0"/>
        </w:rPr>
        <w:t xml:space="preserve"> how multitasking affects productivity and brain health</w:t>
      </w:r>
      <w:r w:rsidDel="00000000" w:rsidR="00000000" w:rsidRPr="00000000">
        <w:rPr>
          <w:color w:val="222222"/>
          <w:sz w:val="20"/>
          <w:szCs w:val="20"/>
          <w:highlight w:val="white"/>
          <w:rtl w:val="0"/>
        </w:rPr>
        <w:t xml:space="preserve">. Retrieved November 16, 2022) from </w:t>
      </w:r>
      <w:hyperlink r:id="rId7">
        <w:r w:rsidDel="00000000" w:rsidR="00000000" w:rsidRPr="00000000">
          <w:rPr>
            <w:color w:val="1155cc"/>
            <w:sz w:val="20"/>
            <w:szCs w:val="20"/>
            <w:highlight w:val="white"/>
            <w:u w:val="single"/>
            <w:rtl w:val="0"/>
          </w:rPr>
          <w:t xml:space="preserve">https://www.verywellmind.com/multitasking-2795003</w:t>
        </w:r>
      </w:hyperlink>
      <w:r w:rsidDel="00000000" w:rsidR="00000000" w:rsidRPr="00000000">
        <w:rPr>
          <w:color w:val="222222"/>
          <w:sz w:val="20"/>
          <w:szCs w:val="20"/>
          <w:highlight w:val="white"/>
          <w:rtl w:val="0"/>
        </w:rPr>
        <w:t xml:space="preserve"> </w:t>
      </w:r>
    </w:p>
    <w:p w:rsidR="00000000" w:rsidDel="00000000" w:rsidP="00000000" w:rsidRDefault="00000000" w:rsidRPr="00000000" w14:paraId="00000043">
      <w:pPr>
        <w:rPr>
          <w:color w:val="222222"/>
          <w:sz w:val="20"/>
          <w:szCs w:val="20"/>
          <w:highlight w:val="white"/>
        </w:rPr>
      </w:pPr>
      <w:r w:rsidDel="00000000" w:rsidR="00000000" w:rsidRPr="00000000">
        <w:rPr>
          <w:rtl w:val="0"/>
        </w:rPr>
      </w:r>
    </w:p>
    <w:p w:rsidR="00000000" w:rsidDel="00000000" w:rsidP="00000000" w:rsidRDefault="00000000" w:rsidRPr="00000000" w14:paraId="00000044">
      <w:pPr>
        <w:rPr>
          <w:color w:val="222222"/>
          <w:sz w:val="20"/>
          <w:szCs w:val="20"/>
          <w:highlight w:val="white"/>
        </w:rPr>
      </w:pPr>
      <w:r w:rsidDel="00000000" w:rsidR="00000000" w:rsidRPr="00000000">
        <w:rPr>
          <w:color w:val="222222"/>
          <w:sz w:val="20"/>
          <w:szCs w:val="20"/>
          <w:highlight w:val="white"/>
          <w:rtl w:val="0"/>
        </w:rPr>
        <w:t xml:space="preserve">Automobile Association (2020) </w:t>
      </w:r>
      <w:r w:rsidDel="00000000" w:rsidR="00000000" w:rsidRPr="00000000">
        <w:rPr>
          <w:i w:val="1"/>
          <w:color w:val="222222"/>
          <w:sz w:val="20"/>
          <w:szCs w:val="20"/>
          <w:highlight w:val="white"/>
          <w:rtl w:val="0"/>
        </w:rPr>
        <w:t xml:space="preserve">tips to avoid using your phone while driving </w:t>
      </w:r>
      <w:r w:rsidDel="00000000" w:rsidR="00000000" w:rsidRPr="00000000">
        <w:rPr>
          <w:color w:val="222222"/>
          <w:sz w:val="20"/>
          <w:szCs w:val="20"/>
          <w:highlight w:val="white"/>
          <w:rtl w:val="0"/>
        </w:rPr>
        <w:t xml:space="preserve">Retrieved November 16, 2022 from </w:t>
      </w:r>
      <w:hyperlink r:id="rId8">
        <w:r w:rsidDel="00000000" w:rsidR="00000000" w:rsidRPr="00000000">
          <w:rPr>
            <w:color w:val="1155cc"/>
            <w:sz w:val="20"/>
            <w:szCs w:val="20"/>
            <w:highlight w:val="white"/>
            <w:u w:val="single"/>
            <w:rtl w:val="0"/>
          </w:rPr>
          <w:t xml:space="preserve">https://www.theaa.com/driving-advice/safety/texting-and-driving</w:t>
        </w:r>
      </w:hyperlink>
      <w:r w:rsidDel="00000000" w:rsidR="00000000" w:rsidRPr="00000000">
        <w:rPr>
          <w:color w:val="222222"/>
          <w:sz w:val="20"/>
          <w:szCs w:val="20"/>
          <w:highlight w:val="white"/>
          <w:rtl w:val="0"/>
        </w:rPr>
        <w:t xml:space="preserve"> (AAwebsite) </w:t>
      </w:r>
    </w:p>
    <w:p w:rsidR="00000000" w:rsidDel="00000000" w:rsidP="00000000" w:rsidRDefault="00000000" w:rsidRPr="00000000" w14:paraId="00000045">
      <w:pPr>
        <w:rPr>
          <w:color w:val="222222"/>
          <w:sz w:val="20"/>
          <w:szCs w:val="20"/>
          <w:highlight w:val="white"/>
        </w:rPr>
      </w:pPr>
      <w:r w:rsidDel="00000000" w:rsidR="00000000" w:rsidRPr="00000000">
        <w:rPr>
          <w:rtl w:val="0"/>
        </w:rPr>
      </w:r>
    </w:p>
    <w:p w:rsidR="00000000" w:rsidDel="00000000" w:rsidP="00000000" w:rsidRDefault="00000000" w:rsidRPr="00000000" w14:paraId="00000046">
      <w:pPr>
        <w:rPr>
          <w:color w:val="222222"/>
          <w:sz w:val="20"/>
          <w:szCs w:val="20"/>
          <w:highlight w:val="white"/>
        </w:rPr>
      </w:pPr>
      <w:r w:rsidDel="00000000" w:rsidR="00000000" w:rsidRPr="00000000">
        <w:rPr>
          <w:rtl w:val="0"/>
        </w:rPr>
      </w:r>
    </w:p>
    <w:p w:rsidR="00000000" w:rsidDel="00000000" w:rsidP="00000000" w:rsidRDefault="00000000" w:rsidRPr="00000000" w14:paraId="00000047">
      <w:pPr>
        <w:rPr>
          <w:color w:val="222222"/>
          <w:sz w:val="20"/>
          <w:szCs w:val="20"/>
          <w:highlight w:val="white"/>
        </w:rPr>
      </w:pPr>
      <w:r w:rsidDel="00000000" w:rsidR="00000000" w:rsidRPr="00000000">
        <w:rPr>
          <w:color w:val="222222"/>
          <w:sz w:val="20"/>
          <w:szCs w:val="20"/>
          <w:highlight w:val="white"/>
          <w:rtl w:val="0"/>
        </w:rPr>
        <w:t xml:space="preserve">Rensink, R. (2005). </w:t>
      </w:r>
      <w:r w:rsidDel="00000000" w:rsidR="00000000" w:rsidRPr="00000000">
        <w:rPr>
          <w:i w:val="1"/>
          <w:color w:val="222222"/>
          <w:sz w:val="20"/>
          <w:szCs w:val="20"/>
          <w:highlight w:val="white"/>
          <w:rtl w:val="0"/>
        </w:rPr>
        <w:t xml:space="preserve">Change blindness. </w:t>
      </w:r>
      <w:r w:rsidDel="00000000" w:rsidR="00000000" w:rsidRPr="00000000">
        <w:rPr>
          <w:color w:val="222222"/>
          <w:sz w:val="20"/>
          <w:szCs w:val="20"/>
          <w:highlight w:val="white"/>
          <w:rtl w:val="0"/>
        </w:rPr>
        <w:t xml:space="preserve">Retrieved November 17 2022, from </w:t>
      </w:r>
      <w:hyperlink r:id="rId9">
        <w:r w:rsidDel="00000000" w:rsidR="00000000" w:rsidRPr="00000000">
          <w:rPr>
            <w:color w:val="1155cc"/>
            <w:sz w:val="20"/>
            <w:szCs w:val="20"/>
            <w:highlight w:val="white"/>
            <w:u w:val="single"/>
            <w:rtl w:val="0"/>
          </w:rPr>
          <w:t xml:space="preserve">https://www2.psych.ubc.ca/~rensink/publications/download/NeuroBiol-RR.pdf</w:t>
        </w:r>
      </w:hyperlink>
      <w:r w:rsidDel="00000000" w:rsidR="00000000" w:rsidRPr="00000000">
        <w:rPr>
          <w:color w:val="222222"/>
          <w:sz w:val="20"/>
          <w:szCs w:val="20"/>
          <w:highlight w:val="white"/>
          <w:rtl w:val="0"/>
        </w:rPr>
        <w:t xml:space="preserve"> </w:t>
      </w:r>
    </w:p>
    <w:p w:rsidR="00000000" w:rsidDel="00000000" w:rsidP="00000000" w:rsidRDefault="00000000" w:rsidRPr="00000000" w14:paraId="00000048">
      <w:pPr>
        <w:rPr>
          <w:rFonts w:ascii="Roboto" w:cs="Roboto" w:eastAsia="Roboto" w:hAnsi="Roboto"/>
          <w:color w:val="ffffff"/>
          <w:sz w:val="21"/>
          <w:szCs w:val="21"/>
          <w:shd w:fill="323639" w:val="clear"/>
        </w:rPr>
      </w:pPr>
      <w:r w:rsidDel="00000000" w:rsidR="00000000" w:rsidRPr="00000000">
        <w:rPr>
          <w:rtl w:val="0"/>
        </w:rPr>
      </w:r>
    </w:p>
    <w:p w:rsidR="00000000" w:rsidDel="00000000" w:rsidP="00000000" w:rsidRDefault="00000000" w:rsidRPr="00000000" w14:paraId="00000049">
      <w:pPr>
        <w:rPr>
          <w:rFonts w:ascii="Roboto" w:cs="Roboto" w:eastAsia="Roboto" w:hAnsi="Roboto"/>
          <w:color w:val="ffffff"/>
          <w:sz w:val="21"/>
          <w:szCs w:val="21"/>
        </w:rPr>
      </w:pPr>
      <w:r w:rsidDel="00000000" w:rsidR="00000000" w:rsidRPr="00000000">
        <w:rPr>
          <w:rtl w:val="0"/>
        </w:rPr>
      </w:r>
    </w:p>
    <w:p w:rsidR="00000000" w:rsidDel="00000000" w:rsidP="00000000" w:rsidRDefault="00000000" w:rsidRPr="00000000" w14:paraId="0000004A">
      <w:pPr>
        <w:rPr>
          <w:rFonts w:ascii="Roboto" w:cs="Roboto" w:eastAsia="Roboto" w:hAnsi="Roboto"/>
          <w:color w:val="ffffff"/>
          <w:sz w:val="21"/>
          <w:szCs w:val="21"/>
          <w:shd w:fill="323639" w:val="clear"/>
        </w:rPr>
      </w:pPr>
      <w:r w:rsidDel="00000000" w:rsidR="00000000" w:rsidRPr="00000000">
        <w:rPr>
          <w:rtl w:val="0"/>
        </w:rPr>
      </w:r>
    </w:p>
    <w:p w:rsidR="00000000" w:rsidDel="00000000" w:rsidP="00000000" w:rsidRDefault="00000000" w:rsidRPr="00000000" w14:paraId="0000004B">
      <w:pPr>
        <w:rPr>
          <w:rFonts w:ascii="Roboto" w:cs="Roboto" w:eastAsia="Roboto" w:hAnsi="Roboto"/>
          <w:color w:val="ffffff"/>
          <w:sz w:val="21"/>
          <w:szCs w:val="21"/>
          <w:shd w:fill="980000" w:val="clear"/>
        </w:rPr>
      </w:pPr>
      <w:r w:rsidDel="00000000" w:rsidR="00000000" w:rsidRPr="00000000">
        <w:rPr>
          <w:rtl w:val="0"/>
        </w:rPr>
      </w:r>
    </w:p>
    <w:p w:rsidR="00000000" w:rsidDel="00000000" w:rsidP="00000000" w:rsidRDefault="00000000" w:rsidRPr="00000000" w14:paraId="0000004C">
      <w:pPr>
        <w:rPr>
          <w:rFonts w:ascii="Roboto" w:cs="Roboto" w:eastAsia="Roboto" w:hAnsi="Roboto"/>
          <w:color w:val="ffffff"/>
          <w:sz w:val="21"/>
          <w:szCs w:val="21"/>
          <w:shd w:fill="323639" w:val="clear"/>
        </w:rPr>
      </w:pPr>
      <w:r w:rsidDel="00000000" w:rsidR="00000000" w:rsidRPr="00000000">
        <w:rPr>
          <w:rFonts w:ascii="Roboto" w:cs="Roboto" w:eastAsia="Roboto" w:hAnsi="Roboto"/>
          <w:color w:val="212121"/>
          <w:sz w:val="26"/>
          <w:szCs w:val="26"/>
          <w:highlight w:val="white"/>
          <w:rtl w:val="0"/>
        </w:rPr>
        <w:t xml:space="preserve">Rizzo M, Sparks J, McEvoy S, Viamonte S, Kellison I, Vecera SP. Change blindness, ageing, and cognition. J Clin Exp Neuropsychol. 2009 Feb;31(2):245-56. doi: 10.1080/13803390802279668. Epub 2008 Dec 3. PMID: 19051127; PMCID: PMC3146260.https://www.ncbi.nlm.nih.gov/pmc/articles/PMC3146260/</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2.psych.ubc.ca/~rensink/publications/download/NeuroBiol-RR.pdf" TargetMode="External"/><Relationship Id="rId5" Type="http://schemas.openxmlformats.org/officeDocument/2006/relationships/styles" Target="styles.xml"/><Relationship Id="rId6" Type="http://schemas.openxmlformats.org/officeDocument/2006/relationships/hyperlink" Target="https://www.safewise.com/faq/auto-safety/danger-texting-driving/" TargetMode="External"/><Relationship Id="rId7" Type="http://schemas.openxmlformats.org/officeDocument/2006/relationships/hyperlink" Target="https://www.verywellmind.com/multitasking-2795003" TargetMode="External"/><Relationship Id="rId8" Type="http://schemas.openxmlformats.org/officeDocument/2006/relationships/hyperlink" Target="https://www.theaa.com/driving-advice/safety/texting-and-drivin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