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91103" w14:textId="595E0689" w:rsidR="006B1456" w:rsidRDefault="003751AF">
      <w:r w:rsidRPr="003751AF">
        <w:rPr>
          <w:noProof/>
        </w:rPr>
        <w:drawing>
          <wp:inline distT="0" distB="0" distL="0" distR="0" wp14:anchorId="072DACFC" wp14:editId="0EDE9F45">
            <wp:extent cx="2419350" cy="1666875"/>
            <wp:effectExtent l="0" t="0" r="0" b="9525"/>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University of Wales Trinity Saint David (UWTSD) | 4theReg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19350" cy="1666875"/>
                    </a:xfrm>
                    <a:prstGeom prst="rect">
                      <a:avLst/>
                    </a:prstGeom>
                    <a:noFill/>
                    <a:ln>
                      <a:noFill/>
                    </a:ln>
                  </pic:spPr>
                </pic:pic>
              </a:graphicData>
            </a:graphic>
          </wp:inline>
        </w:drawing>
      </w:r>
    </w:p>
    <w:p w14:paraId="2785EA82" w14:textId="77777777" w:rsidR="003751AF" w:rsidRPr="002B5F9B" w:rsidRDefault="003751AF">
      <w:pPr>
        <w:rPr>
          <w:rStyle w:val="Strong"/>
        </w:rPr>
      </w:pPr>
    </w:p>
    <w:p w14:paraId="3C44F084" w14:textId="76FA04C3" w:rsidR="003751AF" w:rsidRPr="002B5F9B" w:rsidRDefault="00571B29" w:rsidP="002B5F9B">
      <w:pPr>
        <w:spacing w:line="360" w:lineRule="auto"/>
        <w:jc w:val="both"/>
        <w:rPr>
          <w:rStyle w:val="Strong"/>
        </w:rPr>
      </w:pPr>
      <w:proofErr w:type="gramStart"/>
      <w:r w:rsidRPr="002B5F9B">
        <w:rPr>
          <w:rStyle w:val="Strong"/>
        </w:rPr>
        <w:t>NAME :</w:t>
      </w:r>
      <w:proofErr w:type="gramEnd"/>
      <w:r w:rsidRPr="002B5F9B">
        <w:rPr>
          <w:rStyle w:val="Strong"/>
        </w:rPr>
        <w:t xml:space="preserve"> MOHAMMED SHAMIL THUPPATH</w:t>
      </w:r>
    </w:p>
    <w:p w14:paraId="7095AE03" w14:textId="7C1B28E8" w:rsidR="00571B29" w:rsidRPr="002B5F9B" w:rsidRDefault="00571B29" w:rsidP="002B5F9B">
      <w:pPr>
        <w:spacing w:line="360" w:lineRule="auto"/>
        <w:jc w:val="both"/>
        <w:rPr>
          <w:rStyle w:val="Strong"/>
        </w:rPr>
      </w:pPr>
      <w:r w:rsidRPr="002B5F9B">
        <w:rPr>
          <w:rStyle w:val="Strong"/>
        </w:rPr>
        <w:t xml:space="preserve">STUDENT </w:t>
      </w:r>
      <w:proofErr w:type="gramStart"/>
      <w:r w:rsidRPr="002B5F9B">
        <w:rPr>
          <w:rStyle w:val="Strong"/>
        </w:rPr>
        <w:t>NUMBER :</w:t>
      </w:r>
      <w:proofErr w:type="gramEnd"/>
      <w:r w:rsidRPr="002B5F9B">
        <w:rPr>
          <w:rStyle w:val="Strong"/>
        </w:rPr>
        <w:t xml:space="preserve"> 2132198</w:t>
      </w:r>
    </w:p>
    <w:p w14:paraId="38FD4B6F" w14:textId="1DCA8D79" w:rsidR="00571B29" w:rsidRPr="002B5F9B" w:rsidRDefault="00571B29" w:rsidP="002B5F9B">
      <w:pPr>
        <w:spacing w:line="360" w:lineRule="auto"/>
        <w:jc w:val="both"/>
        <w:rPr>
          <w:rStyle w:val="Strong"/>
        </w:rPr>
      </w:pPr>
      <w:proofErr w:type="gramStart"/>
      <w:r w:rsidRPr="002B5F9B">
        <w:rPr>
          <w:rStyle w:val="Strong"/>
        </w:rPr>
        <w:t>MODULE :</w:t>
      </w:r>
      <w:proofErr w:type="gramEnd"/>
      <w:r w:rsidRPr="002B5F9B">
        <w:rPr>
          <w:rStyle w:val="Strong"/>
        </w:rPr>
        <w:t xml:space="preserve"> LCMB7000</w:t>
      </w:r>
    </w:p>
    <w:p w14:paraId="7EA226DB" w14:textId="4F5FF2E1" w:rsidR="00571B29" w:rsidRPr="002B5F9B" w:rsidRDefault="00571B29" w:rsidP="002B5F9B">
      <w:pPr>
        <w:spacing w:line="360" w:lineRule="auto"/>
        <w:jc w:val="both"/>
        <w:rPr>
          <w:rStyle w:val="Strong"/>
        </w:rPr>
      </w:pPr>
      <w:proofErr w:type="gramStart"/>
      <w:r w:rsidRPr="002B5F9B">
        <w:rPr>
          <w:rStyle w:val="Strong"/>
        </w:rPr>
        <w:t>LECTURER :</w:t>
      </w:r>
      <w:proofErr w:type="gramEnd"/>
      <w:r w:rsidRPr="002B5F9B">
        <w:rPr>
          <w:rStyle w:val="Strong"/>
        </w:rPr>
        <w:t xml:space="preserve"> </w:t>
      </w:r>
      <w:r w:rsidR="002B5F9B" w:rsidRPr="002B5F9B">
        <w:rPr>
          <w:rStyle w:val="Strong"/>
        </w:rPr>
        <w:t>GLADIUS KULOTHUNGAN</w:t>
      </w:r>
    </w:p>
    <w:p w14:paraId="2EF57EA7" w14:textId="62945A2B" w:rsidR="002B5F9B" w:rsidRPr="002B5F9B" w:rsidRDefault="002B5F9B" w:rsidP="002B5F9B">
      <w:pPr>
        <w:spacing w:line="360" w:lineRule="auto"/>
        <w:jc w:val="both"/>
        <w:rPr>
          <w:rStyle w:val="Strong"/>
        </w:rPr>
      </w:pPr>
      <w:proofErr w:type="gramStart"/>
      <w:r w:rsidRPr="002B5F9B">
        <w:rPr>
          <w:rStyle w:val="Strong"/>
        </w:rPr>
        <w:t>COURSE :</w:t>
      </w:r>
      <w:proofErr w:type="gramEnd"/>
      <w:r w:rsidRPr="002B5F9B">
        <w:rPr>
          <w:rStyle w:val="Strong"/>
        </w:rPr>
        <w:t xml:space="preserve"> MBA HUMAN RESOURCE MANAGEMENT</w:t>
      </w:r>
    </w:p>
    <w:p w14:paraId="705418E2" w14:textId="7900220E" w:rsidR="002B5F9B" w:rsidRPr="002B5F9B" w:rsidRDefault="002B5F9B" w:rsidP="002B5F9B">
      <w:pPr>
        <w:spacing w:line="360" w:lineRule="auto"/>
        <w:jc w:val="both"/>
        <w:rPr>
          <w:rStyle w:val="Strong"/>
        </w:rPr>
      </w:pPr>
      <w:r w:rsidRPr="002B5F9B">
        <w:rPr>
          <w:rStyle w:val="Strong"/>
        </w:rPr>
        <w:t xml:space="preserve">SUBMISSION </w:t>
      </w:r>
      <w:proofErr w:type="gramStart"/>
      <w:r w:rsidRPr="002B5F9B">
        <w:rPr>
          <w:rStyle w:val="Strong"/>
        </w:rPr>
        <w:t>DATE :</w:t>
      </w:r>
      <w:proofErr w:type="gramEnd"/>
      <w:r w:rsidRPr="002B5F9B">
        <w:rPr>
          <w:rStyle w:val="Strong"/>
        </w:rPr>
        <w:t xml:space="preserve"> 09/09/2022</w:t>
      </w:r>
    </w:p>
    <w:p w14:paraId="1316D7A4" w14:textId="717CA715" w:rsidR="002B5F9B" w:rsidRPr="002B5F9B" w:rsidRDefault="002B5F9B" w:rsidP="002B5F9B">
      <w:pPr>
        <w:spacing w:line="360" w:lineRule="auto"/>
        <w:jc w:val="both"/>
        <w:rPr>
          <w:rStyle w:val="Strong"/>
        </w:rPr>
      </w:pPr>
      <w:proofErr w:type="gramStart"/>
      <w:r w:rsidRPr="002B5F9B">
        <w:rPr>
          <w:rStyle w:val="Strong"/>
        </w:rPr>
        <w:t>TITLE :</w:t>
      </w:r>
      <w:proofErr w:type="gramEnd"/>
      <w:r w:rsidRPr="002B5F9B">
        <w:rPr>
          <w:rStyle w:val="Strong"/>
        </w:rPr>
        <w:t xml:space="preserve"> HUMAN RESOURCE MANAGEMENT ASSESSMENT 1</w:t>
      </w:r>
    </w:p>
    <w:p w14:paraId="1333E1D4" w14:textId="77777777" w:rsidR="003751AF" w:rsidRPr="002B5F9B" w:rsidRDefault="003751AF" w:rsidP="002B5F9B">
      <w:pPr>
        <w:spacing w:line="360" w:lineRule="auto"/>
        <w:jc w:val="both"/>
        <w:rPr>
          <w:rStyle w:val="Strong"/>
        </w:rPr>
      </w:pPr>
    </w:p>
    <w:p w14:paraId="566B37DD" w14:textId="77777777" w:rsidR="003751AF" w:rsidRDefault="003751AF"/>
    <w:p w14:paraId="59CAF3DF" w14:textId="77777777" w:rsidR="003751AF" w:rsidRDefault="003751AF"/>
    <w:p w14:paraId="7DD0C4F9" w14:textId="77777777" w:rsidR="003751AF" w:rsidRDefault="003751AF"/>
    <w:p w14:paraId="19C5BAE6" w14:textId="77777777" w:rsidR="003751AF" w:rsidRDefault="003751AF"/>
    <w:p w14:paraId="7C709C0B" w14:textId="77777777" w:rsidR="003751AF" w:rsidRDefault="003751AF"/>
    <w:p w14:paraId="56BE2A6A" w14:textId="77777777" w:rsidR="003751AF" w:rsidRDefault="003751AF"/>
    <w:p w14:paraId="117DEE95" w14:textId="77777777" w:rsidR="003751AF" w:rsidRDefault="003751AF"/>
    <w:p w14:paraId="6FD3DC9C" w14:textId="77777777" w:rsidR="003751AF" w:rsidRDefault="003751AF"/>
    <w:p w14:paraId="34894BD1" w14:textId="77777777" w:rsidR="003751AF" w:rsidRDefault="003751AF"/>
    <w:p w14:paraId="166179CE" w14:textId="77777777" w:rsidR="003751AF" w:rsidRDefault="003751AF"/>
    <w:p w14:paraId="43502465" w14:textId="77777777" w:rsidR="003751AF" w:rsidRDefault="003751AF"/>
    <w:p w14:paraId="7DB8119E" w14:textId="77777777" w:rsidR="003751AF" w:rsidRDefault="003751AF"/>
    <w:p w14:paraId="2F45F994" w14:textId="77777777" w:rsidR="003751AF" w:rsidRDefault="003751AF"/>
    <w:p w14:paraId="33BC2560" w14:textId="77777777" w:rsidR="003751AF" w:rsidRDefault="003751AF"/>
    <w:p w14:paraId="1E3BCB75" w14:textId="77777777" w:rsidR="003751AF" w:rsidRDefault="003751AF"/>
    <w:p w14:paraId="4DA96857" w14:textId="77777777" w:rsidR="003751AF" w:rsidRDefault="003751AF"/>
    <w:p w14:paraId="6F4702FB" w14:textId="77777777" w:rsidR="003751AF" w:rsidRDefault="003751AF"/>
    <w:p w14:paraId="45A8E982" w14:textId="77777777" w:rsidR="003751AF" w:rsidRDefault="003751AF"/>
    <w:p w14:paraId="0157B599" w14:textId="77777777" w:rsidR="003751AF" w:rsidRDefault="003751AF"/>
    <w:p w14:paraId="59A40C19" w14:textId="7C130946" w:rsidR="006B1456" w:rsidRDefault="002B5F9B">
      <w:r>
        <w:rPr>
          <w:noProof/>
        </w:rPr>
        <mc:AlternateContent>
          <mc:Choice Requires="wps">
            <w:drawing>
              <wp:anchor distT="0" distB="0" distL="0" distR="0" simplePos="0" relativeHeight="251658240" behindDoc="1" locked="0" layoutInCell="1" hidden="0" allowOverlap="1" wp14:anchorId="2E5A6A92" wp14:editId="5DB73F6D">
                <wp:simplePos x="0" y="0"/>
                <wp:positionH relativeFrom="column">
                  <wp:posOffset>-404655</wp:posOffset>
                </wp:positionH>
                <wp:positionV relativeFrom="paragraph">
                  <wp:posOffset>783590</wp:posOffset>
                </wp:positionV>
                <wp:extent cx="6857526" cy="2722558"/>
                <wp:effectExtent l="0" t="0" r="635" b="1905"/>
                <wp:wrapNone/>
                <wp:docPr id="1" name=""/>
                <wp:cNvGraphicFramePr/>
                <a:graphic xmlns:a="http://schemas.openxmlformats.org/drawingml/2006/main">
                  <a:graphicData uri="http://schemas.microsoft.com/office/word/2010/wordprocessingShape">
                    <wps:wsp>
                      <wps:cNvSpPr txBox="1"/>
                      <wps:spPr>
                        <a:xfrm>
                          <a:off x="0" y="0"/>
                          <a:ext cx="6857526" cy="272255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noProof/>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7BE6DAE3" w14:textId="06CBF40B" w:rsidR="00494234" w:rsidRDefault="003751AF">
                                <w:pPr>
                                  <w:jc w:val="center"/>
                                  <w:rPr>
                                    <w:rFonts w:asciiTheme="majorHAnsi" w:eastAsiaTheme="majorEastAsia" w:hAnsiTheme="majorHAnsi" w:cstheme="majorBidi"/>
                                    <w:caps/>
                                    <w:color w:val="4F81BD" w:themeColor="accent1"/>
                                    <w:sz w:val="72"/>
                                    <w:szCs w:val="72"/>
                                  </w:rPr>
                                </w:pPr>
                                <w:r>
                                  <w:rPr>
                                    <w:noProof/>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type w14:anchorId="2E5A6A92" id="_x0000_t202" coordsize="21600,21600" o:spt="202" path="m,l,21600r21600,l21600,xe">
                <v:stroke joinstyle="miter"/>
                <v:path gradientshapeok="t" o:connecttype="rect"/>
              </v:shapetype>
              <v:shape id="_x0000_s1026" type="#_x0000_t202" style="position:absolute;margin-left:-31.85pt;margin-top:61.7pt;width:539.95pt;height:214.35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" fillcolor="white [3212]" stroked="f" strokeweight=".5pt">
                <v:textbox inset="36pt,7.2pt,36pt,7.2pt">
                  <w:txbxContent>
                    <w:sdt>
                      <w:sdtPr>
                        <w:rPr>
                          <w:noProof/>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7BE6DAE3" w14:textId="06CBF40B" w:rsidR="00494234" w:rsidRDefault="003751AF">
                          <w:pPr>
                            <w:jc w:val="center"/>
                            <w:rPr>
                              <w:rFonts w:asciiTheme="majorHAnsi" w:eastAsiaTheme="majorEastAsia" w:hAnsiTheme="majorHAnsi" w:cstheme="majorBidi"/>
                              <w:caps/>
                              <w:color w:val="4F81BD" w:themeColor="accent1"/>
                              <w:sz w:val="72"/>
                              <w:szCs w:val="72"/>
                            </w:rPr>
                          </w:pPr>
                          <w:r>
                            <w:rPr>
                              <w:noProof/>
                            </w:rPr>
                            <w:t xml:space="preserve">     </w:t>
                          </w:r>
                        </w:p>
                      </w:sdtContent>
                    </w:sdt>
                  </w:txbxContent>
                </v:textbox>
              </v:shape>
            </w:pict>
          </mc:Fallback>
        </mc:AlternateContent>
      </w:r>
    </w:p>
    <w:p w14:paraId="0570EFD4" w14:textId="77777777" w:rsidR="006B1456" w:rsidRDefault="002B5F9B">
      <w:pPr>
        <w:keepNext/>
        <w:keepLines/>
        <w:pBdr>
          <w:top w:val="nil"/>
          <w:left w:val="nil"/>
          <w:bottom w:val="nil"/>
          <w:right w:val="nil"/>
          <w:between w:val="nil"/>
        </w:pBdr>
        <w:spacing w:before="240" w:after="0"/>
        <w:rPr>
          <w:rFonts w:ascii="Calibri" w:eastAsia="Calibri" w:hAnsi="Calibri" w:cs="Calibri"/>
          <w:color w:val="2F5496"/>
          <w:sz w:val="32"/>
          <w:szCs w:val="32"/>
        </w:rPr>
      </w:pPr>
      <w:r>
        <w:rPr>
          <w:rFonts w:ascii="Calibri" w:eastAsia="Calibri" w:hAnsi="Calibri" w:cs="Calibri"/>
          <w:color w:val="2F5496"/>
          <w:sz w:val="32"/>
          <w:szCs w:val="32"/>
        </w:rPr>
        <w:t>Table of Contents</w:t>
      </w:r>
    </w:p>
    <w:sdt>
      <w:sdtPr>
        <w:id w:val="1307892829"/>
        <w:docPartObj>
          <w:docPartGallery w:val="Table of Contents"/>
          <w:docPartUnique/>
        </w:docPartObj>
      </w:sdtPr>
      <w:sdtEndPr/>
      <w:sdtContent>
        <w:p w14:paraId="58AD5C33" w14:textId="77777777" w:rsidR="006B1456" w:rsidRDefault="002B5F9B">
          <w:pPr>
            <w:pBdr>
              <w:top w:val="nil"/>
              <w:left w:val="nil"/>
              <w:bottom w:val="nil"/>
              <w:right w:val="nil"/>
              <w:between w:val="nil"/>
            </w:pBdr>
            <w:tabs>
              <w:tab w:val="right" w:pos="9016"/>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gjdgxs">
            <w:r>
              <w:rPr>
                <w:color w:val="000000"/>
              </w:rPr>
              <w:t>Introduction</w:t>
            </w:r>
            <w:r>
              <w:rPr>
                <w:color w:val="000000"/>
              </w:rPr>
              <w:tab/>
              <w:t>2</w:t>
            </w:r>
          </w:hyperlink>
        </w:p>
        <w:p w14:paraId="0DB6F59C" w14:textId="77777777" w:rsidR="006B1456" w:rsidRDefault="002B5F9B">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30j0zll">
            <w:r>
              <w:rPr>
                <w:color w:val="000000"/>
              </w:rPr>
              <w:t>Current status of the UK labor Market</w:t>
            </w:r>
            <w:r>
              <w:rPr>
                <w:color w:val="000000"/>
              </w:rPr>
              <w:tab/>
              <w:t>2</w:t>
            </w:r>
          </w:hyperlink>
        </w:p>
        <w:p w14:paraId="3EF9166C" w14:textId="77777777" w:rsidR="006B1456" w:rsidRDefault="002B5F9B">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1fob9te">
            <w:r>
              <w:rPr>
                <w:color w:val="000000"/>
              </w:rPr>
              <w:t>Emerging changes in Human Resourcing Strategies</w:t>
            </w:r>
            <w:r>
              <w:rPr>
                <w:color w:val="000000"/>
              </w:rPr>
              <w:tab/>
              <w:t>4</w:t>
            </w:r>
          </w:hyperlink>
        </w:p>
        <w:p w14:paraId="74DE0246" w14:textId="77777777" w:rsidR="006B1456" w:rsidRDefault="002B5F9B">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3znysh7">
            <w:r>
              <w:rPr>
                <w:color w:val="000000"/>
              </w:rPr>
              <w:t>Conclusion</w:t>
            </w:r>
            <w:r>
              <w:rPr>
                <w:color w:val="000000"/>
              </w:rPr>
              <w:tab/>
              <w:t>5</w:t>
            </w:r>
          </w:hyperlink>
        </w:p>
        <w:p w14:paraId="040A3DDB" w14:textId="77777777" w:rsidR="006B1456" w:rsidRDefault="002B5F9B">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2et92p0">
            <w:r>
              <w:rPr>
                <w:color w:val="000000"/>
              </w:rPr>
              <w:t>Reference list</w:t>
            </w:r>
            <w:r>
              <w:rPr>
                <w:color w:val="000000"/>
              </w:rPr>
              <w:tab/>
              <w:t>6</w:t>
            </w:r>
          </w:hyperlink>
        </w:p>
        <w:p w14:paraId="17F3A8F1" w14:textId="77777777" w:rsidR="006B1456" w:rsidRDefault="002B5F9B">
          <w:r>
            <w:fldChar w:fldCharType="end"/>
          </w:r>
        </w:p>
      </w:sdtContent>
    </w:sdt>
    <w:p w14:paraId="79A4E9BB" w14:textId="77777777" w:rsidR="006B1456" w:rsidRDefault="006B1456"/>
    <w:p w14:paraId="46A7B660" w14:textId="77777777" w:rsidR="006B1456" w:rsidRDefault="006B1456"/>
    <w:p w14:paraId="2B0C5C10" w14:textId="77777777" w:rsidR="006B1456" w:rsidRDefault="006B1456"/>
    <w:p w14:paraId="1434ADD4" w14:textId="77777777" w:rsidR="006B1456" w:rsidRDefault="006B1456"/>
    <w:p w14:paraId="43FD5397" w14:textId="77777777" w:rsidR="006B1456" w:rsidRDefault="006B1456"/>
    <w:p w14:paraId="687C9CD2" w14:textId="77777777" w:rsidR="006B1456" w:rsidRDefault="006B1456"/>
    <w:p w14:paraId="0F9923BF" w14:textId="77777777" w:rsidR="006B1456" w:rsidRDefault="006B1456"/>
    <w:p w14:paraId="00FD08BE" w14:textId="77777777" w:rsidR="006B1456" w:rsidRDefault="006B1456"/>
    <w:p w14:paraId="064516E7" w14:textId="77777777" w:rsidR="006B1456" w:rsidRDefault="006B1456"/>
    <w:p w14:paraId="238C4009" w14:textId="77777777" w:rsidR="006B1456" w:rsidRDefault="006B1456"/>
    <w:p w14:paraId="56816D5F" w14:textId="77777777" w:rsidR="006B1456" w:rsidRDefault="006B1456"/>
    <w:p w14:paraId="3E4DB6BB" w14:textId="77777777" w:rsidR="006B1456" w:rsidRDefault="006B1456"/>
    <w:p w14:paraId="46680497" w14:textId="77777777" w:rsidR="006B1456" w:rsidRDefault="006B1456"/>
    <w:p w14:paraId="1F84FAD6" w14:textId="77777777" w:rsidR="006B1456" w:rsidRDefault="006B1456"/>
    <w:p w14:paraId="4B979F62" w14:textId="77777777" w:rsidR="006B1456" w:rsidRDefault="006B1456"/>
    <w:p w14:paraId="12CA62EC" w14:textId="77777777" w:rsidR="006B1456" w:rsidRDefault="006B1456"/>
    <w:p w14:paraId="7941B5EC" w14:textId="77777777" w:rsidR="006B1456" w:rsidRDefault="006B1456"/>
    <w:p w14:paraId="68ED15CB" w14:textId="77777777" w:rsidR="006B1456" w:rsidRDefault="006B1456"/>
    <w:p w14:paraId="6A69FEB6" w14:textId="77777777" w:rsidR="006B1456" w:rsidRDefault="006B1456"/>
    <w:p w14:paraId="7F5D7084" w14:textId="77777777" w:rsidR="006B1456" w:rsidRDefault="006B1456"/>
    <w:p w14:paraId="3EB28771" w14:textId="77777777" w:rsidR="006B1456" w:rsidRDefault="006B1456"/>
    <w:p w14:paraId="6202CDE5" w14:textId="77777777" w:rsidR="006B1456" w:rsidRDefault="006B1456"/>
    <w:p w14:paraId="20A1ADD9" w14:textId="77777777" w:rsidR="006B1456" w:rsidRDefault="002B5F9B">
      <w:pPr>
        <w:pStyle w:val="Heading1"/>
        <w:jc w:val="both"/>
      </w:pPr>
      <w:bookmarkStart w:id="0" w:name="_gjdgxs" w:colFirst="0" w:colLast="0"/>
      <w:bookmarkEnd w:id="0"/>
      <w:r>
        <w:t xml:space="preserve">Introduction </w:t>
      </w:r>
    </w:p>
    <w:p w14:paraId="759727A2" w14:textId="77777777" w:rsidR="006B1456" w:rsidRDefault="002B5F9B">
      <w:pPr>
        <w:jc w:val="both"/>
      </w:pPr>
      <w:r>
        <w:t xml:space="preserve">The </w:t>
      </w:r>
      <w:proofErr w:type="spellStart"/>
      <w:r>
        <w:t>labor</w:t>
      </w:r>
      <w:proofErr w:type="spellEnd"/>
      <w:r>
        <w:t xml:space="preserve"> market is the place in which the employees and workers meet and interact with each other. It usually offers the demand and supply of </w:t>
      </w:r>
      <w:proofErr w:type="spellStart"/>
      <w:r>
        <w:t>labor</w:t>
      </w:r>
      <w:proofErr w:type="spellEnd"/>
      <w:r>
        <w:t xml:space="preserve">. In a </w:t>
      </w:r>
      <w:proofErr w:type="spellStart"/>
      <w:r>
        <w:t>labor</w:t>
      </w:r>
      <w:proofErr w:type="spellEnd"/>
      <w:r>
        <w:t xml:space="preserve"> market, the workers compete with each other to get hired by the best employers, and the employe</w:t>
      </w:r>
      <w:r>
        <w:t xml:space="preserve">rs in a competition to hire the best workers from the market. This report contains the evaluation and analysis of the current status of the UK </w:t>
      </w:r>
      <w:proofErr w:type="spellStart"/>
      <w:r>
        <w:t>labor</w:t>
      </w:r>
      <w:proofErr w:type="spellEnd"/>
      <w:r>
        <w:t xml:space="preserve"> market. The second part of the report is about the HR strategies. HR strategies are important for a busines</w:t>
      </w:r>
      <w:r>
        <w:t>s in order to conduct HR activities properly. During this post covid time, there are many strategies are conducted by the HR department. Human resourcing is an important activity by HR. It is important to appoint workers with high efficiency and skill. Thi</w:t>
      </w:r>
      <w:r>
        <w:t>s part includes the emerging changes in the Human Resourcing strategies in the post covid environment.</w:t>
      </w:r>
    </w:p>
    <w:p w14:paraId="42D86ED5" w14:textId="77777777" w:rsidR="006B1456" w:rsidRDefault="002B5F9B">
      <w:pPr>
        <w:pStyle w:val="Heading1"/>
      </w:pPr>
      <w:bookmarkStart w:id="1" w:name="_tyjcwt" w:colFirst="0" w:colLast="0"/>
      <w:bookmarkEnd w:id="1"/>
      <w:r>
        <w:t xml:space="preserve">Current status of the UK </w:t>
      </w:r>
      <w:proofErr w:type="spellStart"/>
      <w:r>
        <w:t>labor</w:t>
      </w:r>
      <w:proofErr w:type="spellEnd"/>
      <w:r>
        <w:t xml:space="preserve"> Market</w:t>
      </w:r>
    </w:p>
    <w:p w14:paraId="0420BA53" w14:textId="77777777" w:rsidR="006B1456" w:rsidRDefault="002B5F9B">
      <w:pPr>
        <w:jc w:val="both"/>
      </w:pPr>
      <w:r>
        <w:t>From the details of the latest labour force survey, there was an increase in the rate of employment and unemploymen</w:t>
      </w:r>
      <w:r>
        <w:t xml:space="preserve">t and economic inactivity is decreasing. Britain’s exit from the European unions and covid pandemic affected the </w:t>
      </w:r>
      <w:proofErr w:type="spellStart"/>
      <w:r>
        <w:t>labor</w:t>
      </w:r>
      <w:proofErr w:type="spellEnd"/>
      <w:r>
        <w:t xml:space="preserve"> market in a lot of ways. Some workers in the market were hugely impacted by the pandemic. Low-paid workers were most affected by the pand</w:t>
      </w:r>
      <w:r>
        <w:t xml:space="preserve">emic, particularly hospitality and non-essential retail, so were most likely to be put on experience falls in income at the beginning of the pandemic (Nickell, 2001). However, the rise in vacancies in 2021 and 2022 was increased by low-paying jobs, and by </w:t>
      </w:r>
      <w:r>
        <w:t>February 2022 unemployment rates in low occupations had almost completely come back to normal. Before the pandemic, the unemployment rates of minority groups were higher than before. And witnesses a huge increase between January to march of 2020 and Januar</w:t>
      </w:r>
      <w:r>
        <w:t>y to march of 2022. Employees of minority ethnic groups were experiencing a loss of income at the beginning of the covid -19 pandemic. By that time unemployment rate has increased widely for minority ethnic groups over the pandemic (</w:t>
      </w:r>
      <w:proofErr w:type="spellStart"/>
      <w:r>
        <w:t>Averett</w:t>
      </w:r>
      <w:proofErr w:type="spellEnd"/>
      <w:r>
        <w:t xml:space="preserve">, </w:t>
      </w:r>
      <w:proofErr w:type="spellStart"/>
      <w:r>
        <w:t>Argys</w:t>
      </w:r>
      <w:proofErr w:type="spellEnd"/>
      <w:r>
        <w:t xml:space="preserve"> and Kohn</w:t>
      </w:r>
      <w:r>
        <w:t xml:space="preserve">, 2012). And due to the decrease in economic inactivity rates employment rates had also increased. A lot of changes have occurred within the past 2 years in the </w:t>
      </w:r>
      <w:proofErr w:type="spellStart"/>
      <w:r>
        <w:t>labor</w:t>
      </w:r>
      <w:proofErr w:type="spellEnd"/>
      <w:r>
        <w:t xml:space="preserve"> market. One of the major changes is an increase in the rise of employees as self-employme</w:t>
      </w:r>
      <w:r>
        <w:t>nt falls. 5,51000 people were working part-time in January-march 2022 more than when compared January march 2020. The number of full-time employees increased by 7,56000 when compared to the past 2 years. The difference occurred in the self-employment level</w:t>
      </w:r>
      <w:r>
        <w:t xml:space="preserve"> due to workers reclassifying their </w:t>
      </w:r>
      <w:proofErr w:type="spellStart"/>
      <w:r>
        <w:t>labor</w:t>
      </w:r>
      <w:proofErr w:type="spellEnd"/>
      <w:r>
        <w:t xml:space="preserve"> market status as employees, even if they remained in the same job. Covid-19 affected also the working of men and women differently. In the case of men, it causes a fall in full-time employment. But for women, the n</w:t>
      </w:r>
      <w:r>
        <w:t xml:space="preserve">umber of full-time employees increased. It is because of the fall in the </w:t>
      </w:r>
      <w:r>
        <w:lastRenderedPageBreak/>
        <w:t>number of full-time workers (</w:t>
      </w:r>
      <w:proofErr w:type="spellStart"/>
      <w:r>
        <w:t>Herz</w:t>
      </w:r>
      <w:proofErr w:type="spellEnd"/>
      <w:r>
        <w:t xml:space="preserve"> and Van </w:t>
      </w:r>
      <w:proofErr w:type="spellStart"/>
      <w:r>
        <w:t>Rens</w:t>
      </w:r>
      <w:proofErr w:type="spellEnd"/>
      <w:r>
        <w:t xml:space="preserve">, 2020). Public sector employment in the </w:t>
      </w:r>
      <w:proofErr w:type="spellStart"/>
      <w:r>
        <w:t>labor</w:t>
      </w:r>
      <w:proofErr w:type="spellEnd"/>
      <w:r>
        <w:t xml:space="preserve"> market is high while comparing to the previous time. Earlier it was 1.3 percent, now it is</w:t>
      </w:r>
      <w:r>
        <w:t xml:space="preserve"> increased to 5.1 percent. UK </w:t>
      </w:r>
      <w:proofErr w:type="spellStart"/>
      <w:r>
        <w:t>labor</w:t>
      </w:r>
      <w:proofErr w:type="spellEnd"/>
      <w:r>
        <w:t xml:space="preserve"> market is tightened by falling unemployment and rising the number of vacancies. It is the first time in the number of job vacancies is higher than the unemployment level. Workers are taking the advantage of this situatio</w:t>
      </w:r>
      <w:r>
        <w:t xml:space="preserve">n from one work to another (Green and </w:t>
      </w:r>
      <w:proofErr w:type="spellStart"/>
      <w:r>
        <w:t>Henseke</w:t>
      </w:r>
      <w:proofErr w:type="spellEnd"/>
      <w:r>
        <w:t xml:space="preserve">, 2021). Bonuses are used for hiring difficulties. For the three months ending June 2022, the highest employment rate estimate in the UK was in the East of England (78.4%) and the lowest was in Northern Ireland </w:t>
      </w:r>
      <w:r>
        <w:t>(69.7%). Most regions of the UK saw a rise in the employment rate equated with the same period last year, with the largest increase seen in Yorkshire and The Humber, which was up by 1.6 percentage points; Wales was the only region sighted a reduction, down</w:t>
      </w:r>
      <w:r>
        <w:t xml:space="preserve"> by 1.4 percentage points (Shibata and </w:t>
      </w:r>
      <w:proofErr w:type="spellStart"/>
      <w:r>
        <w:t>Pizzinelli</w:t>
      </w:r>
      <w:proofErr w:type="spellEnd"/>
      <w:r>
        <w:t>, 2022). For the three months ending June 2022, the highest unemployment rate estimate in the UK was in the North East (5.1%) and the lowest was in the East Midlands (2.4%), a record low rate for the region;</w:t>
      </w:r>
      <w:r>
        <w:t xml:space="preserve"> Scotland had an unemployment rate of 3.2%, which is a combined record low for the region (</w:t>
      </w:r>
      <w:proofErr w:type="spellStart"/>
      <w:r>
        <w:t>Fidrmuc</w:t>
      </w:r>
      <w:proofErr w:type="spellEnd"/>
      <w:r>
        <w:t xml:space="preserve"> and Tena, 2018). All regions in the UK saw a decrease in the unemployment rate associated with a similar period last year; the East Midlands saw the largest </w:t>
      </w:r>
      <w:r>
        <w:t>decrease, of 1.9 percentage points, while the smallest decrease was in Wales, down by 0.3 percentage points. For the three months ending June 2022, the highest economic inactivity rate estimate in the UK was in Northern Ireland (28.3%) and the lowest was i</w:t>
      </w:r>
      <w:r>
        <w:t xml:space="preserve">n the East of England (18.9%) (Rappaport, </w:t>
      </w:r>
      <w:proofErr w:type="spellStart"/>
      <w:r>
        <w:t>Pizzinelli</w:t>
      </w:r>
      <w:proofErr w:type="spellEnd"/>
      <w:r>
        <w:t xml:space="preserve"> and </w:t>
      </w:r>
      <w:proofErr w:type="spellStart"/>
      <w:r>
        <w:t>Dabla</w:t>
      </w:r>
      <w:proofErr w:type="spellEnd"/>
      <w:r>
        <w:t>-Norris, 2022). Compared with the same period last year, the largest change in the economic inactivity rate was in Wales, with a growth of 1.7 percentage points, while the largest cut was in Yor</w:t>
      </w:r>
      <w:r>
        <w:t xml:space="preserve">kshire and The Humber, which was down by 1.3 percentage points. Between June and July 2022, the number of </w:t>
      </w:r>
      <w:proofErr w:type="spellStart"/>
      <w:r>
        <w:t>payrolled</w:t>
      </w:r>
      <w:proofErr w:type="spellEnd"/>
      <w:r>
        <w:t xml:space="preserve"> employees in the UK continued to increase in all regions, with the largest percentage increases in London and Northern Ireland, and the smal</w:t>
      </w:r>
      <w:r>
        <w:t>lest in the East Midlands and Wales.</w:t>
      </w:r>
    </w:p>
    <w:tbl>
      <w:tblPr>
        <w:tblStyle w:val="a"/>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508"/>
        <w:gridCol w:w="4508"/>
      </w:tblGrid>
      <w:tr w:rsidR="006B1456" w14:paraId="44A8E156" w14:textId="77777777">
        <w:tc>
          <w:tcPr>
            <w:tcW w:w="4508" w:type="dxa"/>
          </w:tcPr>
          <w:p w14:paraId="7698A691" w14:textId="77777777" w:rsidR="006B1456" w:rsidRDefault="002B5F9B">
            <w:r>
              <w:t xml:space="preserve">INDICATORS </w:t>
            </w:r>
          </w:p>
        </w:tc>
        <w:tc>
          <w:tcPr>
            <w:tcW w:w="4508" w:type="dxa"/>
          </w:tcPr>
          <w:p w14:paraId="593AED27" w14:textId="77777777" w:rsidR="006B1456" w:rsidRDefault="002B5F9B">
            <w:r>
              <w:t>VALUES</w:t>
            </w:r>
          </w:p>
        </w:tc>
      </w:tr>
      <w:tr w:rsidR="006B1456" w14:paraId="4D8E1F10" w14:textId="77777777">
        <w:tc>
          <w:tcPr>
            <w:tcW w:w="4508" w:type="dxa"/>
          </w:tcPr>
          <w:p w14:paraId="1DD976DD" w14:textId="77777777" w:rsidR="006B1456" w:rsidRDefault="002B5F9B">
            <w:r>
              <w:t>Pay rolled employees (monthly change)</w:t>
            </w:r>
          </w:p>
        </w:tc>
        <w:tc>
          <w:tcPr>
            <w:tcW w:w="4508" w:type="dxa"/>
          </w:tcPr>
          <w:p w14:paraId="3AB1AEDD" w14:textId="77777777" w:rsidR="006B1456" w:rsidRDefault="002B5F9B">
            <w:r>
              <w:t>121,000</w:t>
            </w:r>
          </w:p>
        </w:tc>
      </w:tr>
      <w:tr w:rsidR="006B1456" w14:paraId="5B722978" w14:textId="77777777">
        <w:tc>
          <w:tcPr>
            <w:tcW w:w="4508" w:type="dxa"/>
          </w:tcPr>
          <w:p w14:paraId="604A8D4A" w14:textId="77777777" w:rsidR="006B1456" w:rsidRDefault="002B5F9B">
            <w:r>
              <w:t>The employment rate (aged 16-24)</w:t>
            </w:r>
          </w:p>
        </w:tc>
        <w:tc>
          <w:tcPr>
            <w:tcW w:w="4508" w:type="dxa"/>
          </w:tcPr>
          <w:p w14:paraId="271B3FFA" w14:textId="77777777" w:rsidR="006B1456" w:rsidRDefault="002B5F9B">
            <w:r>
              <w:t>0.1ppt</w:t>
            </w:r>
          </w:p>
        </w:tc>
      </w:tr>
      <w:tr w:rsidR="006B1456" w14:paraId="1784AA54" w14:textId="77777777">
        <w:tc>
          <w:tcPr>
            <w:tcW w:w="4508" w:type="dxa"/>
          </w:tcPr>
          <w:p w14:paraId="45ADBDA8" w14:textId="77777777" w:rsidR="006B1456" w:rsidRDefault="002B5F9B">
            <w:r>
              <w:t>Unemployment rate (quarterly change)</w:t>
            </w:r>
          </w:p>
        </w:tc>
        <w:tc>
          <w:tcPr>
            <w:tcW w:w="4508" w:type="dxa"/>
          </w:tcPr>
          <w:p w14:paraId="3551A070" w14:textId="77777777" w:rsidR="006B1456" w:rsidRDefault="002B5F9B">
            <w:r>
              <w:t>-0.3ppt</w:t>
            </w:r>
          </w:p>
        </w:tc>
      </w:tr>
      <w:tr w:rsidR="006B1456" w14:paraId="03BA4EBF" w14:textId="77777777">
        <w:tc>
          <w:tcPr>
            <w:tcW w:w="4508" w:type="dxa"/>
          </w:tcPr>
          <w:p w14:paraId="5787107C" w14:textId="77777777" w:rsidR="006B1456" w:rsidRDefault="002B5F9B">
            <w:r>
              <w:t>Inactivity rate</w:t>
            </w:r>
          </w:p>
        </w:tc>
        <w:tc>
          <w:tcPr>
            <w:tcW w:w="4508" w:type="dxa"/>
          </w:tcPr>
          <w:p w14:paraId="7390592F" w14:textId="77777777" w:rsidR="006B1456" w:rsidRDefault="002B5F9B">
            <w:r>
              <w:t>0.1ppt</w:t>
            </w:r>
          </w:p>
        </w:tc>
      </w:tr>
      <w:tr w:rsidR="006B1456" w14:paraId="1D12AF6F" w14:textId="77777777">
        <w:tc>
          <w:tcPr>
            <w:tcW w:w="4508" w:type="dxa"/>
          </w:tcPr>
          <w:p w14:paraId="1D6BB3CE" w14:textId="77777777" w:rsidR="006B1456" w:rsidRDefault="002B5F9B">
            <w:r>
              <w:t>Redundancy rate (quarterly change)</w:t>
            </w:r>
          </w:p>
        </w:tc>
        <w:tc>
          <w:tcPr>
            <w:tcW w:w="4508" w:type="dxa"/>
          </w:tcPr>
          <w:p w14:paraId="47DDA513" w14:textId="77777777" w:rsidR="006B1456" w:rsidRDefault="002B5F9B">
            <w:r>
              <w:t>-0.1 ppt</w:t>
            </w:r>
          </w:p>
        </w:tc>
      </w:tr>
      <w:tr w:rsidR="006B1456" w14:paraId="5791BE04" w14:textId="77777777">
        <w:tc>
          <w:tcPr>
            <w:tcW w:w="4508" w:type="dxa"/>
          </w:tcPr>
          <w:p w14:paraId="70E0ED85" w14:textId="77777777" w:rsidR="006B1456" w:rsidRDefault="002B5F9B">
            <w:r>
              <w:t xml:space="preserve">Hours worked </w:t>
            </w:r>
          </w:p>
        </w:tc>
        <w:tc>
          <w:tcPr>
            <w:tcW w:w="4508" w:type="dxa"/>
          </w:tcPr>
          <w:p w14:paraId="0004EA00" w14:textId="77777777" w:rsidR="006B1456" w:rsidRDefault="002B5F9B">
            <w:r>
              <w:t>14.8 million</w:t>
            </w:r>
          </w:p>
        </w:tc>
      </w:tr>
      <w:tr w:rsidR="006B1456" w14:paraId="276A962D" w14:textId="77777777">
        <w:tc>
          <w:tcPr>
            <w:tcW w:w="4508" w:type="dxa"/>
          </w:tcPr>
          <w:p w14:paraId="0D338C41" w14:textId="77777777" w:rsidR="006B1456" w:rsidRDefault="002B5F9B">
            <w:r>
              <w:t>Job vacancies (quarterly change)</w:t>
            </w:r>
          </w:p>
        </w:tc>
        <w:tc>
          <w:tcPr>
            <w:tcW w:w="4508" w:type="dxa"/>
          </w:tcPr>
          <w:p w14:paraId="0D985110" w14:textId="77777777" w:rsidR="006B1456" w:rsidRDefault="002B5F9B">
            <w:r>
              <w:t>33,700</w:t>
            </w:r>
          </w:p>
        </w:tc>
      </w:tr>
      <w:tr w:rsidR="006B1456" w14:paraId="365C1608" w14:textId="77777777">
        <w:tc>
          <w:tcPr>
            <w:tcW w:w="4508" w:type="dxa"/>
          </w:tcPr>
          <w:p w14:paraId="3F0FFB23" w14:textId="77777777" w:rsidR="006B1456" w:rsidRDefault="002B5F9B">
            <w:r>
              <w:t>Nominal earnings</w:t>
            </w:r>
          </w:p>
        </w:tc>
        <w:tc>
          <w:tcPr>
            <w:tcW w:w="4508" w:type="dxa"/>
          </w:tcPr>
          <w:p w14:paraId="63224FCB" w14:textId="77777777" w:rsidR="006B1456" w:rsidRDefault="002B5F9B">
            <w:r>
              <w:t>Base effect</w:t>
            </w:r>
          </w:p>
        </w:tc>
      </w:tr>
      <w:tr w:rsidR="006B1456" w14:paraId="3BF76638" w14:textId="77777777">
        <w:tc>
          <w:tcPr>
            <w:tcW w:w="4508" w:type="dxa"/>
          </w:tcPr>
          <w:p w14:paraId="05C61158" w14:textId="77777777" w:rsidR="006B1456" w:rsidRDefault="002B5F9B">
            <w:r>
              <w:t>Real earnings</w:t>
            </w:r>
          </w:p>
        </w:tc>
        <w:tc>
          <w:tcPr>
            <w:tcW w:w="4508" w:type="dxa"/>
          </w:tcPr>
          <w:p w14:paraId="1A9407AE" w14:textId="77777777" w:rsidR="006B1456" w:rsidRDefault="002B5F9B">
            <w:r>
              <w:t>Base effect</w:t>
            </w:r>
          </w:p>
        </w:tc>
      </w:tr>
    </w:tbl>
    <w:p w14:paraId="1D193B2D" w14:textId="77777777" w:rsidR="006B1456" w:rsidRDefault="002B5F9B">
      <w:r>
        <w:t xml:space="preserve"> </w:t>
      </w:r>
    </w:p>
    <w:p w14:paraId="6BFFF61A" w14:textId="77777777" w:rsidR="006B1456" w:rsidRDefault="002B5F9B">
      <w:pPr>
        <w:jc w:val="both"/>
      </w:pPr>
      <w:r>
        <w:t xml:space="preserve">The above table shows some key indicators of the UK </w:t>
      </w:r>
      <w:proofErr w:type="spellStart"/>
      <w:r>
        <w:t>labor</w:t>
      </w:r>
      <w:proofErr w:type="spellEnd"/>
      <w:r>
        <w:t xml:space="preserve"> market in the year 2022. The current population of the UK is about 68 million. The rate of the monthly change in </w:t>
      </w:r>
      <w:proofErr w:type="spellStart"/>
      <w:r>
        <w:t>payrolled</w:t>
      </w:r>
      <w:proofErr w:type="spellEnd"/>
      <w:r>
        <w:t xml:space="preserve"> employees is 121,000 which is more when compared to the pre-pandemic state.</w:t>
      </w:r>
      <w:r>
        <w:t xml:space="preserve"> The employment rate of youth aged between 16 to 24 is 0.1 people per thousand. It is growing at a rate. But still, it is below than pre-pandemic level. Another indicator is the unemployment rate (Shibata and </w:t>
      </w:r>
      <w:proofErr w:type="spellStart"/>
      <w:r>
        <w:t>Pizzinelli</w:t>
      </w:r>
      <w:proofErr w:type="spellEnd"/>
      <w:r>
        <w:t>, 2022b). The quarterly change for un</w:t>
      </w:r>
      <w:r>
        <w:t>employment is -0.3 person per thousand, which is lower than the pre-</w:t>
      </w:r>
      <w:r>
        <w:lastRenderedPageBreak/>
        <w:t xml:space="preserve">pandemic level. The inactivity rate is the part of the population outside the </w:t>
      </w:r>
      <w:proofErr w:type="spellStart"/>
      <w:r>
        <w:t>labor</w:t>
      </w:r>
      <w:proofErr w:type="spellEnd"/>
      <w:r>
        <w:t xml:space="preserve"> force. It is considered as 0.1 people per thousand of the population. quarter change of inactivity is hi</w:t>
      </w:r>
      <w:r>
        <w:t xml:space="preserve">gher, but compared to the pre-pandemic level it is still more. The redundancy rate is the amount people turned to not using for the work or losing the work. The quarterly change in the redundancy rate of the UK </w:t>
      </w:r>
      <w:proofErr w:type="spellStart"/>
      <w:r>
        <w:t>labor</w:t>
      </w:r>
      <w:proofErr w:type="spellEnd"/>
      <w:r>
        <w:t xml:space="preserve"> market is -0.1 people per thousand whic</w:t>
      </w:r>
      <w:r>
        <w:t>h is lower than the pre-pandemic level. Another indicator is the working hours of the people (Forsythe, 2020). The quarterly change in the working hours is 14.8 million. Actual working hours are lower than the pre-pandemic level. The number of job vacancie</w:t>
      </w:r>
      <w:r>
        <w:t xml:space="preserve">s in the market rate according to the quarterly change is 33,700 increased to a higher level than in pre-pandemic time. The other two indicators are nominal pay and real pay (Kozlova, 2020). Real pay is the real income of the person and nominal pay is the </w:t>
      </w:r>
      <w:r>
        <w:t>per-hour payment of the person. Growth rates were affected upwards for both these indicators and also a small base effect is also shown due to the winter lockdown.  The number of full-time employees is increased to a high. The number of part-time employees</w:t>
      </w:r>
      <w:r>
        <w:t xml:space="preserve"> is also increased which shows growth from the fall during the time of the covid pandemic (GOVOROVA, 2020). The number of self-employed workers also increased. Besides covid, another reason for these changes is Brexit. It makes a huge impact on the employm</w:t>
      </w:r>
      <w:r>
        <w:t xml:space="preserve">ent of the people. The </w:t>
      </w:r>
      <w:proofErr w:type="spellStart"/>
      <w:r>
        <w:t>labor</w:t>
      </w:r>
      <w:proofErr w:type="spellEnd"/>
      <w:r>
        <w:t xml:space="preserve"> market becomes tight and the number of job vacancies increases.  The recruiters of the market now facing many difficulties in recruiting people. Migration restrictions also affected the employment of people. Importers face seve</w:t>
      </w:r>
      <w:r>
        <w:t xml:space="preserve">ral problems like the need for health certificates and submitting paperwork. many countries stop working and left the country after Brexit. More people are working on zero-hour contracts (Langer and </w:t>
      </w:r>
      <w:proofErr w:type="spellStart"/>
      <w:r>
        <w:t>Tetenyi</w:t>
      </w:r>
      <w:proofErr w:type="spellEnd"/>
      <w:r>
        <w:t xml:space="preserve">, 2018). This means firms are not ready to give a </w:t>
      </w:r>
      <w:r>
        <w:t xml:space="preserve">minimum number of paid hours. It increases both flexibility and uncertainty. </w:t>
      </w:r>
      <w:proofErr w:type="spellStart"/>
      <w:r>
        <w:t>Labor</w:t>
      </w:r>
      <w:proofErr w:type="spellEnd"/>
      <w:r>
        <w:t xml:space="preserve"> market participation is reduced. It is because of the shift to working from home evaluate that people’s work-life balance. This is the current state of the UK </w:t>
      </w:r>
      <w:proofErr w:type="spellStart"/>
      <w:r>
        <w:t>labor</w:t>
      </w:r>
      <w:proofErr w:type="spellEnd"/>
      <w:r>
        <w:t xml:space="preserve"> market.</w:t>
      </w:r>
    </w:p>
    <w:p w14:paraId="55912B98" w14:textId="77777777" w:rsidR="006B1456" w:rsidRDefault="002B5F9B">
      <w:pPr>
        <w:pStyle w:val="Heading1"/>
        <w:jc w:val="both"/>
      </w:pPr>
      <w:bookmarkStart w:id="2" w:name="_3dy6vkm" w:colFirst="0" w:colLast="0"/>
      <w:bookmarkEnd w:id="2"/>
      <w:r>
        <w:t>Emerging changes in Human Resourcing Strategies</w:t>
      </w:r>
    </w:p>
    <w:p w14:paraId="3D4252A4" w14:textId="77777777" w:rsidR="006B1456" w:rsidRDefault="002B5F9B">
      <w:pPr>
        <w:spacing w:line="276" w:lineRule="auto"/>
        <w:jc w:val="both"/>
      </w:pPr>
      <w:r>
        <w:t>Several changes occurred in the Human Resourcing strategies after Brexit and covid pandemic. Many changes occurred in the recruitment of human resources after Brexit and Covid - 19 pandemic. Remote interviewi</w:t>
      </w:r>
      <w:r>
        <w:t>ng is one of the major recruiting strategies in 2022. Job interviews are taken on various online platforms. The employers collaborate with different technologies to hire suitable people. Another change is occurred in the experience of candidates, due to co</w:t>
      </w:r>
      <w:r>
        <w:t>vid pandemic the employers started to hire employees with more experience. It is because of the loss of the market during Brexit and covid time and the need to bring up to positive work-life balance. Another change in the strategy is diversity. Gender bias</w:t>
      </w:r>
      <w:r>
        <w:t xml:space="preserve"> for recruitment is minimized in this style. Organizations are looking forward to boosting the diversity of the workforce (Stephens, 2001). It helps in bringing highly qualified and experienced candidates. Nowadays robotic process automation is used for re</w:t>
      </w:r>
      <w:r>
        <w:t>cruiting. It helps in recruiting on a large scale and it also helps in the fast hiring of candidates. It can also evaluate different types of documents at a time and also can screen, sort, and rank candidates. Artificial intelligence also placed an importa</w:t>
      </w:r>
      <w:r>
        <w:t xml:space="preserve">nt role in human resourcing. With the help of these AI programs employers in the market can identify and select </w:t>
      </w:r>
      <w:r>
        <w:lastRenderedPageBreak/>
        <w:t>suitable candidates. Assessing skills and competencies used to screen the candidates is another change in hiring. Particular skills and competen</w:t>
      </w:r>
      <w:r>
        <w:t>cies criteria are provided by employers for the selection. One of the important trends in HR is that Hybrid work becomes mainstream. Remote knowledge workers increased their working flexibility. The organization begins to upskill the employees to improve t</w:t>
      </w:r>
      <w:r>
        <w:t>heir performance. It is important to fill skills needs both effectively and efficiently. One of the recruiting trends is flexible schedules (Ridgway, 2019). Employers focus on the flexible schedule of the people as the remote work and other potential offic</w:t>
      </w:r>
      <w:r>
        <w:t>e changes are continued. Human resourcing is conducted to the requirements and flexibility of the people. Pandemics also affect the payment of the workers. It changes the traditional approach to doing things. The organization provides more payroll flexibil</w:t>
      </w:r>
      <w:r>
        <w:t>ity. After recovering from the issues of the pandemic companies choose HR systems and platforms which are easy to browse and with a seamless user interface. Nowadays reskilling, upskilling, and flexible development opportunities are priorities of HR (</w:t>
      </w:r>
      <w:proofErr w:type="spellStart"/>
      <w:r>
        <w:t>Zhura</w:t>
      </w:r>
      <w:r>
        <w:t>vska</w:t>
      </w:r>
      <w:proofErr w:type="spellEnd"/>
      <w:r>
        <w:t>, 2019). Employee upskilling is a sustainable approach to developing the workforce. It helped the HR department reduce recruitment costs and boost the morale of retaining employees. The organizations bring upskilling activities to help the workforce co</w:t>
      </w:r>
      <w:r>
        <w:t xml:space="preserve">mpete in the job market. The activities of HR are conducted now on based on driven and people analytics. HR executives today use data generators to fill the gaps in their workforce and skills. Social media recruitment is another trend in human resourcing. </w:t>
      </w:r>
      <w:r>
        <w:t>Several surveys show that the average UK company spends a lot of its recruitment budget on its social media. Social media are considered a unique tool to connect with potential talent. There are several changes occurred in the criteria for the selection of</w:t>
      </w:r>
      <w:r>
        <w:t xml:space="preserve"> employees. Employers are given importance to the cognitive ability of the workforce. Employers provide pre-employment texting to evaluate how the candidates use mental processes, abstract thinking, problem-solving, etc (Fedoseev, 2017). Technology impacte</w:t>
      </w:r>
      <w:r>
        <w:t>d the recruitment and selection process a lot. The application tracking system helps to sort the candidates and helped to manage the applications sent by the candidates. HR is facing difficulties in tracking employees digitally. Before the pandemic employe</w:t>
      </w:r>
      <w:r>
        <w:t>es would come to the office, scan their id proof, and get attendance. And also tracking can be done while they log into their computer. Now it depends upon online tools like l, virtual time sheets, virtual attendance, etc. Analytics are used for recruiting</w:t>
      </w:r>
      <w:r>
        <w:t xml:space="preserve">. The use of analytics in the talent research process helps in delivering data-driven decisions by identifying the areas of strength and weakness, it also reduces the cost of talent acquisition practices, identifies problems in the process, and also helps </w:t>
      </w:r>
      <w:r>
        <w:t>in the filling of vacancies more quickly. Analytic helps to provide recruiter details about the source of higher, time to fill, time to hire, diversity, cost per hire, and vacancy cost. It also helps the recruiter in the project and prediction of future tr</w:t>
      </w:r>
      <w:r>
        <w:t>ends such as estimation of future performance of the candidates and the probability of acceptance of interview (</w:t>
      </w:r>
      <w:proofErr w:type="spellStart"/>
      <w:r>
        <w:t>Aryatama</w:t>
      </w:r>
      <w:proofErr w:type="spellEnd"/>
      <w:r>
        <w:t xml:space="preserve">, 2020). Employing branding strategies is another change in human resourcing. It helps job seekers to expose what your company is about </w:t>
      </w:r>
      <w:r>
        <w:t xml:space="preserve">even before they submit the job application. It helps candidates to know about the organizations. The adoption of agile hiring methods is also a current trend. It includes </w:t>
      </w:r>
      <w:r>
        <w:lastRenderedPageBreak/>
        <w:t>the process of asking the candidates to complete different tasks and projects to tes</w:t>
      </w:r>
      <w:r>
        <w:t>t their skills and abilities.</w:t>
      </w:r>
    </w:p>
    <w:p w14:paraId="3469310D" w14:textId="77777777" w:rsidR="006B1456" w:rsidRDefault="002B5F9B">
      <w:pPr>
        <w:pStyle w:val="Heading1"/>
      </w:pPr>
      <w:bookmarkStart w:id="3" w:name="_1t3h5sf" w:colFirst="0" w:colLast="0"/>
      <w:bookmarkEnd w:id="3"/>
      <w:r>
        <w:t>Conclusion</w:t>
      </w:r>
    </w:p>
    <w:p w14:paraId="428B8089" w14:textId="77777777" w:rsidR="006B1456" w:rsidRDefault="002B5F9B">
      <w:r>
        <w:t xml:space="preserve">This report is a detailed report on the current status of the UK </w:t>
      </w:r>
      <w:proofErr w:type="spellStart"/>
      <w:r>
        <w:t>labor</w:t>
      </w:r>
      <w:proofErr w:type="spellEnd"/>
      <w:r>
        <w:t xml:space="preserve"> market and human resourcing strategies. The first part of the report includes the evaluation of UK </w:t>
      </w:r>
      <w:proofErr w:type="spellStart"/>
      <w:r>
        <w:t>labor</w:t>
      </w:r>
      <w:proofErr w:type="spellEnd"/>
      <w:r>
        <w:t xml:space="preserve"> markets after the pandemic and Brexit. The major thing about the </w:t>
      </w:r>
      <w:proofErr w:type="spellStart"/>
      <w:r>
        <w:t>labor</w:t>
      </w:r>
      <w:proofErr w:type="spellEnd"/>
      <w:r>
        <w:t xml:space="preserve"> market is</w:t>
      </w:r>
      <w:r>
        <w:t xml:space="preserve"> job vacancies are increased more than the unemployment rates. The </w:t>
      </w:r>
      <w:proofErr w:type="spellStart"/>
      <w:r>
        <w:t>labor</w:t>
      </w:r>
      <w:proofErr w:type="spellEnd"/>
      <w:r>
        <w:t xml:space="preserve"> market shows a growth rate. Unemployment and economic inactivity of the market are reduced than in previous years. A lot of job vacancies are rising and it helps to reduce the unemplo</w:t>
      </w:r>
      <w:r>
        <w:t>yment rate. It leads to providing jobs without any gender bias, giving importance to skills and agile learning. Incan the case of women, the number of full-time workers increased. Most of the regions of the UK witness a rise in the employment rate. The emp</w:t>
      </w:r>
      <w:r>
        <w:t xml:space="preserve">loyment rate is below than pre-pandemic level. The number of full-time employees increased due to the fall during the time of Covid -19 pandemic. The number of self-employed workers also increased. Besides covid Brexit has also made a huge impact on the </w:t>
      </w:r>
      <w:proofErr w:type="spellStart"/>
      <w:r>
        <w:t>la</w:t>
      </w:r>
      <w:r>
        <w:t>bor</w:t>
      </w:r>
      <w:proofErr w:type="spellEnd"/>
      <w:r>
        <w:t xml:space="preserve"> market. The second part is about the strategy changes in human resourcing. After covid pandemic and Brexit, there are many changes occurred in the selection of the workforce-. Technology plays many roles in the selection of the workforce. Most of the a</w:t>
      </w:r>
      <w:r>
        <w:t>ctivities are done through different online platforms. Gender bias in the selection of workers was reduced. Another strategy is the reskilling, and upskilling of the current workers. To recover from the chaos of past years, employers want employees with mo</w:t>
      </w:r>
      <w:r>
        <w:t>re efficiency and ability.  The employers reskill and upskill the workforce for this. Data tracking and artificial intelligence help to sort the applications of the candidate and selection of appropriate workers for filling the gap. Workers are provided wi</w:t>
      </w:r>
      <w:r>
        <w:t>th flexible schedules and payments. Remote working become a trend in HR. Branding strategies are also made by employers to attract potential customers.</w:t>
      </w:r>
    </w:p>
    <w:p w14:paraId="7CCEE62D" w14:textId="77777777" w:rsidR="006B1456" w:rsidRDefault="002B5F9B">
      <w:pPr>
        <w:pStyle w:val="Heading1"/>
      </w:pPr>
      <w:bookmarkStart w:id="4" w:name="_4d34og8" w:colFirst="0" w:colLast="0"/>
      <w:bookmarkEnd w:id="4"/>
      <w:r>
        <w:t>Reference list</w:t>
      </w:r>
    </w:p>
    <w:p w14:paraId="28614775"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Aryatama</w:t>
      </w:r>
      <w:proofErr w:type="spellEnd"/>
      <w:r>
        <w:rPr>
          <w:rFonts w:ascii="Times New Roman" w:eastAsia="Times New Roman" w:hAnsi="Times New Roman" w:cs="Times New Roman"/>
          <w:color w:val="000000"/>
        </w:rPr>
        <w:t xml:space="preserve">, H. (2020). The Effect of Pandemic COVID-19 in the Outsourcing Industry Sector and the Role of Human Resourcing in Dynamic Organizations. </w:t>
      </w:r>
      <w:r>
        <w:rPr>
          <w:rFonts w:ascii="Times New Roman" w:eastAsia="Times New Roman" w:hAnsi="Times New Roman" w:cs="Times New Roman"/>
          <w:i/>
          <w:color w:val="000000"/>
        </w:rPr>
        <w:t>SSRN Electronic Journal</w:t>
      </w:r>
      <w:r>
        <w:rPr>
          <w:rFonts w:ascii="Times New Roman" w:eastAsia="Times New Roman" w:hAnsi="Times New Roman" w:cs="Times New Roman"/>
          <w:color w:val="000000"/>
        </w:rPr>
        <w:t>. doi:10.2139/ssrn.3591137.</w:t>
      </w:r>
    </w:p>
    <w:p w14:paraId="36FF17C4"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Averett</w:t>
      </w:r>
      <w:proofErr w:type="spellEnd"/>
      <w:r>
        <w:rPr>
          <w:rFonts w:ascii="Times New Roman" w:eastAsia="Times New Roman" w:hAnsi="Times New Roman" w:cs="Times New Roman"/>
          <w:color w:val="000000"/>
        </w:rPr>
        <w:t xml:space="preserve">, S., </w:t>
      </w:r>
      <w:proofErr w:type="spellStart"/>
      <w:r>
        <w:rPr>
          <w:rFonts w:ascii="Times New Roman" w:eastAsia="Times New Roman" w:hAnsi="Times New Roman" w:cs="Times New Roman"/>
          <w:color w:val="000000"/>
        </w:rPr>
        <w:t>Argys</w:t>
      </w:r>
      <w:proofErr w:type="spellEnd"/>
      <w:r>
        <w:rPr>
          <w:rFonts w:ascii="Times New Roman" w:eastAsia="Times New Roman" w:hAnsi="Times New Roman" w:cs="Times New Roman"/>
          <w:color w:val="000000"/>
        </w:rPr>
        <w:t>, L.M. and Kohn, J.L. (2012). Immigratio</w:t>
      </w:r>
      <w:r>
        <w:rPr>
          <w:rFonts w:ascii="Times New Roman" w:eastAsia="Times New Roman" w:hAnsi="Times New Roman" w:cs="Times New Roman"/>
          <w:color w:val="000000"/>
        </w:rPr>
        <w:t xml:space="preserve">n, Obesity and </w:t>
      </w:r>
      <w:proofErr w:type="spellStart"/>
      <w:r>
        <w:rPr>
          <w:rFonts w:ascii="Times New Roman" w:eastAsia="Times New Roman" w:hAnsi="Times New Roman" w:cs="Times New Roman"/>
          <w:color w:val="000000"/>
        </w:rPr>
        <w:t>Labor</w:t>
      </w:r>
      <w:proofErr w:type="spellEnd"/>
      <w:r>
        <w:rPr>
          <w:rFonts w:ascii="Times New Roman" w:eastAsia="Times New Roman" w:hAnsi="Times New Roman" w:cs="Times New Roman"/>
          <w:color w:val="000000"/>
        </w:rPr>
        <w:t xml:space="preserve"> Market Outcomes in the UK. </w:t>
      </w:r>
      <w:r>
        <w:rPr>
          <w:rFonts w:ascii="Times New Roman" w:eastAsia="Times New Roman" w:hAnsi="Times New Roman" w:cs="Times New Roman"/>
          <w:i/>
          <w:color w:val="000000"/>
        </w:rPr>
        <w:t>SSRN Electronic Journal</w:t>
      </w:r>
      <w:r>
        <w:rPr>
          <w:rFonts w:ascii="Times New Roman" w:eastAsia="Times New Roman" w:hAnsi="Times New Roman" w:cs="Times New Roman"/>
          <w:color w:val="000000"/>
        </w:rPr>
        <w:t>. doi:10.2139/ssrn.2039640.</w:t>
      </w:r>
    </w:p>
    <w:p w14:paraId="733F7FE2"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Fedoseev, </w:t>
      </w:r>
      <w:proofErr w:type="spellStart"/>
      <w:r>
        <w:rPr>
          <w:rFonts w:ascii="Times New Roman" w:eastAsia="Times New Roman" w:hAnsi="Times New Roman" w:cs="Times New Roman"/>
          <w:color w:val="000000"/>
        </w:rPr>
        <w:t>Yu.E</w:t>
      </w:r>
      <w:proofErr w:type="spellEnd"/>
      <w:r>
        <w:rPr>
          <w:rFonts w:ascii="Times New Roman" w:eastAsia="Times New Roman" w:hAnsi="Times New Roman" w:cs="Times New Roman"/>
          <w:color w:val="000000"/>
        </w:rPr>
        <w:t xml:space="preserve">. (2017). MODERN PROBLEMS OF THE HUMAN RESOURCING AND NORMATIVE BASE OF TOPOGRAPHICAL ACTIVITIES AS PART OF ENGINEERING-GEODETIC </w:t>
      </w:r>
      <w:proofErr w:type="gramStart"/>
      <w:r>
        <w:rPr>
          <w:rFonts w:ascii="Times New Roman" w:eastAsia="Times New Roman" w:hAnsi="Times New Roman" w:cs="Times New Roman"/>
          <w:color w:val="000000"/>
        </w:rPr>
        <w:t>SURVEYS .</w:t>
      </w:r>
      <w:proofErr w:type="gramEnd"/>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Engi</w:t>
      </w:r>
      <w:r>
        <w:rPr>
          <w:rFonts w:ascii="Times New Roman" w:eastAsia="Times New Roman" w:hAnsi="Times New Roman" w:cs="Times New Roman"/>
          <w:i/>
          <w:color w:val="000000"/>
        </w:rPr>
        <w:t>neering survey</w:t>
      </w:r>
      <w:r>
        <w:rPr>
          <w:rFonts w:ascii="Times New Roman" w:eastAsia="Times New Roman" w:hAnsi="Times New Roman" w:cs="Times New Roman"/>
          <w:color w:val="000000"/>
        </w:rPr>
        <w:t>, (4), pp.20–25. doi:10.25296/1997-8650-2017-4-20-25.</w:t>
      </w:r>
    </w:p>
    <w:p w14:paraId="6619FE74"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lastRenderedPageBreak/>
        <w:t>Fidrmuc</w:t>
      </w:r>
      <w:proofErr w:type="spellEnd"/>
      <w:r>
        <w:rPr>
          <w:rFonts w:ascii="Times New Roman" w:eastAsia="Times New Roman" w:hAnsi="Times New Roman" w:cs="Times New Roman"/>
          <w:color w:val="000000"/>
        </w:rPr>
        <w:t xml:space="preserve">, J. and Tena, J.D. (2018). UK national minimum wage and </w:t>
      </w:r>
      <w:proofErr w:type="spellStart"/>
      <w:r>
        <w:rPr>
          <w:rFonts w:ascii="Times New Roman" w:eastAsia="Times New Roman" w:hAnsi="Times New Roman" w:cs="Times New Roman"/>
          <w:color w:val="000000"/>
        </w:rPr>
        <w:t>labor</w:t>
      </w:r>
      <w:proofErr w:type="spellEnd"/>
      <w:r>
        <w:rPr>
          <w:rFonts w:ascii="Times New Roman" w:eastAsia="Times New Roman" w:hAnsi="Times New Roman" w:cs="Times New Roman"/>
          <w:color w:val="000000"/>
        </w:rPr>
        <w:t xml:space="preserve"> market outcomes of young workers. </w:t>
      </w:r>
      <w:r>
        <w:rPr>
          <w:rFonts w:ascii="Times New Roman" w:eastAsia="Times New Roman" w:hAnsi="Times New Roman" w:cs="Times New Roman"/>
          <w:i/>
          <w:color w:val="000000"/>
        </w:rPr>
        <w:t>Economics: The Open-Access, Open-Assessment E-Journal</w:t>
      </w:r>
      <w:r>
        <w:rPr>
          <w:rFonts w:ascii="Times New Roman" w:eastAsia="Times New Roman" w:hAnsi="Times New Roman" w:cs="Times New Roman"/>
          <w:color w:val="000000"/>
        </w:rPr>
        <w:t>. doi:10.5018/economics-ejourna</w:t>
      </w:r>
      <w:r>
        <w:rPr>
          <w:rFonts w:ascii="Times New Roman" w:eastAsia="Times New Roman" w:hAnsi="Times New Roman" w:cs="Times New Roman"/>
          <w:color w:val="000000"/>
        </w:rPr>
        <w:t>l.ja.2018-5.</w:t>
      </w:r>
    </w:p>
    <w:p w14:paraId="0E43A400"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Forsythe, E. (2020). </w:t>
      </w:r>
      <w:proofErr w:type="spellStart"/>
      <w:r>
        <w:rPr>
          <w:rFonts w:ascii="Times New Roman" w:eastAsia="Times New Roman" w:hAnsi="Times New Roman" w:cs="Times New Roman"/>
          <w:color w:val="000000"/>
        </w:rPr>
        <w:t>Labor</w:t>
      </w:r>
      <w:proofErr w:type="spellEnd"/>
      <w:r>
        <w:rPr>
          <w:rFonts w:ascii="Times New Roman" w:eastAsia="Times New Roman" w:hAnsi="Times New Roman" w:cs="Times New Roman"/>
          <w:color w:val="000000"/>
        </w:rPr>
        <w:t xml:space="preserve"> Market Flows and The Covid-19 Economy. </w:t>
      </w:r>
      <w:r>
        <w:rPr>
          <w:rFonts w:ascii="Times New Roman" w:eastAsia="Times New Roman" w:hAnsi="Times New Roman" w:cs="Times New Roman"/>
          <w:i/>
          <w:color w:val="000000"/>
        </w:rPr>
        <w:t>SSRN Electronic Journal</w:t>
      </w:r>
      <w:r>
        <w:rPr>
          <w:rFonts w:ascii="Times New Roman" w:eastAsia="Times New Roman" w:hAnsi="Times New Roman" w:cs="Times New Roman"/>
          <w:color w:val="000000"/>
        </w:rPr>
        <w:t>. doi:10.2139/ssrn.3586074.</w:t>
      </w:r>
    </w:p>
    <w:p w14:paraId="53F75124"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GOVOROVA, N.V. (2020). The </w:t>
      </w:r>
      <w:proofErr w:type="spellStart"/>
      <w:r>
        <w:rPr>
          <w:rFonts w:ascii="Times New Roman" w:eastAsia="Times New Roman" w:hAnsi="Times New Roman" w:cs="Times New Roman"/>
          <w:color w:val="000000"/>
        </w:rPr>
        <w:t>labor</w:t>
      </w:r>
      <w:proofErr w:type="spellEnd"/>
      <w:r>
        <w:rPr>
          <w:rFonts w:ascii="Times New Roman" w:eastAsia="Times New Roman" w:hAnsi="Times New Roman" w:cs="Times New Roman"/>
          <w:color w:val="000000"/>
        </w:rPr>
        <w:t xml:space="preserve"> market amid the COVID-19 coronavirus pandemic. </w:t>
      </w:r>
      <w:r>
        <w:rPr>
          <w:rFonts w:ascii="Times New Roman" w:eastAsia="Times New Roman" w:hAnsi="Times New Roman" w:cs="Times New Roman"/>
          <w:i/>
          <w:color w:val="000000"/>
        </w:rPr>
        <w:t>Standards and Quality</w:t>
      </w:r>
      <w:r>
        <w:rPr>
          <w:rFonts w:ascii="Times New Roman" w:eastAsia="Times New Roman" w:hAnsi="Times New Roman" w:cs="Times New Roman"/>
          <w:color w:val="000000"/>
        </w:rPr>
        <w:t>, pp.59–63. doi:10.35400/</w:t>
      </w:r>
      <w:r>
        <w:rPr>
          <w:rFonts w:ascii="Times New Roman" w:eastAsia="Times New Roman" w:hAnsi="Times New Roman" w:cs="Times New Roman"/>
          <w:color w:val="000000"/>
        </w:rPr>
        <w:t>0038-9692-2020-6-59-63.</w:t>
      </w:r>
    </w:p>
    <w:p w14:paraId="51F0B44F"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Green, F. and </w:t>
      </w:r>
      <w:proofErr w:type="spellStart"/>
      <w:r>
        <w:rPr>
          <w:rFonts w:ascii="Times New Roman" w:eastAsia="Times New Roman" w:hAnsi="Times New Roman" w:cs="Times New Roman"/>
          <w:color w:val="000000"/>
        </w:rPr>
        <w:t>Henseke</w:t>
      </w:r>
      <w:proofErr w:type="spellEnd"/>
      <w:r>
        <w:rPr>
          <w:rFonts w:ascii="Times New Roman" w:eastAsia="Times New Roman" w:hAnsi="Times New Roman" w:cs="Times New Roman"/>
          <w:color w:val="000000"/>
        </w:rPr>
        <w:t xml:space="preserve">, G. (2021). Europe’s evolving graduate labour markets: supply, demand, underemployment and pay. </w:t>
      </w:r>
      <w:r>
        <w:rPr>
          <w:rFonts w:ascii="Times New Roman" w:eastAsia="Times New Roman" w:hAnsi="Times New Roman" w:cs="Times New Roman"/>
          <w:i/>
          <w:color w:val="000000"/>
        </w:rPr>
        <w:t>Journal for Labour Market Research</w:t>
      </w:r>
      <w:r>
        <w:rPr>
          <w:rFonts w:ascii="Times New Roman" w:eastAsia="Times New Roman" w:hAnsi="Times New Roman" w:cs="Times New Roman"/>
          <w:color w:val="000000"/>
        </w:rPr>
        <w:t>, 55(1). doi:10.1186/s12651-021-00288-y.</w:t>
      </w:r>
    </w:p>
    <w:p w14:paraId="1A421990"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Herz</w:t>
      </w:r>
      <w:proofErr w:type="spellEnd"/>
      <w:r>
        <w:rPr>
          <w:rFonts w:ascii="Times New Roman" w:eastAsia="Times New Roman" w:hAnsi="Times New Roman" w:cs="Times New Roman"/>
          <w:color w:val="000000"/>
        </w:rPr>
        <w:t xml:space="preserve">, B. and Van </w:t>
      </w:r>
      <w:proofErr w:type="spellStart"/>
      <w:r>
        <w:rPr>
          <w:rFonts w:ascii="Times New Roman" w:eastAsia="Times New Roman" w:hAnsi="Times New Roman" w:cs="Times New Roman"/>
          <w:color w:val="000000"/>
        </w:rPr>
        <w:t>Rens</w:t>
      </w:r>
      <w:proofErr w:type="spellEnd"/>
      <w:r>
        <w:rPr>
          <w:rFonts w:ascii="Times New Roman" w:eastAsia="Times New Roman" w:hAnsi="Times New Roman" w:cs="Times New Roman"/>
          <w:color w:val="000000"/>
        </w:rPr>
        <w:t xml:space="preserve">, T. (2020). The </w:t>
      </w:r>
      <w:proofErr w:type="spellStart"/>
      <w:r>
        <w:rPr>
          <w:rFonts w:ascii="Times New Roman" w:eastAsia="Times New Roman" w:hAnsi="Times New Roman" w:cs="Times New Roman"/>
          <w:color w:val="000000"/>
        </w:rPr>
        <w:t>l</w:t>
      </w:r>
      <w:r>
        <w:rPr>
          <w:rFonts w:ascii="Times New Roman" w:eastAsia="Times New Roman" w:hAnsi="Times New Roman" w:cs="Times New Roman"/>
          <w:color w:val="000000"/>
        </w:rPr>
        <w:t>abor</w:t>
      </w:r>
      <w:proofErr w:type="spellEnd"/>
      <w:r>
        <w:rPr>
          <w:rFonts w:ascii="Times New Roman" w:eastAsia="Times New Roman" w:hAnsi="Times New Roman" w:cs="Times New Roman"/>
          <w:color w:val="000000"/>
        </w:rPr>
        <w:t xml:space="preserve"> market in the UK, 2000–2019. </w:t>
      </w:r>
      <w:r>
        <w:rPr>
          <w:rFonts w:ascii="Times New Roman" w:eastAsia="Times New Roman" w:hAnsi="Times New Roman" w:cs="Times New Roman"/>
          <w:i/>
          <w:color w:val="000000"/>
        </w:rPr>
        <w:t xml:space="preserve">IZA World of </w:t>
      </w:r>
      <w:proofErr w:type="spellStart"/>
      <w:r>
        <w:rPr>
          <w:rFonts w:ascii="Times New Roman" w:eastAsia="Times New Roman" w:hAnsi="Times New Roman" w:cs="Times New Roman"/>
          <w:i/>
          <w:color w:val="000000"/>
        </w:rPr>
        <w:t>Labor</w:t>
      </w:r>
      <w:proofErr w:type="spellEnd"/>
      <w:r>
        <w:rPr>
          <w:rFonts w:ascii="Times New Roman" w:eastAsia="Times New Roman" w:hAnsi="Times New Roman" w:cs="Times New Roman"/>
          <w:color w:val="000000"/>
        </w:rPr>
        <w:t>. doi:10.15185/</w:t>
      </w:r>
      <w:proofErr w:type="gramStart"/>
      <w:r>
        <w:rPr>
          <w:rFonts w:ascii="Times New Roman" w:eastAsia="Times New Roman" w:hAnsi="Times New Roman" w:cs="Times New Roman"/>
          <w:color w:val="000000"/>
        </w:rPr>
        <w:t>izawol.422.v</w:t>
      </w:r>
      <w:proofErr w:type="gramEnd"/>
      <w:r>
        <w:rPr>
          <w:rFonts w:ascii="Times New Roman" w:eastAsia="Times New Roman" w:hAnsi="Times New Roman" w:cs="Times New Roman"/>
          <w:color w:val="000000"/>
        </w:rPr>
        <w:t>2.</w:t>
      </w:r>
    </w:p>
    <w:p w14:paraId="74DB5B23"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Kozlova, L.V. (2020). IMPACT OF BREXIT ON EXPORT POTENTIAL DAIRY FARMING IN THE UK. </w:t>
      </w:r>
      <w:r>
        <w:rPr>
          <w:rFonts w:ascii="Times New Roman" w:eastAsia="Times New Roman" w:hAnsi="Times New Roman" w:cs="Times New Roman"/>
          <w:i/>
          <w:color w:val="000000"/>
        </w:rPr>
        <w:t xml:space="preserve">Economy, </w:t>
      </w:r>
      <w:proofErr w:type="spellStart"/>
      <w:r>
        <w:rPr>
          <w:rFonts w:ascii="Times New Roman" w:eastAsia="Times New Roman" w:hAnsi="Times New Roman" w:cs="Times New Roman"/>
          <w:i/>
          <w:color w:val="000000"/>
        </w:rPr>
        <w:t>labor</w:t>
      </w:r>
      <w:proofErr w:type="spellEnd"/>
      <w:r>
        <w:rPr>
          <w:rFonts w:ascii="Times New Roman" w:eastAsia="Times New Roman" w:hAnsi="Times New Roman" w:cs="Times New Roman"/>
          <w:i/>
          <w:color w:val="000000"/>
        </w:rPr>
        <w:t>, management in agriculture</w:t>
      </w:r>
      <w:r>
        <w:rPr>
          <w:rFonts w:ascii="Times New Roman" w:eastAsia="Times New Roman" w:hAnsi="Times New Roman" w:cs="Times New Roman"/>
          <w:color w:val="000000"/>
        </w:rPr>
        <w:t>, (9), pp.119–125. doi:10.33938/209-119.</w:t>
      </w:r>
    </w:p>
    <w:p w14:paraId="1E4445E7"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Langer, </w:t>
      </w:r>
      <w:r>
        <w:rPr>
          <w:rFonts w:ascii="Times New Roman" w:eastAsia="Times New Roman" w:hAnsi="Times New Roman" w:cs="Times New Roman"/>
          <w:color w:val="000000"/>
        </w:rPr>
        <w:t xml:space="preserve">P. and </w:t>
      </w:r>
      <w:proofErr w:type="spellStart"/>
      <w:r>
        <w:rPr>
          <w:rFonts w:ascii="Times New Roman" w:eastAsia="Times New Roman" w:hAnsi="Times New Roman" w:cs="Times New Roman"/>
          <w:color w:val="000000"/>
        </w:rPr>
        <w:t>Tetenyi</w:t>
      </w:r>
      <w:proofErr w:type="spellEnd"/>
      <w:r>
        <w:rPr>
          <w:rFonts w:ascii="Times New Roman" w:eastAsia="Times New Roman" w:hAnsi="Times New Roman" w:cs="Times New Roman"/>
          <w:color w:val="000000"/>
        </w:rPr>
        <w:t xml:space="preserve">, L. (2018). Migration, Remittances and Brexit: European </w:t>
      </w:r>
      <w:proofErr w:type="spellStart"/>
      <w:r>
        <w:rPr>
          <w:rFonts w:ascii="Times New Roman" w:eastAsia="Times New Roman" w:hAnsi="Times New Roman" w:cs="Times New Roman"/>
          <w:color w:val="000000"/>
        </w:rPr>
        <w:t>Labor</w:t>
      </w:r>
      <w:proofErr w:type="spellEnd"/>
      <w:r>
        <w:rPr>
          <w:rFonts w:ascii="Times New Roman" w:eastAsia="Times New Roman" w:hAnsi="Times New Roman" w:cs="Times New Roman"/>
          <w:color w:val="000000"/>
        </w:rPr>
        <w:t xml:space="preserve"> Market Integration and Its Effects on Inequality and Convergence. </w:t>
      </w:r>
      <w:r>
        <w:rPr>
          <w:rFonts w:ascii="Times New Roman" w:eastAsia="Times New Roman" w:hAnsi="Times New Roman" w:cs="Times New Roman"/>
          <w:i/>
          <w:color w:val="000000"/>
        </w:rPr>
        <w:t>SSRN Electronic Journal</w:t>
      </w:r>
      <w:r>
        <w:rPr>
          <w:rFonts w:ascii="Times New Roman" w:eastAsia="Times New Roman" w:hAnsi="Times New Roman" w:cs="Times New Roman"/>
          <w:color w:val="000000"/>
        </w:rPr>
        <w:t>. doi:10.2139/ssrn.3294064.</w:t>
      </w:r>
    </w:p>
    <w:p w14:paraId="3C3A6FE2"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Nickell, S. (2001). Fundamental changes in the UK labour marke</w:t>
      </w:r>
      <w:r>
        <w:rPr>
          <w:rFonts w:ascii="Times New Roman" w:eastAsia="Times New Roman" w:hAnsi="Times New Roman" w:cs="Times New Roman"/>
          <w:color w:val="000000"/>
        </w:rPr>
        <w:t xml:space="preserve">t*. </w:t>
      </w:r>
      <w:r>
        <w:rPr>
          <w:rFonts w:ascii="Times New Roman" w:eastAsia="Times New Roman" w:hAnsi="Times New Roman" w:cs="Times New Roman"/>
          <w:i/>
          <w:color w:val="000000"/>
        </w:rPr>
        <w:t>Oxford Bulletin of Economics and Statistics</w:t>
      </w:r>
      <w:r>
        <w:rPr>
          <w:rFonts w:ascii="Times New Roman" w:eastAsia="Times New Roman" w:hAnsi="Times New Roman" w:cs="Times New Roman"/>
          <w:color w:val="000000"/>
        </w:rPr>
        <w:t xml:space="preserve">, 63, pp.715–736. </w:t>
      </w:r>
      <w:proofErr w:type="gramStart"/>
      <w:r>
        <w:rPr>
          <w:rFonts w:ascii="Times New Roman" w:eastAsia="Times New Roman" w:hAnsi="Times New Roman" w:cs="Times New Roman"/>
          <w:color w:val="000000"/>
        </w:rPr>
        <w:t>doi:10.1111/1468-0084.63.spe1</w:t>
      </w:r>
      <w:proofErr w:type="gramEnd"/>
      <w:r>
        <w:rPr>
          <w:rFonts w:ascii="Times New Roman" w:eastAsia="Times New Roman" w:hAnsi="Times New Roman" w:cs="Times New Roman"/>
          <w:color w:val="000000"/>
        </w:rPr>
        <w:t>.6.</w:t>
      </w:r>
    </w:p>
    <w:p w14:paraId="28E2F716"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Rappaport, J., </w:t>
      </w:r>
      <w:proofErr w:type="spellStart"/>
      <w:r>
        <w:rPr>
          <w:rFonts w:ascii="Times New Roman" w:eastAsia="Times New Roman" w:hAnsi="Times New Roman" w:cs="Times New Roman"/>
          <w:color w:val="000000"/>
        </w:rPr>
        <w:t>Pizzinelli</w:t>
      </w:r>
      <w:proofErr w:type="spellEnd"/>
      <w:r>
        <w:rPr>
          <w:rFonts w:ascii="Times New Roman" w:eastAsia="Times New Roman" w:hAnsi="Times New Roman" w:cs="Times New Roman"/>
          <w:color w:val="000000"/>
        </w:rPr>
        <w:t xml:space="preserve">, C. and </w:t>
      </w:r>
      <w:proofErr w:type="spellStart"/>
      <w:r>
        <w:rPr>
          <w:rFonts w:ascii="Times New Roman" w:eastAsia="Times New Roman" w:hAnsi="Times New Roman" w:cs="Times New Roman"/>
          <w:color w:val="000000"/>
        </w:rPr>
        <w:t>Dabla</w:t>
      </w:r>
      <w:proofErr w:type="spellEnd"/>
      <w:r>
        <w:rPr>
          <w:rFonts w:ascii="Times New Roman" w:eastAsia="Times New Roman" w:hAnsi="Times New Roman" w:cs="Times New Roman"/>
          <w:color w:val="000000"/>
        </w:rPr>
        <w:t xml:space="preserve">-Norris, E. (2022). Are Low-Skill Women Being Left Behind? </w:t>
      </w:r>
      <w:proofErr w:type="spellStart"/>
      <w:r>
        <w:rPr>
          <w:rFonts w:ascii="Times New Roman" w:eastAsia="Times New Roman" w:hAnsi="Times New Roman" w:cs="Times New Roman"/>
          <w:color w:val="000000"/>
        </w:rPr>
        <w:t>Labor</w:t>
      </w:r>
      <w:proofErr w:type="spellEnd"/>
      <w:r>
        <w:rPr>
          <w:rFonts w:ascii="Times New Roman" w:eastAsia="Times New Roman" w:hAnsi="Times New Roman" w:cs="Times New Roman"/>
          <w:color w:val="000000"/>
        </w:rPr>
        <w:t xml:space="preserve"> Market Evidence from the UK. </w:t>
      </w:r>
      <w:r>
        <w:rPr>
          <w:rFonts w:ascii="Times New Roman" w:eastAsia="Times New Roman" w:hAnsi="Times New Roman" w:cs="Times New Roman"/>
          <w:i/>
          <w:color w:val="000000"/>
        </w:rPr>
        <w:t>IMF Working Papers</w:t>
      </w:r>
      <w:r>
        <w:rPr>
          <w:rFonts w:ascii="Times New Roman" w:eastAsia="Times New Roman" w:hAnsi="Times New Roman" w:cs="Times New Roman"/>
          <w:color w:val="000000"/>
        </w:rPr>
        <w:t>, 2022(</w:t>
      </w:r>
      <w:r>
        <w:rPr>
          <w:rFonts w:ascii="Times New Roman" w:eastAsia="Times New Roman" w:hAnsi="Times New Roman" w:cs="Times New Roman"/>
          <w:color w:val="000000"/>
        </w:rPr>
        <w:t>042), p.1. doi:10.5089/9798400202384.001.</w:t>
      </w:r>
    </w:p>
    <w:p w14:paraId="262DD37F"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Ridgway, M. (2019). Brexit: human resourcing implications. </w:t>
      </w:r>
      <w:r>
        <w:rPr>
          <w:rFonts w:ascii="Times New Roman" w:eastAsia="Times New Roman" w:hAnsi="Times New Roman" w:cs="Times New Roman"/>
          <w:i/>
          <w:color w:val="000000"/>
        </w:rPr>
        <w:t>Employee Relations: The International Journal</w:t>
      </w:r>
      <w:r>
        <w:rPr>
          <w:rFonts w:ascii="Times New Roman" w:eastAsia="Times New Roman" w:hAnsi="Times New Roman" w:cs="Times New Roman"/>
          <w:color w:val="000000"/>
        </w:rPr>
        <w:t>, 41(5), pp.1033–1045. doi:10.1108/er-11-2018-0310.</w:t>
      </w:r>
    </w:p>
    <w:p w14:paraId="47177412"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Shibata, I. and </w:t>
      </w:r>
      <w:proofErr w:type="spellStart"/>
      <w:r>
        <w:rPr>
          <w:rFonts w:ascii="Times New Roman" w:eastAsia="Times New Roman" w:hAnsi="Times New Roman" w:cs="Times New Roman"/>
          <w:color w:val="000000"/>
        </w:rPr>
        <w:t>Pizzinelli</w:t>
      </w:r>
      <w:proofErr w:type="spellEnd"/>
      <w:r>
        <w:rPr>
          <w:rFonts w:ascii="Times New Roman" w:eastAsia="Times New Roman" w:hAnsi="Times New Roman" w:cs="Times New Roman"/>
          <w:color w:val="000000"/>
        </w:rPr>
        <w:t>, C. (2022a). Has COVID-19 Induc</w:t>
      </w:r>
      <w:r>
        <w:rPr>
          <w:rFonts w:ascii="Times New Roman" w:eastAsia="Times New Roman" w:hAnsi="Times New Roman" w:cs="Times New Roman"/>
          <w:color w:val="000000"/>
        </w:rPr>
        <w:t xml:space="preserve">ed </w:t>
      </w:r>
      <w:proofErr w:type="spellStart"/>
      <w:r>
        <w:rPr>
          <w:rFonts w:ascii="Times New Roman" w:eastAsia="Times New Roman" w:hAnsi="Times New Roman" w:cs="Times New Roman"/>
          <w:color w:val="000000"/>
        </w:rPr>
        <w:t>Labor</w:t>
      </w:r>
      <w:proofErr w:type="spellEnd"/>
      <w:r>
        <w:rPr>
          <w:rFonts w:ascii="Times New Roman" w:eastAsia="Times New Roman" w:hAnsi="Times New Roman" w:cs="Times New Roman"/>
          <w:color w:val="000000"/>
        </w:rPr>
        <w:t xml:space="preserve"> Market Mismatch? Evidence from the US and the UK. </w:t>
      </w:r>
      <w:r>
        <w:rPr>
          <w:rFonts w:ascii="Times New Roman" w:eastAsia="Times New Roman" w:hAnsi="Times New Roman" w:cs="Times New Roman"/>
          <w:i/>
          <w:color w:val="000000"/>
        </w:rPr>
        <w:t>IMF Working Papers</w:t>
      </w:r>
      <w:r>
        <w:rPr>
          <w:rFonts w:ascii="Times New Roman" w:eastAsia="Times New Roman" w:hAnsi="Times New Roman" w:cs="Times New Roman"/>
          <w:color w:val="000000"/>
        </w:rPr>
        <w:t>, 2022(005), p.1. doi:10.5089/9781616359027.001.</w:t>
      </w:r>
    </w:p>
    <w:p w14:paraId="69CCB492"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Shibata, I. and </w:t>
      </w:r>
      <w:proofErr w:type="spellStart"/>
      <w:r>
        <w:rPr>
          <w:rFonts w:ascii="Times New Roman" w:eastAsia="Times New Roman" w:hAnsi="Times New Roman" w:cs="Times New Roman"/>
          <w:color w:val="000000"/>
        </w:rPr>
        <w:t>Pizzinelli</w:t>
      </w:r>
      <w:proofErr w:type="spellEnd"/>
      <w:r>
        <w:rPr>
          <w:rFonts w:ascii="Times New Roman" w:eastAsia="Times New Roman" w:hAnsi="Times New Roman" w:cs="Times New Roman"/>
          <w:color w:val="000000"/>
        </w:rPr>
        <w:t xml:space="preserve">, C. (2022b). Has COVID-19 Induced </w:t>
      </w:r>
      <w:proofErr w:type="spellStart"/>
      <w:r>
        <w:rPr>
          <w:rFonts w:ascii="Times New Roman" w:eastAsia="Times New Roman" w:hAnsi="Times New Roman" w:cs="Times New Roman"/>
          <w:color w:val="000000"/>
        </w:rPr>
        <w:t>Labor</w:t>
      </w:r>
      <w:proofErr w:type="spellEnd"/>
      <w:r>
        <w:rPr>
          <w:rFonts w:ascii="Times New Roman" w:eastAsia="Times New Roman" w:hAnsi="Times New Roman" w:cs="Times New Roman"/>
          <w:color w:val="000000"/>
        </w:rPr>
        <w:t xml:space="preserve"> Market Mismatch? Evidence from the US and the UK. </w:t>
      </w:r>
      <w:r>
        <w:rPr>
          <w:rFonts w:ascii="Times New Roman" w:eastAsia="Times New Roman" w:hAnsi="Times New Roman" w:cs="Times New Roman"/>
          <w:i/>
          <w:color w:val="000000"/>
        </w:rPr>
        <w:t>IMF Working P</w:t>
      </w:r>
      <w:r>
        <w:rPr>
          <w:rFonts w:ascii="Times New Roman" w:eastAsia="Times New Roman" w:hAnsi="Times New Roman" w:cs="Times New Roman"/>
          <w:i/>
          <w:color w:val="000000"/>
        </w:rPr>
        <w:t>apers</w:t>
      </w:r>
      <w:r>
        <w:rPr>
          <w:rFonts w:ascii="Times New Roman" w:eastAsia="Times New Roman" w:hAnsi="Times New Roman" w:cs="Times New Roman"/>
          <w:color w:val="000000"/>
        </w:rPr>
        <w:t>, 2022(005), p.1. doi:10.5089/9781616359027.001.</w:t>
      </w:r>
    </w:p>
    <w:p w14:paraId="6D3843AA"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Stephens, B. (2001). Strategic Human Resourcing: Principles, Perspectives and Practices20013John Leopold, Lynette Harris and Tony Watson (Eds). Strategic Human Resourcing: Principles, Perspectives and Practices. London: Financial Times Pitman 1999. 470 pp.</w:t>
      </w:r>
      <w:r>
        <w:rPr>
          <w:rFonts w:ascii="Times New Roman" w:eastAsia="Times New Roman" w:hAnsi="Times New Roman" w:cs="Times New Roman"/>
          <w:color w:val="000000"/>
        </w:rPr>
        <w:t xml:space="preserve">, ISBN: ISBN 0 27 3 63164 0 £24.99 (paperback). </w:t>
      </w:r>
      <w:r>
        <w:rPr>
          <w:rFonts w:ascii="Times New Roman" w:eastAsia="Times New Roman" w:hAnsi="Times New Roman" w:cs="Times New Roman"/>
          <w:i/>
          <w:color w:val="000000"/>
        </w:rPr>
        <w:t>Personnel Review</w:t>
      </w:r>
      <w:r>
        <w:rPr>
          <w:rFonts w:ascii="Times New Roman" w:eastAsia="Times New Roman" w:hAnsi="Times New Roman" w:cs="Times New Roman"/>
          <w:color w:val="000000"/>
        </w:rPr>
        <w:t>, 30(1), pp.119–126. doi:10.1108/pr.2001.30.1.119.3.</w:t>
      </w:r>
    </w:p>
    <w:p w14:paraId="2288CFEA" w14:textId="77777777" w:rsidR="006B1456" w:rsidRDefault="002B5F9B">
      <w:pPr>
        <w:pBdr>
          <w:top w:val="nil"/>
          <w:left w:val="nil"/>
          <w:bottom w:val="nil"/>
          <w:right w:val="nil"/>
          <w:between w:val="nil"/>
        </w:pBdr>
        <w:spacing w:after="240" w:line="36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Zhuravska</w:t>
      </w:r>
      <w:proofErr w:type="spellEnd"/>
      <w:r>
        <w:rPr>
          <w:rFonts w:ascii="Times New Roman" w:eastAsia="Times New Roman" w:hAnsi="Times New Roman" w:cs="Times New Roman"/>
          <w:color w:val="000000"/>
        </w:rPr>
        <w:t xml:space="preserve">, N. (2019). The Employee Resourcing of Human Resources Management: A Comparative Aspect. </w:t>
      </w:r>
      <w:r>
        <w:rPr>
          <w:rFonts w:ascii="Times New Roman" w:eastAsia="Times New Roman" w:hAnsi="Times New Roman" w:cs="Times New Roman"/>
          <w:i/>
          <w:color w:val="000000"/>
        </w:rPr>
        <w:t>Comparative Professional Pedagogy</w:t>
      </w:r>
      <w:r>
        <w:rPr>
          <w:rFonts w:ascii="Times New Roman" w:eastAsia="Times New Roman" w:hAnsi="Times New Roman" w:cs="Times New Roman"/>
          <w:color w:val="000000"/>
        </w:rPr>
        <w:t>, 9(3),</w:t>
      </w:r>
      <w:r>
        <w:rPr>
          <w:rFonts w:ascii="Times New Roman" w:eastAsia="Times New Roman" w:hAnsi="Times New Roman" w:cs="Times New Roman"/>
          <w:color w:val="000000"/>
        </w:rPr>
        <w:t xml:space="preserve"> pp.1–7. doi:10.2478/rpp-2019-0022.</w:t>
      </w:r>
    </w:p>
    <w:p w14:paraId="759D00EC" w14:textId="77777777" w:rsidR="006B1456" w:rsidRDefault="006B1456"/>
    <w:p w14:paraId="2339516D" w14:textId="77777777" w:rsidR="006B1456" w:rsidRDefault="002B5F9B">
      <w:r>
        <w:t xml:space="preserve"> </w:t>
      </w:r>
    </w:p>
    <w:p w14:paraId="68F58774" w14:textId="77777777" w:rsidR="006B1456" w:rsidRDefault="006B1456"/>
    <w:sectPr w:rsidR="006B1456">
      <w:footerReference w:type="default" r:id="rId7"/>
      <w:footerReference w:type="first" r:id="rId8"/>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C95E7" w14:textId="77777777" w:rsidR="003751AF" w:rsidRDefault="003751AF" w:rsidP="003751AF">
      <w:pPr>
        <w:spacing w:after="0" w:line="240" w:lineRule="auto"/>
      </w:pPr>
      <w:r>
        <w:separator/>
      </w:r>
    </w:p>
  </w:endnote>
  <w:endnote w:type="continuationSeparator" w:id="0">
    <w:p w14:paraId="18225611" w14:textId="77777777" w:rsidR="003751AF" w:rsidRDefault="003751AF" w:rsidP="00375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7498202"/>
      <w:docPartObj>
        <w:docPartGallery w:val="Page Numbers (Bottom of Page)"/>
        <w:docPartUnique/>
      </w:docPartObj>
    </w:sdtPr>
    <w:sdtEndPr>
      <w:rPr>
        <w:noProof/>
      </w:rPr>
    </w:sdtEndPr>
    <w:sdtContent>
      <w:p w14:paraId="06D9A4F1" w14:textId="25249676" w:rsidR="00571B29" w:rsidRDefault="00571B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E075FB" w14:textId="59FAD567" w:rsidR="00571B29" w:rsidRPr="00571B29" w:rsidRDefault="00571B29">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5891153"/>
      <w:docPartObj>
        <w:docPartGallery w:val="Page Numbers (Bottom of Page)"/>
        <w:docPartUnique/>
      </w:docPartObj>
    </w:sdtPr>
    <w:sdtEndPr>
      <w:rPr>
        <w:noProof/>
      </w:rPr>
    </w:sdtEndPr>
    <w:sdtContent>
      <w:p w14:paraId="68606DD1" w14:textId="0269E67D" w:rsidR="003751AF" w:rsidRDefault="003751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5A4484" w14:textId="77777777" w:rsidR="003751AF" w:rsidRDefault="003751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FEBF9" w14:textId="77777777" w:rsidR="003751AF" w:rsidRDefault="003751AF" w:rsidP="003751AF">
      <w:pPr>
        <w:spacing w:after="0" w:line="240" w:lineRule="auto"/>
      </w:pPr>
      <w:r>
        <w:separator/>
      </w:r>
    </w:p>
  </w:footnote>
  <w:footnote w:type="continuationSeparator" w:id="0">
    <w:p w14:paraId="6456BA89" w14:textId="77777777" w:rsidR="003751AF" w:rsidRDefault="003751AF" w:rsidP="003751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456"/>
    <w:rsid w:val="002B5F9B"/>
    <w:rsid w:val="003751AF"/>
    <w:rsid w:val="00571B29"/>
    <w:rsid w:val="006B14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9CFC23"/>
  <w15:docId w15:val="{CE8B05C5-CFE8-4126-9626-1E8B6E39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6"/>
      <w:szCs w:val="36"/>
    </w:rPr>
  </w:style>
  <w:style w:type="paragraph" w:styleId="Heading2">
    <w:name w:val="heading 2"/>
    <w:basedOn w:val="Normal"/>
    <w:next w:val="Normal"/>
    <w:uiPriority w:val="9"/>
    <w:semiHidden/>
    <w:unhideWhenUsed/>
    <w:qFormat/>
    <w:pPr>
      <w:keepNext/>
      <w:keepLines/>
      <w:spacing w:before="40" w:after="0"/>
      <w:outlineLvl w:val="1"/>
    </w:pPr>
    <w:rPr>
      <w:color w:val="2F5496"/>
      <w:sz w:val="32"/>
      <w:szCs w:val="32"/>
    </w:rPr>
  </w:style>
  <w:style w:type="paragraph" w:styleId="Heading3">
    <w:name w:val="heading 3"/>
    <w:basedOn w:val="Normal"/>
    <w:next w:val="Normal"/>
    <w:uiPriority w:val="9"/>
    <w:semiHidden/>
    <w:unhideWhenUsed/>
    <w:qFormat/>
    <w:pPr>
      <w:keepNext/>
      <w:keepLines/>
      <w:spacing w:before="40" w:after="0"/>
      <w:outlineLvl w:val="2"/>
    </w:pPr>
    <w:rPr>
      <w:color w:val="1F3863"/>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3751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51AF"/>
  </w:style>
  <w:style w:type="paragraph" w:styleId="Footer">
    <w:name w:val="footer"/>
    <w:basedOn w:val="Normal"/>
    <w:link w:val="FooterChar"/>
    <w:uiPriority w:val="99"/>
    <w:unhideWhenUsed/>
    <w:rsid w:val="003751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51AF"/>
  </w:style>
  <w:style w:type="character" w:styleId="Strong">
    <w:name w:val="Strong"/>
    <w:basedOn w:val="DefaultParagraphFont"/>
    <w:uiPriority w:val="22"/>
    <w:qFormat/>
    <w:rsid w:val="002B5F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2868</Words>
  <Characters>16351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SHAFEEK</dc:creator>
  <cp:lastModifiedBy>mohammed shafeek s n</cp:lastModifiedBy>
  <cp:revision>2</cp:revision>
  <dcterms:created xsi:type="dcterms:W3CDTF">2022-09-09T18:09:00Z</dcterms:created>
  <dcterms:modified xsi:type="dcterms:W3CDTF">2022-09-09T18:09:00Z</dcterms:modified>
</cp:coreProperties>
</file>