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2F679" w14:textId="77777777" w:rsidR="0002244A" w:rsidRPr="00AB0C69" w:rsidRDefault="0002244A" w:rsidP="0002244A">
      <w:pPr>
        <w:jc w:val="center"/>
        <w:rPr>
          <w:rFonts w:ascii="Arial" w:hAnsi="Arial" w:cs="Arial"/>
          <w:b/>
          <w:bCs/>
          <w:sz w:val="44"/>
          <w:szCs w:val="44"/>
        </w:rPr>
      </w:pPr>
      <w:r w:rsidRPr="00AB0C69">
        <w:rPr>
          <w:rFonts w:ascii="Arial" w:hAnsi="Arial" w:cs="Arial"/>
          <w:b/>
          <w:bCs/>
          <w:sz w:val="44"/>
          <w:szCs w:val="44"/>
        </w:rPr>
        <w:t>(BMHP6029_BIRM) Psychological Classifications and Provisions</w:t>
      </w:r>
    </w:p>
    <w:p w14:paraId="76465A78" w14:textId="77777777" w:rsidR="0002244A" w:rsidRPr="00AB0C69" w:rsidRDefault="0002244A" w:rsidP="0002244A">
      <w:pPr>
        <w:jc w:val="center"/>
        <w:rPr>
          <w:rFonts w:ascii="Arial" w:hAnsi="Arial" w:cs="Arial"/>
          <w:b/>
          <w:bCs/>
          <w:sz w:val="44"/>
          <w:szCs w:val="44"/>
        </w:rPr>
      </w:pPr>
      <w:r w:rsidRPr="00AB0C69">
        <w:rPr>
          <w:rFonts w:ascii="Arial" w:hAnsi="Arial" w:cs="Arial"/>
          <w:b/>
          <w:bCs/>
          <w:sz w:val="44"/>
          <w:szCs w:val="44"/>
        </w:rPr>
        <w:t>Student Number: 2328226</w:t>
      </w:r>
    </w:p>
    <w:p w14:paraId="0409979F" w14:textId="77777777" w:rsidR="0002244A" w:rsidRPr="00AB0C69" w:rsidRDefault="0002244A" w:rsidP="0002244A">
      <w:pPr>
        <w:jc w:val="center"/>
        <w:rPr>
          <w:rFonts w:ascii="Arial" w:hAnsi="Arial" w:cs="Arial"/>
          <w:b/>
          <w:bCs/>
          <w:sz w:val="44"/>
          <w:szCs w:val="44"/>
        </w:rPr>
      </w:pPr>
      <w:r w:rsidRPr="00AB0C69">
        <w:rPr>
          <w:rFonts w:ascii="Arial" w:hAnsi="Arial" w:cs="Arial"/>
          <w:b/>
          <w:bCs/>
          <w:sz w:val="44"/>
          <w:szCs w:val="44"/>
        </w:rPr>
        <w:t>Student Name: Cherelle Moran</w:t>
      </w:r>
    </w:p>
    <w:p w14:paraId="7F0A6322" w14:textId="77777777" w:rsidR="0002244A" w:rsidRPr="00AB0C69" w:rsidRDefault="0002244A" w:rsidP="0002244A">
      <w:pPr>
        <w:jc w:val="center"/>
        <w:rPr>
          <w:rFonts w:ascii="Arial" w:hAnsi="Arial" w:cs="Arial"/>
          <w:b/>
          <w:bCs/>
          <w:sz w:val="44"/>
          <w:szCs w:val="44"/>
        </w:rPr>
      </w:pPr>
      <w:r w:rsidRPr="00AB0C69">
        <w:rPr>
          <w:rFonts w:ascii="Arial" w:hAnsi="Arial" w:cs="Arial"/>
          <w:b/>
          <w:bCs/>
          <w:sz w:val="44"/>
          <w:szCs w:val="44"/>
        </w:rPr>
        <w:t xml:space="preserve">Tutor Details: Neale Haddon </w:t>
      </w:r>
    </w:p>
    <w:p w14:paraId="4C8A0E48" w14:textId="47F776C3" w:rsidR="0002244A" w:rsidRPr="00AB0C69" w:rsidRDefault="0002244A" w:rsidP="0002244A">
      <w:pPr>
        <w:jc w:val="center"/>
        <w:rPr>
          <w:rFonts w:ascii="Arial" w:hAnsi="Arial" w:cs="Arial"/>
          <w:b/>
          <w:bCs/>
          <w:sz w:val="44"/>
          <w:szCs w:val="44"/>
        </w:rPr>
      </w:pPr>
      <w:r w:rsidRPr="00AB0C69">
        <w:rPr>
          <w:rFonts w:ascii="Arial" w:hAnsi="Arial" w:cs="Arial"/>
          <w:b/>
          <w:bCs/>
          <w:sz w:val="44"/>
          <w:szCs w:val="44"/>
        </w:rPr>
        <w:t>Submission Date: 20</w:t>
      </w:r>
      <w:r w:rsidRPr="00AB0C69">
        <w:rPr>
          <w:rFonts w:ascii="Arial" w:hAnsi="Arial" w:cs="Arial"/>
          <w:b/>
          <w:bCs/>
          <w:sz w:val="44"/>
          <w:szCs w:val="44"/>
          <w:vertAlign w:val="superscript"/>
        </w:rPr>
        <w:t>th</w:t>
      </w:r>
      <w:r w:rsidRPr="00AB0C69">
        <w:rPr>
          <w:rFonts w:ascii="Arial" w:hAnsi="Arial" w:cs="Arial"/>
          <w:b/>
          <w:bCs/>
          <w:sz w:val="44"/>
          <w:szCs w:val="44"/>
        </w:rPr>
        <w:t xml:space="preserve"> July 2026</w:t>
      </w:r>
    </w:p>
    <w:p w14:paraId="6752AE9B" w14:textId="77777777" w:rsidR="0002244A" w:rsidRPr="00AB0C69" w:rsidRDefault="0002244A" w:rsidP="0002244A">
      <w:pPr>
        <w:rPr>
          <w:rFonts w:ascii="Arial" w:hAnsi="Arial" w:cs="Arial"/>
          <w:sz w:val="22"/>
          <w:szCs w:val="22"/>
        </w:rPr>
      </w:pPr>
    </w:p>
    <w:p w14:paraId="511CA082" w14:textId="77777777" w:rsidR="0007610C" w:rsidRPr="00AB0C69" w:rsidRDefault="0007610C"/>
    <w:p w14:paraId="7323B04C" w14:textId="77777777" w:rsidR="0002244A" w:rsidRPr="00AB0C69" w:rsidRDefault="0002244A"/>
    <w:p w14:paraId="205633D5" w14:textId="77777777" w:rsidR="0002244A" w:rsidRPr="00AB0C69" w:rsidRDefault="0002244A"/>
    <w:p w14:paraId="2E853039" w14:textId="77777777" w:rsidR="0002244A" w:rsidRPr="00AB0C69" w:rsidRDefault="0002244A"/>
    <w:p w14:paraId="47CAC72A" w14:textId="77777777" w:rsidR="0002244A" w:rsidRPr="00AB0C69" w:rsidRDefault="0002244A"/>
    <w:p w14:paraId="536AEED9" w14:textId="77777777" w:rsidR="0002244A" w:rsidRPr="00AB0C69" w:rsidRDefault="0002244A"/>
    <w:p w14:paraId="3D42CDFD" w14:textId="77777777" w:rsidR="0002244A" w:rsidRPr="00AB0C69" w:rsidRDefault="0002244A"/>
    <w:p w14:paraId="61449B58" w14:textId="77777777" w:rsidR="0002244A" w:rsidRPr="00AB0C69" w:rsidRDefault="0002244A"/>
    <w:p w14:paraId="003775D8" w14:textId="77777777" w:rsidR="0002244A" w:rsidRPr="00AB0C69" w:rsidRDefault="0002244A"/>
    <w:p w14:paraId="10CBD911" w14:textId="77777777" w:rsidR="0002244A" w:rsidRPr="00AB0C69" w:rsidRDefault="0002244A"/>
    <w:p w14:paraId="4C51598D" w14:textId="77777777" w:rsidR="0002244A" w:rsidRPr="00AB0C69" w:rsidRDefault="0002244A"/>
    <w:p w14:paraId="63C74146" w14:textId="77777777" w:rsidR="0002244A" w:rsidRPr="00AB0C69" w:rsidRDefault="0002244A"/>
    <w:p w14:paraId="5FB355A5" w14:textId="77777777" w:rsidR="0002244A" w:rsidRPr="00AB0C69" w:rsidRDefault="0002244A"/>
    <w:p w14:paraId="017F5F55" w14:textId="77777777" w:rsidR="0002244A" w:rsidRPr="00AB0C69" w:rsidRDefault="0002244A"/>
    <w:p w14:paraId="4E6ADAC5" w14:textId="77777777" w:rsidR="0002244A" w:rsidRPr="00AB0C69" w:rsidRDefault="0002244A"/>
    <w:p w14:paraId="5ED81FE6" w14:textId="77777777" w:rsidR="0002244A" w:rsidRPr="00AB0C69" w:rsidRDefault="0002244A"/>
    <w:p w14:paraId="2D350DC9" w14:textId="77777777" w:rsidR="0002244A" w:rsidRPr="00AB0C69" w:rsidRDefault="0002244A"/>
    <w:p w14:paraId="35D7623C" w14:textId="77777777" w:rsidR="0002244A" w:rsidRPr="00AB0C69" w:rsidRDefault="0002244A"/>
    <w:p w14:paraId="5A208BA4" w14:textId="01E574F2" w:rsidR="00FA3E9F" w:rsidRPr="00FA3E9F" w:rsidRDefault="00FA3E9F" w:rsidP="000F1AD6">
      <w:pPr>
        <w:spacing w:line="360" w:lineRule="auto"/>
        <w:rPr>
          <w:rFonts w:ascii="Arial" w:hAnsi="Arial" w:cs="Arial"/>
          <w:sz w:val="22"/>
          <w:szCs w:val="22"/>
        </w:rPr>
      </w:pPr>
      <w:r>
        <w:rPr>
          <w:rFonts w:ascii="Arial" w:hAnsi="Arial" w:cs="Arial"/>
          <w:b/>
          <w:bCs/>
          <w:sz w:val="22"/>
          <w:szCs w:val="22"/>
        </w:rPr>
        <w:lastRenderedPageBreak/>
        <w:t>Contents Page</w:t>
      </w:r>
    </w:p>
    <w:p w14:paraId="3294C366" w14:textId="44449684" w:rsidR="00FA3E9F" w:rsidRDefault="00FA3E9F" w:rsidP="000F1AD6">
      <w:pPr>
        <w:spacing w:line="360" w:lineRule="auto"/>
        <w:rPr>
          <w:rFonts w:ascii="Arial" w:hAnsi="Arial" w:cs="Arial"/>
          <w:b/>
          <w:bCs/>
          <w:sz w:val="22"/>
          <w:szCs w:val="22"/>
        </w:rPr>
      </w:pPr>
      <w:r>
        <w:rPr>
          <w:rFonts w:ascii="Arial" w:hAnsi="Arial" w:cs="Arial"/>
          <w:b/>
          <w:bCs/>
          <w:sz w:val="22"/>
          <w:szCs w:val="22"/>
        </w:rPr>
        <w:t>Ab</w:t>
      </w:r>
      <w:r w:rsidR="00A9097E">
        <w:rPr>
          <w:rFonts w:ascii="Arial" w:hAnsi="Arial" w:cs="Arial"/>
          <w:b/>
          <w:bCs/>
          <w:sz w:val="22"/>
          <w:szCs w:val="22"/>
        </w:rPr>
        <w:t>stract……………………………………………………………………</w:t>
      </w:r>
      <w:r w:rsidR="002A3D40">
        <w:rPr>
          <w:rFonts w:ascii="Arial" w:hAnsi="Arial" w:cs="Arial"/>
          <w:b/>
          <w:bCs/>
          <w:sz w:val="22"/>
          <w:szCs w:val="22"/>
        </w:rPr>
        <w:t>…</w:t>
      </w:r>
      <w:r w:rsidR="00A9097E">
        <w:rPr>
          <w:rFonts w:ascii="Arial" w:hAnsi="Arial" w:cs="Arial"/>
          <w:b/>
          <w:bCs/>
          <w:sz w:val="22"/>
          <w:szCs w:val="22"/>
        </w:rPr>
        <w:t>……</w:t>
      </w:r>
      <w:proofErr w:type="gramStart"/>
      <w:r w:rsidR="00A9097E">
        <w:rPr>
          <w:rFonts w:ascii="Arial" w:hAnsi="Arial" w:cs="Arial"/>
          <w:b/>
          <w:bCs/>
          <w:sz w:val="22"/>
          <w:szCs w:val="22"/>
        </w:rPr>
        <w:t>….Page</w:t>
      </w:r>
      <w:proofErr w:type="gramEnd"/>
      <w:r w:rsidR="00A9097E">
        <w:rPr>
          <w:rFonts w:ascii="Arial" w:hAnsi="Arial" w:cs="Arial"/>
          <w:b/>
          <w:bCs/>
          <w:sz w:val="22"/>
          <w:szCs w:val="22"/>
        </w:rPr>
        <w:t xml:space="preserve"> 3</w:t>
      </w:r>
    </w:p>
    <w:p w14:paraId="0970A41C" w14:textId="75105A14" w:rsidR="00FA3E9F" w:rsidRDefault="00A9097E" w:rsidP="000F1AD6">
      <w:pPr>
        <w:spacing w:line="360" w:lineRule="auto"/>
        <w:rPr>
          <w:rFonts w:ascii="Arial" w:hAnsi="Arial" w:cs="Arial"/>
          <w:b/>
          <w:bCs/>
          <w:sz w:val="22"/>
          <w:szCs w:val="22"/>
        </w:rPr>
      </w:pPr>
      <w:r>
        <w:rPr>
          <w:rFonts w:ascii="Arial" w:hAnsi="Arial" w:cs="Arial"/>
          <w:b/>
          <w:bCs/>
          <w:sz w:val="22"/>
          <w:szCs w:val="22"/>
        </w:rPr>
        <w:t>Introduction…………………………………………………………………</w:t>
      </w:r>
      <w:proofErr w:type="gramStart"/>
      <w:r>
        <w:rPr>
          <w:rFonts w:ascii="Arial" w:hAnsi="Arial" w:cs="Arial"/>
          <w:b/>
          <w:bCs/>
          <w:sz w:val="22"/>
          <w:szCs w:val="22"/>
        </w:rPr>
        <w:t>…</w:t>
      </w:r>
      <w:r w:rsidR="002A3D40">
        <w:rPr>
          <w:rFonts w:ascii="Arial" w:hAnsi="Arial" w:cs="Arial"/>
          <w:b/>
          <w:bCs/>
          <w:sz w:val="22"/>
          <w:szCs w:val="22"/>
        </w:rPr>
        <w:t>..</w:t>
      </w:r>
      <w:proofErr w:type="gramEnd"/>
      <w:r>
        <w:rPr>
          <w:rFonts w:ascii="Arial" w:hAnsi="Arial" w:cs="Arial"/>
          <w:b/>
          <w:bCs/>
          <w:sz w:val="22"/>
          <w:szCs w:val="22"/>
        </w:rPr>
        <w:t>……Page 4</w:t>
      </w:r>
    </w:p>
    <w:p w14:paraId="089A9A12" w14:textId="707BCCA6" w:rsidR="00A9097E" w:rsidRDefault="002A3D40" w:rsidP="000F1AD6">
      <w:pPr>
        <w:spacing w:line="360" w:lineRule="auto"/>
        <w:rPr>
          <w:rFonts w:ascii="Arial" w:hAnsi="Arial" w:cs="Arial"/>
          <w:b/>
          <w:bCs/>
          <w:sz w:val="22"/>
          <w:szCs w:val="22"/>
        </w:rPr>
      </w:pPr>
      <w:r>
        <w:rPr>
          <w:rFonts w:ascii="Arial" w:hAnsi="Arial" w:cs="Arial"/>
          <w:b/>
          <w:bCs/>
          <w:sz w:val="22"/>
          <w:szCs w:val="22"/>
        </w:rPr>
        <w:t>Section 1……………………………………………………………………</w:t>
      </w:r>
      <w:proofErr w:type="gramStart"/>
      <w:r>
        <w:rPr>
          <w:rFonts w:ascii="Arial" w:hAnsi="Arial" w:cs="Arial"/>
          <w:b/>
          <w:bCs/>
          <w:sz w:val="22"/>
          <w:szCs w:val="22"/>
        </w:rPr>
        <w:t>…..</w:t>
      </w:r>
      <w:proofErr w:type="gramEnd"/>
      <w:r>
        <w:rPr>
          <w:rFonts w:ascii="Arial" w:hAnsi="Arial" w:cs="Arial"/>
          <w:b/>
          <w:bCs/>
          <w:sz w:val="22"/>
          <w:szCs w:val="22"/>
        </w:rPr>
        <w:t>…</w:t>
      </w:r>
      <w:proofErr w:type="gramStart"/>
      <w:r>
        <w:rPr>
          <w:rFonts w:ascii="Arial" w:hAnsi="Arial" w:cs="Arial"/>
          <w:b/>
          <w:bCs/>
          <w:sz w:val="22"/>
          <w:szCs w:val="22"/>
        </w:rPr>
        <w:t>….Page</w:t>
      </w:r>
      <w:proofErr w:type="gramEnd"/>
      <w:r>
        <w:rPr>
          <w:rFonts w:ascii="Arial" w:hAnsi="Arial" w:cs="Arial"/>
          <w:b/>
          <w:bCs/>
          <w:sz w:val="22"/>
          <w:szCs w:val="22"/>
        </w:rPr>
        <w:t xml:space="preserve"> 5</w:t>
      </w:r>
    </w:p>
    <w:p w14:paraId="3AB74EF0" w14:textId="5866E940" w:rsidR="002A3D40" w:rsidRDefault="002A3D40" w:rsidP="000F1AD6">
      <w:pPr>
        <w:spacing w:line="360" w:lineRule="auto"/>
        <w:rPr>
          <w:rFonts w:ascii="Arial" w:hAnsi="Arial" w:cs="Arial"/>
          <w:b/>
          <w:bCs/>
          <w:sz w:val="22"/>
          <w:szCs w:val="22"/>
        </w:rPr>
      </w:pPr>
      <w:r>
        <w:rPr>
          <w:rFonts w:ascii="Arial" w:hAnsi="Arial" w:cs="Arial"/>
          <w:b/>
          <w:bCs/>
          <w:sz w:val="22"/>
          <w:szCs w:val="22"/>
        </w:rPr>
        <w:t>Section 2…………………………………………………………….……………</w:t>
      </w:r>
      <w:proofErr w:type="gramStart"/>
      <w:r>
        <w:rPr>
          <w:rFonts w:ascii="Arial" w:hAnsi="Arial" w:cs="Arial"/>
          <w:b/>
          <w:bCs/>
          <w:sz w:val="22"/>
          <w:szCs w:val="22"/>
        </w:rPr>
        <w:t>…..</w:t>
      </w:r>
      <w:proofErr w:type="gramEnd"/>
      <w:r>
        <w:rPr>
          <w:rFonts w:ascii="Arial" w:hAnsi="Arial" w:cs="Arial"/>
          <w:b/>
          <w:bCs/>
          <w:sz w:val="22"/>
          <w:szCs w:val="22"/>
        </w:rPr>
        <w:t>Page 6</w:t>
      </w:r>
    </w:p>
    <w:p w14:paraId="01703ACA" w14:textId="50A4BCC3" w:rsidR="002A3D40" w:rsidRDefault="002A3D40" w:rsidP="000F1AD6">
      <w:pPr>
        <w:spacing w:line="360" w:lineRule="auto"/>
        <w:rPr>
          <w:rFonts w:ascii="Arial" w:hAnsi="Arial" w:cs="Arial"/>
          <w:b/>
          <w:bCs/>
          <w:sz w:val="22"/>
          <w:szCs w:val="22"/>
        </w:rPr>
      </w:pPr>
      <w:r>
        <w:rPr>
          <w:rFonts w:ascii="Arial" w:hAnsi="Arial" w:cs="Arial"/>
          <w:b/>
          <w:bCs/>
          <w:sz w:val="22"/>
          <w:szCs w:val="22"/>
        </w:rPr>
        <w:t>Section 3………………………………………………………………………………Page 8</w:t>
      </w:r>
    </w:p>
    <w:p w14:paraId="6CF7029A" w14:textId="6FB33321" w:rsidR="002A3D40" w:rsidRDefault="002A3D40" w:rsidP="000F1AD6">
      <w:pPr>
        <w:spacing w:line="360" w:lineRule="auto"/>
        <w:rPr>
          <w:rFonts w:ascii="Arial" w:hAnsi="Arial" w:cs="Arial"/>
          <w:b/>
          <w:bCs/>
          <w:sz w:val="22"/>
          <w:szCs w:val="22"/>
        </w:rPr>
      </w:pPr>
      <w:r>
        <w:rPr>
          <w:rFonts w:ascii="Arial" w:hAnsi="Arial" w:cs="Arial"/>
          <w:b/>
          <w:bCs/>
          <w:sz w:val="22"/>
          <w:szCs w:val="22"/>
        </w:rPr>
        <w:t>Conclusion……………………………………………………………………………Page 9</w:t>
      </w:r>
    </w:p>
    <w:p w14:paraId="6155A0C4" w14:textId="5DE8D9AA" w:rsidR="00FA3E9F" w:rsidRDefault="002A3D40" w:rsidP="000F1AD6">
      <w:pPr>
        <w:spacing w:line="360" w:lineRule="auto"/>
        <w:rPr>
          <w:rFonts w:ascii="Arial" w:hAnsi="Arial" w:cs="Arial"/>
          <w:b/>
          <w:bCs/>
          <w:sz w:val="22"/>
          <w:szCs w:val="22"/>
        </w:rPr>
      </w:pPr>
      <w:r>
        <w:rPr>
          <w:rFonts w:ascii="Arial" w:hAnsi="Arial" w:cs="Arial"/>
          <w:b/>
          <w:bCs/>
          <w:sz w:val="22"/>
          <w:szCs w:val="22"/>
        </w:rPr>
        <w:t>Refe</w:t>
      </w:r>
      <w:r w:rsidR="00AE74A4">
        <w:rPr>
          <w:rFonts w:ascii="Arial" w:hAnsi="Arial" w:cs="Arial"/>
          <w:b/>
          <w:bCs/>
          <w:sz w:val="22"/>
          <w:szCs w:val="22"/>
        </w:rPr>
        <w:t>rences……………………………………………………………………………Page 11</w:t>
      </w:r>
    </w:p>
    <w:p w14:paraId="45FE5593" w14:textId="77777777" w:rsidR="00FA3E9F" w:rsidRDefault="00FA3E9F" w:rsidP="000F1AD6">
      <w:pPr>
        <w:spacing w:line="360" w:lineRule="auto"/>
        <w:rPr>
          <w:rFonts w:ascii="Arial" w:hAnsi="Arial" w:cs="Arial"/>
          <w:b/>
          <w:bCs/>
          <w:sz w:val="22"/>
          <w:szCs w:val="22"/>
        </w:rPr>
      </w:pPr>
    </w:p>
    <w:p w14:paraId="49E70731" w14:textId="77777777" w:rsidR="00FA3E9F" w:rsidRDefault="00FA3E9F" w:rsidP="000F1AD6">
      <w:pPr>
        <w:spacing w:line="360" w:lineRule="auto"/>
        <w:rPr>
          <w:rFonts w:ascii="Arial" w:hAnsi="Arial" w:cs="Arial"/>
          <w:b/>
          <w:bCs/>
          <w:sz w:val="22"/>
          <w:szCs w:val="22"/>
        </w:rPr>
      </w:pPr>
    </w:p>
    <w:p w14:paraId="4358CE55" w14:textId="77777777" w:rsidR="00FA3E9F" w:rsidRDefault="00FA3E9F" w:rsidP="000F1AD6">
      <w:pPr>
        <w:spacing w:line="360" w:lineRule="auto"/>
        <w:rPr>
          <w:rFonts w:ascii="Arial" w:hAnsi="Arial" w:cs="Arial"/>
          <w:b/>
          <w:bCs/>
          <w:sz w:val="22"/>
          <w:szCs w:val="22"/>
        </w:rPr>
      </w:pPr>
    </w:p>
    <w:p w14:paraId="6270A18C" w14:textId="77777777" w:rsidR="00FA3E9F" w:rsidRDefault="00FA3E9F" w:rsidP="000F1AD6">
      <w:pPr>
        <w:spacing w:line="360" w:lineRule="auto"/>
        <w:rPr>
          <w:rFonts w:ascii="Arial" w:hAnsi="Arial" w:cs="Arial"/>
          <w:b/>
          <w:bCs/>
          <w:sz w:val="22"/>
          <w:szCs w:val="22"/>
        </w:rPr>
      </w:pPr>
    </w:p>
    <w:p w14:paraId="11149993" w14:textId="77777777" w:rsidR="00FA3E9F" w:rsidRDefault="00FA3E9F" w:rsidP="000F1AD6">
      <w:pPr>
        <w:spacing w:line="360" w:lineRule="auto"/>
        <w:rPr>
          <w:rFonts w:ascii="Arial" w:hAnsi="Arial" w:cs="Arial"/>
          <w:b/>
          <w:bCs/>
          <w:sz w:val="22"/>
          <w:szCs w:val="22"/>
        </w:rPr>
      </w:pPr>
    </w:p>
    <w:p w14:paraId="65A5A418" w14:textId="77777777" w:rsidR="00FA3E9F" w:rsidRDefault="00FA3E9F" w:rsidP="000F1AD6">
      <w:pPr>
        <w:spacing w:line="360" w:lineRule="auto"/>
        <w:rPr>
          <w:rFonts w:ascii="Arial" w:hAnsi="Arial" w:cs="Arial"/>
          <w:b/>
          <w:bCs/>
          <w:sz w:val="22"/>
          <w:szCs w:val="22"/>
        </w:rPr>
      </w:pPr>
    </w:p>
    <w:p w14:paraId="5AB8791D" w14:textId="77777777" w:rsidR="00FA3E9F" w:rsidRDefault="00FA3E9F" w:rsidP="000F1AD6">
      <w:pPr>
        <w:spacing w:line="360" w:lineRule="auto"/>
        <w:rPr>
          <w:rFonts w:ascii="Arial" w:hAnsi="Arial" w:cs="Arial"/>
          <w:b/>
          <w:bCs/>
          <w:sz w:val="22"/>
          <w:szCs w:val="22"/>
        </w:rPr>
      </w:pPr>
    </w:p>
    <w:p w14:paraId="331A46B8" w14:textId="77777777" w:rsidR="00FA3E9F" w:rsidRDefault="00FA3E9F" w:rsidP="000F1AD6">
      <w:pPr>
        <w:spacing w:line="360" w:lineRule="auto"/>
        <w:rPr>
          <w:rFonts w:ascii="Arial" w:hAnsi="Arial" w:cs="Arial"/>
          <w:b/>
          <w:bCs/>
          <w:sz w:val="22"/>
          <w:szCs w:val="22"/>
        </w:rPr>
      </w:pPr>
    </w:p>
    <w:p w14:paraId="3489E726" w14:textId="77777777" w:rsidR="00FA3E9F" w:rsidRDefault="00FA3E9F" w:rsidP="000F1AD6">
      <w:pPr>
        <w:spacing w:line="360" w:lineRule="auto"/>
        <w:rPr>
          <w:rFonts w:ascii="Arial" w:hAnsi="Arial" w:cs="Arial"/>
          <w:b/>
          <w:bCs/>
          <w:sz w:val="22"/>
          <w:szCs w:val="22"/>
        </w:rPr>
      </w:pPr>
    </w:p>
    <w:p w14:paraId="2B323A18" w14:textId="77777777" w:rsidR="00FA3E9F" w:rsidRDefault="00FA3E9F" w:rsidP="000F1AD6">
      <w:pPr>
        <w:spacing w:line="360" w:lineRule="auto"/>
        <w:rPr>
          <w:rFonts w:ascii="Arial" w:hAnsi="Arial" w:cs="Arial"/>
          <w:b/>
          <w:bCs/>
          <w:sz w:val="22"/>
          <w:szCs w:val="22"/>
        </w:rPr>
      </w:pPr>
    </w:p>
    <w:p w14:paraId="23BF90DA" w14:textId="77777777" w:rsidR="00FA3E9F" w:rsidRDefault="00FA3E9F" w:rsidP="000F1AD6">
      <w:pPr>
        <w:spacing w:line="360" w:lineRule="auto"/>
        <w:rPr>
          <w:rFonts w:ascii="Arial" w:hAnsi="Arial" w:cs="Arial"/>
          <w:b/>
          <w:bCs/>
          <w:sz w:val="22"/>
          <w:szCs w:val="22"/>
        </w:rPr>
      </w:pPr>
    </w:p>
    <w:p w14:paraId="26D4BC92" w14:textId="77777777" w:rsidR="00FA3E9F" w:rsidRDefault="00FA3E9F" w:rsidP="000F1AD6">
      <w:pPr>
        <w:spacing w:line="360" w:lineRule="auto"/>
        <w:rPr>
          <w:rFonts w:ascii="Arial" w:hAnsi="Arial" w:cs="Arial"/>
          <w:b/>
          <w:bCs/>
          <w:sz w:val="22"/>
          <w:szCs w:val="22"/>
        </w:rPr>
      </w:pPr>
    </w:p>
    <w:p w14:paraId="6AA9A089" w14:textId="77777777" w:rsidR="00FA3E9F" w:rsidRDefault="00FA3E9F" w:rsidP="000F1AD6">
      <w:pPr>
        <w:spacing w:line="360" w:lineRule="auto"/>
        <w:rPr>
          <w:rFonts w:ascii="Arial" w:hAnsi="Arial" w:cs="Arial"/>
          <w:b/>
          <w:bCs/>
          <w:sz w:val="22"/>
          <w:szCs w:val="22"/>
        </w:rPr>
      </w:pPr>
    </w:p>
    <w:p w14:paraId="45D38584" w14:textId="77777777" w:rsidR="00FA3E9F" w:rsidRDefault="00FA3E9F" w:rsidP="000F1AD6">
      <w:pPr>
        <w:spacing w:line="360" w:lineRule="auto"/>
        <w:rPr>
          <w:rFonts w:ascii="Arial" w:hAnsi="Arial" w:cs="Arial"/>
          <w:b/>
          <w:bCs/>
          <w:sz w:val="22"/>
          <w:szCs w:val="22"/>
        </w:rPr>
      </w:pPr>
    </w:p>
    <w:p w14:paraId="042D7310" w14:textId="77777777" w:rsidR="00FA3E9F" w:rsidRDefault="00FA3E9F" w:rsidP="000F1AD6">
      <w:pPr>
        <w:spacing w:line="360" w:lineRule="auto"/>
        <w:rPr>
          <w:rFonts w:ascii="Arial" w:hAnsi="Arial" w:cs="Arial"/>
          <w:b/>
          <w:bCs/>
          <w:sz w:val="22"/>
          <w:szCs w:val="22"/>
        </w:rPr>
      </w:pPr>
    </w:p>
    <w:p w14:paraId="4DE65F51" w14:textId="77777777" w:rsidR="00FA3E9F" w:rsidRDefault="00FA3E9F" w:rsidP="000F1AD6">
      <w:pPr>
        <w:spacing w:line="360" w:lineRule="auto"/>
        <w:rPr>
          <w:rFonts w:ascii="Arial" w:hAnsi="Arial" w:cs="Arial"/>
          <w:b/>
          <w:bCs/>
          <w:sz w:val="22"/>
          <w:szCs w:val="22"/>
        </w:rPr>
      </w:pPr>
    </w:p>
    <w:p w14:paraId="4721495C" w14:textId="77777777" w:rsidR="00FA3E9F" w:rsidRDefault="00FA3E9F" w:rsidP="000F1AD6">
      <w:pPr>
        <w:spacing w:line="360" w:lineRule="auto"/>
        <w:rPr>
          <w:rFonts w:ascii="Arial" w:hAnsi="Arial" w:cs="Arial"/>
          <w:b/>
          <w:bCs/>
          <w:sz w:val="22"/>
          <w:szCs w:val="22"/>
        </w:rPr>
      </w:pPr>
    </w:p>
    <w:p w14:paraId="49C6F1FB" w14:textId="77777777" w:rsidR="00FA3E9F" w:rsidRDefault="00FA3E9F" w:rsidP="000F1AD6">
      <w:pPr>
        <w:spacing w:line="360" w:lineRule="auto"/>
        <w:rPr>
          <w:rFonts w:ascii="Arial" w:hAnsi="Arial" w:cs="Arial"/>
          <w:b/>
          <w:bCs/>
          <w:sz w:val="22"/>
          <w:szCs w:val="22"/>
        </w:rPr>
      </w:pPr>
    </w:p>
    <w:p w14:paraId="13D18703" w14:textId="77777777" w:rsidR="00FA3E9F" w:rsidRDefault="00FA3E9F" w:rsidP="000F1AD6">
      <w:pPr>
        <w:spacing w:line="360" w:lineRule="auto"/>
        <w:rPr>
          <w:rFonts w:ascii="Arial" w:hAnsi="Arial" w:cs="Arial"/>
          <w:b/>
          <w:bCs/>
          <w:sz w:val="22"/>
          <w:szCs w:val="22"/>
        </w:rPr>
      </w:pPr>
    </w:p>
    <w:p w14:paraId="5EE03523" w14:textId="77777777" w:rsidR="00FA3E9F" w:rsidRDefault="00FA3E9F" w:rsidP="000F1AD6">
      <w:pPr>
        <w:spacing w:line="360" w:lineRule="auto"/>
        <w:rPr>
          <w:rFonts w:ascii="Arial" w:hAnsi="Arial" w:cs="Arial"/>
          <w:b/>
          <w:bCs/>
          <w:sz w:val="22"/>
          <w:szCs w:val="22"/>
        </w:rPr>
      </w:pPr>
    </w:p>
    <w:p w14:paraId="2FEB3435" w14:textId="77777777" w:rsidR="00FA3E9F" w:rsidRDefault="00FA3E9F" w:rsidP="000F1AD6">
      <w:pPr>
        <w:spacing w:line="360" w:lineRule="auto"/>
        <w:rPr>
          <w:rFonts w:ascii="Arial" w:hAnsi="Arial" w:cs="Arial"/>
          <w:b/>
          <w:bCs/>
          <w:sz w:val="22"/>
          <w:szCs w:val="22"/>
        </w:rPr>
      </w:pPr>
    </w:p>
    <w:p w14:paraId="1868820D" w14:textId="77777777" w:rsidR="00FA3E9F" w:rsidRDefault="00FA3E9F" w:rsidP="000F1AD6">
      <w:pPr>
        <w:spacing w:line="360" w:lineRule="auto"/>
        <w:rPr>
          <w:rFonts w:ascii="Arial" w:hAnsi="Arial" w:cs="Arial"/>
          <w:b/>
          <w:bCs/>
          <w:sz w:val="22"/>
          <w:szCs w:val="22"/>
        </w:rPr>
      </w:pPr>
    </w:p>
    <w:p w14:paraId="1924B753" w14:textId="77777777" w:rsidR="00FA3E9F" w:rsidRDefault="00FA3E9F" w:rsidP="000F1AD6">
      <w:pPr>
        <w:spacing w:line="360" w:lineRule="auto"/>
        <w:rPr>
          <w:rFonts w:ascii="Arial" w:hAnsi="Arial" w:cs="Arial"/>
          <w:b/>
          <w:bCs/>
          <w:sz w:val="22"/>
          <w:szCs w:val="22"/>
        </w:rPr>
      </w:pPr>
    </w:p>
    <w:p w14:paraId="06B90DA2" w14:textId="1C7D614B" w:rsidR="000F1AD6" w:rsidRPr="000F1AD6" w:rsidRDefault="000F1AD6" w:rsidP="000F1AD6">
      <w:pPr>
        <w:spacing w:line="360" w:lineRule="auto"/>
        <w:rPr>
          <w:rFonts w:ascii="Arial" w:hAnsi="Arial" w:cs="Arial"/>
          <w:b/>
          <w:bCs/>
          <w:sz w:val="22"/>
          <w:szCs w:val="22"/>
        </w:rPr>
      </w:pPr>
      <w:r w:rsidRPr="000F1AD6">
        <w:rPr>
          <w:rFonts w:ascii="Arial" w:hAnsi="Arial" w:cs="Arial"/>
          <w:b/>
          <w:bCs/>
          <w:sz w:val="22"/>
          <w:szCs w:val="22"/>
        </w:rPr>
        <w:t>Abstract</w:t>
      </w:r>
    </w:p>
    <w:p w14:paraId="044CA4F2" w14:textId="77777777" w:rsidR="000F1AD6" w:rsidRPr="000F1AD6" w:rsidRDefault="000F1AD6" w:rsidP="000F1AD6">
      <w:pPr>
        <w:spacing w:line="360" w:lineRule="auto"/>
        <w:rPr>
          <w:rFonts w:ascii="Arial" w:hAnsi="Arial" w:cs="Arial"/>
          <w:sz w:val="22"/>
          <w:szCs w:val="22"/>
        </w:rPr>
      </w:pPr>
      <w:r w:rsidRPr="000F1AD6">
        <w:rPr>
          <w:rFonts w:ascii="Arial" w:hAnsi="Arial" w:cs="Arial"/>
          <w:sz w:val="22"/>
          <w:szCs w:val="22"/>
        </w:rPr>
        <w:t xml:space="preserve">Attention Deficit Hyperactivity Disorder (ADHD) is a prevalent neurodevelopmental condition whose diagnosis and management remain the subject of ongoing debate between biomedical and psychosocial perspectives. This report critically evaluates the classification, diagnosis, treatment, rehabilitation, and policy surrounding childhood ADHD within the United Kingdom. It first examines the International Classification of Diseases, 11th Revision (ICD-11), alongside National Institute for Health and Care Excellence (NICE) guidance, considering the implications of diagnostic terminology, the neurodiversity movement, increasing NHS assessment backlogs, and the role of digital technologies such as the </w:t>
      </w:r>
      <w:proofErr w:type="spellStart"/>
      <w:r w:rsidRPr="000F1AD6">
        <w:rPr>
          <w:rFonts w:ascii="Arial" w:hAnsi="Arial" w:cs="Arial"/>
          <w:sz w:val="22"/>
          <w:szCs w:val="22"/>
        </w:rPr>
        <w:t>QbTest</w:t>
      </w:r>
      <w:proofErr w:type="spellEnd"/>
      <w:r w:rsidRPr="000F1AD6">
        <w:rPr>
          <w:rFonts w:ascii="Arial" w:hAnsi="Arial" w:cs="Arial"/>
          <w:sz w:val="22"/>
          <w:szCs w:val="22"/>
        </w:rPr>
        <w:t xml:space="preserve"> in supporting diagnostic pathways. The report then critically explores current treatment approaches, evaluating the effectiveness and limitations of pharmacological interventions while considering broader psychosocial influences, including trauma, educational exclusion, and socioeconomic inequalities affecting access to diagnosis and support. Finally, it proposes evidence-based recommendations to improve policy and practice, including wider implementation of the World Health Organization's International Classification of Functioning, Disability and Health (ICF) framework, enhanced physical health monitoring within primary care, and expanded early intervention through Family Hubs. The report concludes that effective ADHD management requires an integrated, person-centred approach that reconciles biomedical understanding with psychosocial determinants of health, promoting more equitable access to timely assessment, multidisciplinary support, and improved long-term outcomes for children and young people with ADHD.</w:t>
      </w:r>
    </w:p>
    <w:p w14:paraId="395368FE" w14:textId="77777777" w:rsidR="000F1AD6" w:rsidRDefault="000F1AD6" w:rsidP="000F1AD6">
      <w:pPr>
        <w:spacing w:line="360" w:lineRule="auto"/>
        <w:rPr>
          <w:rFonts w:ascii="Arial" w:hAnsi="Arial" w:cs="Arial"/>
          <w:b/>
          <w:bCs/>
          <w:sz w:val="22"/>
          <w:szCs w:val="22"/>
        </w:rPr>
      </w:pPr>
    </w:p>
    <w:p w14:paraId="3757ADD0" w14:textId="77777777" w:rsidR="000F1AD6" w:rsidRDefault="000F1AD6" w:rsidP="00FB01E0">
      <w:pPr>
        <w:spacing w:line="360" w:lineRule="auto"/>
        <w:jc w:val="center"/>
        <w:rPr>
          <w:rFonts w:ascii="Arial" w:hAnsi="Arial" w:cs="Arial"/>
          <w:b/>
          <w:bCs/>
          <w:sz w:val="22"/>
          <w:szCs w:val="22"/>
        </w:rPr>
      </w:pPr>
    </w:p>
    <w:p w14:paraId="45E35605" w14:textId="77777777" w:rsidR="000F1AD6" w:rsidRDefault="000F1AD6" w:rsidP="00FB01E0">
      <w:pPr>
        <w:spacing w:line="360" w:lineRule="auto"/>
        <w:jc w:val="center"/>
        <w:rPr>
          <w:rFonts w:ascii="Arial" w:hAnsi="Arial" w:cs="Arial"/>
          <w:b/>
          <w:bCs/>
          <w:sz w:val="22"/>
          <w:szCs w:val="22"/>
        </w:rPr>
      </w:pPr>
    </w:p>
    <w:p w14:paraId="52AF6660" w14:textId="77777777" w:rsidR="000F1AD6" w:rsidRDefault="000F1AD6" w:rsidP="00FB01E0">
      <w:pPr>
        <w:spacing w:line="360" w:lineRule="auto"/>
        <w:jc w:val="center"/>
        <w:rPr>
          <w:rFonts w:ascii="Arial" w:hAnsi="Arial" w:cs="Arial"/>
          <w:b/>
          <w:bCs/>
          <w:sz w:val="22"/>
          <w:szCs w:val="22"/>
        </w:rPr>
      </w:pPr>
    </w:p>
    <w:p w14:paraId="05F0FE04" w14:textId="77777777" w:rsidR="000F1AD6" w:rsidRDefault="000F1AD6" w:rsidP="00FB01E0">
      <w:pPr>
        <w:spacing w:line="360" w:lineRule="auto"/>
        <w:jc w:val="center"/>
        <w:rPr>
          <w:rFonts w:ascii="Arial" w:hAnsi="Arial" w:cs="Arial"/>
          <w:b/>
          <w:bCs/>
          <w:sz w:val="22"/>
          <w:szCs w:val="22"/>
        </w:rPr>
      </w:pPr>
    </w:p>
    <w:p w14:paraId="7DE85EB4" w14:textId="77777777" w:rsidR="000F1AD6" w:rsidRDefault="000F1AD6" w:rsidP="00FB01E0">
      <w:pPr>
        <w:spacing w:line="360" w:lineRule="auto"/>
        <w:jc w:val="center"/>
        <w:rPr>
          <w:rFonts w:ascii="Arial" w:hAnsi="Arial" w:cs="Arial"/>
          <w:b/>
          <w:bCs/>
          <w:sz w:val="22"/>
          <w:szCs w:val="22"/>
        </w:rPr>
      </w:pPr>
    </w:p>
    <w:p w14:paraId="6F0183CC" w14:textId="77777777" w:rsidR="000F1AD6" w:rsidRDefault="000F1AD6" w:rsidP="00FB01E0">
      <w:pPr>
        <w:spacing w:line="360" w:lineRule="auto"/>
        <w:jc w:val="center"/>
        <w:rPr>
          <w:rFonts w:ascii="Arial" w:hAnsi="Arial" w:cs="Arial"/>
          <w:b/>
          <w:bCs/>
          <w:sz w:val="22"/>
          <w:szCs w:val="22"/>
        </w:rPr>
      </w:pPr>
    </w:p>
    <w:p w14:paraId="70388528" w14:textId="77777777" w:rsidR="000F1AD6" w:rsidRDefault="000F1AD6" w:rsidP="00FB01E0">
      <w:pPr>
        <w:spacing w:line="360" w:lineRule="auto"/>
        <w:jc w:val="center"/>
        <w:rPr>
          <w:rFonts w:ascii="Arial" w:hAnsi="Arial" w:cs="Arial"/>
          <w:b/>
          <w:bCs/>
          <w:sz w:val="22"/>
          <w:szCs w:val="22"/>
        </w:rPr>
      </w:pPr>
    </w:p>
    <w:p w14:paraId="503000D7" w14:textId="77777777" w:rsidR="000F1AD6" w:rsidRDefault="000F1AD6" w:rsidP="00FB01E0">
      <w:pPr>
        <w:spacing w:line="360" w:lineRule="auto"/>
        <w:jc w:val="center"/>
        <w:rPr>
          <w:rFonts w:ascii="Arial" w:hAnsi="Arial" w:cs="Arial"/>
          <w:b/>
          <w:bCs/>
          <w:sz w:val="22"/>
          <w:szCs w:val="22"/>
        </w:rPr>
      </w:pPr>
    </w:p>
    <w:p w14:paraId="360C3D87" w14:textId="77777777" w:rsidR="000F1AD6" w:rsidRDefault="000F1AD6" w:rsidP="00FB01E0">
      <w:pPr>
        <w:spacing w:line="360" w:lineRule="auto"/>
        <w:jc w:val="center"/>
        <w:rPr>
          <w:rFonts w:ascii="Arial" w:hAnsi="Arial" w:cs="Arial"/>
          <w:b/>
          <w:bCs/>
          <w:sz w:val="22"/>
          <w:szCs w:val="22"/>
        </w:rPr>
      </w:pPr>
    </w:p>
    <w:p w14:paraId="157A62A7" w14:textId="7A2D4711" w:rsidR="0002244A" w:rsidRPr="000F1AD6" w:rsidRDefault="0002244A" w:rsidP="00FB01E0">
      <w:pPr>
        <w:spacing w:line="360" w:lineRule="auto"/>
        <w:jc w:val="center"/>
        <w:rPr>
          <w:rFonts w:ascii="Arial" w:hAnsi="Arial" w:cs="Arial"/>
          <w:b/>
          <w:bCs/>
          <w:sz w:val="22"/>
          <w:szCs w:val="22"/>
          <w:u w:val="single"/>
        </w:rPr>
      </w:pPr>
      <w:r w:rsidRPr="000F1AD6">
        <w:rPr>
          <w:rFonts w:ascii="Arial" w:hAnsi="Arial" w:cs="Arial"/>
          <w:b/>
          <w:bCs/>
          <w:sz w:val="22"/>
          <w:szCs w:val="22"/>
          <w:u w:val="single"/>
        </w:rPr>
        <w:t>Reconciling Biomedical and Psychosocial Paradigms: A Critical Report on Childhood ADHD Classification, Treatment, and Policy in the UK</w:t>
      </w:r>
    </w:p>
    <w:p w14:paraId="6E5C95E3" w14:textId="77777777" w:rsidR="000F1AD6" w:rsidRPr="00FB01E0" w:rsidRDefault="000F1AD6" w:rsidP="00FB01E0">
      <w:pPr>
        <w:spacing w:line="360" w:lineRule="auto"/>
        <w:jc w:val="center"/>
        <w:rPr>
          <w:rFonts w:ascii="Arial" w:hAnsi="Arial" w:cs="Arial"/>
          <w:b/>
          <w:bCs/>
          <w:sz w:val="22"/>
          <w:szCs w:val="22"/>
        </w:rPr>
      </w:pPr>
    </w:p>
    <w:p w14:paraId="1BF746C6" w14:textId="1B4897B8" w:rsidR="00C01717" w:rsidRPr="000F1AD6" w:rsidRDefault="00C01717" w:rsidP="000F1AD6">
      <w:pPr>
        <w:spacing w:line="360" w:lineRule="auto"/>
        <w:rPr>
          <w:rFonts w:ascii="Arial" w:hAnsi="Arial" w:cs="Arial"/>
          <w:b/>
          <w:bCs/>
          <w:sz w:val="22"/>
          <w:szCs w:val="22"/>
          <w:u w:val="single"/>
        </w:rPr>
      </w:pPr>
      <w:r w:rsidRPr="000F1AD6">
        <w:rPr>
          <w:rFonts w:ascii="Arial" w:hAnsi="Arial" w:cs="Arial"/>
          <w:b/>
          <w:bCs/>
          <w:sz w:val="22"/>
          <w:szCs w:val="22"/>
          <w:u w:val="single"/>
        </w:rPr>
        <w:t>Introduction</w:t>
      </w:r>
    </w:p>
    <w:p w14:paraId="45DCACF7" w14:textId="77777777" w:rsidR="00C83142" w:rsidRPr="00C83142" w:rsidRDefault="00C83142" w:rsidP="00C83142">
      <w:pPr>
        <w:spacing w:line="360" w:lineRule="auto"/>
        <w:rPr>
          <w:rFonts w:ascii="Arial" w:hAnsi="Arial" w:cs="Arial"/>
          <w:sz w:val="22"/>
          <w:szCs w:val="22"/>
        </w:rPr>
      </w:pPr>
      <w:r w:rsidRPr="00C83142">
        <w:rPr>
          <w:rFonts w:ascii="Arial" w:hAnsi="Arial" w:cs="Arial"/>
          <w:sz w:val="22"/>
          <w:szCs w:val="22"/>
        </w:rPr>
        <w:t>Attention Deficit Hyperactivity Disorder (ADHD) is a complex neurodevelopmental condition that can significantly affect cognitive regulation, academic achievement, and socio-emotional development across the lifespan (Bolte et al., 2021). Within the United Kingdom, the long-term management of ADHD has become an increasingly important public health and economic concern (Armitt et al., 2025). Recent epidemiological data published by NHS England (2025) estimate that ADHD affects approximately 2,498,000 individuals nationally, including around 741,000 children and young people. Although the National Institute for Health and Care Excellence (NICE guideline NG87, 2019) provides clear guidance for the diagnosis and management of ADHD, the effective delivery of care remains constrained by extensive diagnostic backlogs, increasing demand for services, and persistent socioeconomic inequalities in access to assessment and support.</w:t>
      </w:r>
    </w:p>
    <w:p w14:paraId="3DE44ACF" w14:textId="15F74925" w:rsidR="00C83142" w:rsidRPr="00C83142" w:rsidRDefault="00C83142" w:rsidP="00C83142">
      <w:pPr>
        <w:spacing w:line="360" w:lineRule="auto"/>
        <w:rPr>
          <w:rFonts w:ascii="Arial" w:hAnsi="Arial" w:cs="Arial"/>
          <w:sz w:val="22"/>
          <w:szCs w:val="22"/>
        </w:rPr>
      </w:pPr>
      <w:r w:rsidRPr="00C83142">
        <w:rPr>
          <w:rFonts w:ascii="Arial" w:hAnsi="Arial" w:cs="Arial"/>
          <w:sz w:val="22"/>
          <w:szCs w:val="22"/>
        </w:rPr>
        <w:t xml:space="preserve">This report critically evaluates childhood ADHD by examining how biomedical and psychosocial perspectives influence its classification, diagnosis, treatment, rehabilitation, and management within contemporary UK policy and practice. Section 1 critically examines the ICD-11 classification and diagnostic criteria for </w:t>
      </w:r>
      <w:proofErr w:type="gramStart"/>
      <w:r w:rsidRPr="00C83142">
        <w:rPr>
          <w:rFonts w:ascii="Arial" w:hAnsi="Arial" w:cs="Arial"/>
          <w:sz w:val="22"/>
          <w:szCs w:val="22"/>
        </w:rPr>
        <w:t>ADHD,</w:t>
      </w:r>
      <w:proofErr w:type="gramEnd"/>
      <w:r w:rsidRPr="00C83142">
        <w:rPr>
          <w:rFonts w:ascii="Arial" w:hAnsi="Arial" w:cs="Arial"/>
          <w:sz w:val="22"/>
          <w:szCs w:val="22"/>
        </w:rPr>
        <w:t xml:space="preserve"> alongside current challenges associated with NHS waiting times and the use of digital diagnostic technologies. Section 2 evaluates current treatment and rehabilitation approaches, considering the benefits and limitations of pharmacological interventions while exploring wider debates surrounding trauma, school exclusions, and inequalities in access to diagnosis and support. Section 3 presents evidence-based recommendations for improving policy and practice, including the wider adoption of the World Health </w:t>
      </w:r>
      <w:r w:rsidR="0004300A">
        <w:rPr>
          <w:rFonts w:ascii="Arial" w:hAnsi="Arial" w:cs="Arial"/>
          <w:sz w:val="22"/>
          <w:szCs w:val="22"/>
        </w:rPr>
        <w:t>Organisation's</w:t>
      </w:r>
      <w:r w:rsidRPr="00C83142">
        <w:rPr>
          <w:rFonts w:ascii="Arial" w:hAnsi="Arial" w:cs="Arial"/>
          <w:sz w:val="22"/>
          <w:szCs w:val="22"/>
        </w:rPr>
        <w:t xml:space="preserve"> International Classification of Functioning, Disability and Health (ICF) framework, enhanced physical health monitoring within primary care, and the expansion of early intervention through Family Hubs. Collectively, these recommendations support a more integrated approach that recognises both the neurodevelopmental and psychosocial dimensions of ADHD.</w:t>
      </w:r>
    </w:p>
    <w:p w14:paraId="17180341" w14:textId="77777777" w:rsidR="00C01717" w:rsidRPr="00C01717" w:rsidRDefault="00C01717" w:rsidP="00C01717">
      <w:pPr>
        <w:spacing w:line="360" w:lineRule="auto"/>
        <w:rPr>
          <w:rFonts w:ascii="Arial" w:hAnsi="Arial" w:cs="Arial"/>
          <w:sz w:val="22"/>
          <w:szCs w:val="22"/>
        </w:rPr>
      </w:pPr>
    </w:p>
    <w:p w14:paraId="65479AF4" w14:textId="77777777" w:rsidR="00183BAF" w:rsidRPr="00183BAF" w:rsidRDefault="00183BAF" w:rsidP="0002244A">
      <w:pPr>
        <w:spacing w:line="360" w:lineRule="auto"/>
        <w:rPr>
          <w:rFonts w:ascii="Arial" w:hAnsi="Arial" w:cs="Arial"/>
          <w:b/>
          <w:bCs/>
          <w:sz w:val="22"/>
          <w:szCs w:val="22"/>
        </w:rPr>
      </w:pPr>
    </w:p>
    <w:p w14:paraId="3ADE64E5" w14:textId="77777777" w:rsidR="00DE7B5C" w:rsidRDefault="00DE7B5C" w:rsidP="00893CAA">
      <w:pPr>
        <w:spacing w:line="360" w:lineRule="auto"/>
        <w:rPr>
          <w:rFonts w:ascii="Arial" w:hAnsi="Arial" w:cs="Arial"/>
          <w:b/>
          <w:bCs/>
          <w:sz w:val="22"/>
          <w:szCs w:val="22"/>
        </w:rPr>
      </w:pPr>
    </w:p>
    <w:p w14:paraId="41490189" w14:textId="729B6FB8" w:rsidR="001D4B95" w:rsidRPr="002A3D40" w:rsidRDefault="002A3D40" w:rsidP="002A3D40">
      <w:pPr>
        <w:spacing w:line="360" w:lineRule="auto"/>
        <w:rPr>
          <w:rFonts w:ascii="Arial" w:hAnsi="Arial" w:cs="Arial"/>
          <w:b/>
          <w:bCs/>
          <w:sz w:val="22"/>
          <w:szCs w:val="22"/>
          <w:u w:val="single"/>
        </w:rPr>
      </w:pPr>
      <w:r w:rsidRPr="002A3D40">
        <w:rPr>
          <w:rFonts w:ascii="Arial" w:hAnsi="Arial" w:cs="Arial"/>
          <w:b/>
          <w:bCs/>
          <w:sz w:val="22"/>
          <w:szCs w:val="22"/>
          <w:u w:val="single"/>
        </w:rPr>
        <w:t>1.</w:t>
      </w:r>
      <w:r>
        <w:rPr>
          <w:rFonts w:ascii="Arial" w:hAnsi="Arial" w:cs="Arial"/>
          <w:b/>
          <w:bCs/>
          <w:sz w:val="22"/>
          <w:szCs w:val="22"/>
          <w:u w:val="single"/>
        </w:rPr>
        <w:t xml:space="preserve"> </w:t>
      </w:r>
      <w:r w:rsidR="00183BAF" w:rsidRPr="002A3D40">
        <w:rPr>
          <w:rFonts w:ascii="Arial" w:hAnsi="Arial" w:cs="Arial"/>
          <w:b/>
          <w:bCs/>
          <w:sz w:val="22"/>
          <w:szCs w:val="22"/>
          <w:u w:val="single"/>
        </w:rPr>
        <w:t>Diagnostic Frameworks, Systemic Backlogs, and the Integration of Digital Technologies</w:t>
      </w:r>
    </w:p>
    <w:p w14:paraId="76757726" w14:textId="36F16519" w:rsidR="00337D38" w:rsidRPr="001D4B95" w:rsidRDefault="00337D38" w:rsidP="001D4B95">
      <w:pPr>
        <w:spacing w:line="360" w:lineRule="auto"/>
        <w:rPr>
          <w:rFonts w:ascii="Arial" w:hAnsi="Arial" w:cs="Arial"/>
          <w:b/>
          <w:bCs/>
          <w:sz w:val="22"/>
          <w:szCs w:val="22"/>
        </w:rPr>
      </w:pPr>
      <w:r w:rsidRPr="001D4B95">
        <w:rPr>
          <w:rFonts w:ascii="Arial" w:hAnsi="Arial" w:cs="Arial"/>
          <w:sz w:val="22"/>
          <w:szCs w:val="22"/>
        </w:rPr>
        <w:t xml:space="preserve">Within the World Health </w:t>
      </w:r>
      <w:r w:rsidR="001D4B95">
        <w:rPr>
          <w:rFonts w:ascii="Arial" w:hAnsi="Arial" w:cs="Arial"/>
          <w:sz w:val="22"/>
          <w:szCs w:val="22"/>
        </w:rPr>
        <w:t>Organisation's</w:t>
      </w:r>
      <w:r w:rsidRPr="001D4B95">
        <w:rPr>
          <w:rFonts w:ascii="Arial" w:hAnsi="Arial" w:cs="Arial"/>
          <w:sz w:val="22"/>
          <w:szCs w:val="22"/>
        </w:rPr>
        <w:t xml:space="preserve"> (WHO) International Classification of Diseases, 11th Revision (ICD-11), </w:t>
      </w:r>
      <w:proofErr w:type="gramStart"/>
      <w:r w:rsidRPr="001D4B95">
        <w:rPr>
          <w:rFonts w:ascii="Arial" w:hAnsi="Arial" w:cs="Arial"/>
          <w:sz w:val="22"/>
          <w:szCs w:val="22"/>
        </w:rPr>
        <w:t>Attention Deficit Hyperactivity Disorder</w:t>
      </w:r>
      <w:proofErr w:type="gramEnd"/>
      <w:r w:rsidRPr="001D4B95">
        <w:rPr>
          <w:rFonts w:ascii="Arial" w:hAnsi="Arial" w:cs="Arial"/>
          <w:sz w:val="22"/>
          <w:szCs w:val="22"/>
        </w:rPr>
        <w:t xml:space="preserve"> (ADHD) is classified under code 6A05 within the broader category of Neurodevelopmental Disorders. The ICD-11 defines ADHD as a persistent pattern of inattention and/or hyperactivity-impulsivity that is evident across multiple settings, emerges during childhood, and results in clinically significant impairment in academic, social, or occupational functioning. Symptoms must be present before the age of 12 and cannot be better explained by another condition.</w:t>
      </w:r>
    </w:p>
    <w:p w14:paraId="3CCEE6A9" w14:textId="42207295" w:rsidR="00337D38" w:rsidRPr="001D4B95" w:rsidRDefault="00337D38" w:rsidP="001D4B95">
      <w:pPr>
        <w:spacing w:line="360" w:lineRule="auto"/>
        <w:rPr>
          <w:rFonts w:ascii="Arial" w:hAnsi="Arial" w:cs="Arial"/>
          <w:sz w:val="22"/>
          <w:szCs w:val="22"/>
        </w:rPr>
      </w:pPr>
      <w:r w:rsidRPr="001D4B95">
        <w:rPr>
          <w:rFonts w:ascii="Arial" w:hAnsi="Arial" w:cs="Arial"/>
          <w:sz w:val="22"/>
          <w:szCs w:val="22"/>
        </w:rPr>
        <w:t>The terminology used within the ICD-11 is also significant. ADHD is classified as a disorder, reflecting a biomedical perspective that conceptualises symptoms as arising from an underlying neurodevelopmental dysfunction requiring clinical assessment and intervention. This approach has strengthened diagnostic consistency, facilitated access to evidence-based treatments, and improved recognition of ADHD as a legitimate clinical condition. However, critics argue that the language of disorder may reinforce a deficit-focused understanding of ADHD by emphasising impairment over individual differences</w:t>
      </w:r>
      <w:r w:rsidR="000D016D">
        <w:rPr>
          <w:rFonts w:ascii="Arial" w:hAnsi="Arial" w:cs="Arial"/>
          <w:sz w:val="22"/>
          <w:szCs w:val="22"/>
        </w:rPr>
        <w:t xml:space="preserve"> (</w:t>
      </w:r>
      <w:r w:rsidR="003D42BC">
        <w:rPr>
          <w:rFonts w:ascii="Arial" w:hAnsi="Arial" w:cs="Arial"/>
          <w:sz w:val="22"/>
          <w:szCs w:val="22"/>
        </w:rPr>
        <w:t>The Economist</w:t>
      </w:r>
      <w:r w:rsidR="000D39E0">
        <w:rPr>
          <w:rFonts w:ascii="Arial" w:hAnsi="Arial" w:cs="Arial"/>
          <w:sz w:val="22"/>
          <w:szCs w:val="22"/>
        </w:rPr>
        <w:t>, 2024)</w:t>
      </w:r>
      <w:r w:rsidRPr="001D4B95">
        <w:rPr>
          <w:rFonts w:ascii="Arial" w:hAnsi="Arial" w:cs="Arial"/>
          <w:sz w:val="22"/>
          <w:szCs w:val="22"/>
        </w:rPr>
        <w:t>.</w:t>
      </w:r>
    </w:p>
    <w:p w14:paraId="3C1090E4" w14:textId="77777777" w:rsidR="00337D38" w:rsidRPr="001D4B95" w:rsidRDefault="00337D38" w:rsidP="001D4B95">
      <w:pPr>
        <w:spacing w:line="360" w:lineRule="auto"/>
        <w:rPr>
          <w:rFonts w:ascii="Arial" w:hAnsi="Arial" w:cs="Arial"/>
          <w:sz w:val="22"/>
          <w:szCs w:val="22"/>
        </w:rPr>
      </w:pPr>
      <w:r w:rsidRPr="001D4B95">
        <w:rPr>
          <w:rFonts w:ascii="Arial" w:hAnsi="Arial" w:cs="Arial"/>
          <w:sz w:val="22"/>
          <w:szCs w:val="22"/>
        </w:rPr>
        <w:t>This debate has become increasingly prominent through the neurodiversity movement, which proposes that ADHD should be understood as a natural variation in human neurological development rather than solely as a disorder requiring correction (Bolte et al., 2021). From this perspective, many of the challenges experienced by children with ADHD arise from an interaction between their neurodevelopmental profile and environmental demands, including educational systems that are often insufficiently adapted to diverse learning and behavioural needs. While this approach has been welcomed for promoting inclusion and reducing stigma, critics caution that moving too far from a medical framework could inadvertently limit access to clinical assessment, specialist services, and educational support. Consequently, contemporary practice increasingly recognises the importance of balancing biomedical and psychosocial perspectives rather than treating them as mutually exclusive.</w:t>
      </w:r>
    </w:p>
    <w:p w14:paraId="4777A910" w14:textId="5EB712C0" w:rsidR="00337D38" w:rsidRPr="001D4B95" w:rsidRDefault="00337D38" w:rsidP="001D4B95">
      <w:pPr>
        <w:spacing w:line="360" w:lineRule="auto"/>
        <w:rPr>
          <w:rFonts w:ascii="Arial" w:hAnsi="Arial" w:cs="Arial"/>
          <w:sz w:val="22"/>
          <w:szCs w:val="22"/>
        </w:rPr>
      </w:pPr>
      <w:r w:rsidRPr="001D4B95">
        <w:rPr>
          <w:rFonts w:ascii="Arial" w:hAnsi="Arial" w:cs="Arial"/>
          <w:sz w:val="22"/>
          <w:szCs w:val="22"/>
        </w:rPr>
        <w:t>Within the United Kingdom, ADHD diagnosis is guided by the National Institute for Health and Care Excellence (NICE guideline NG87</w:t>
      </w:r>
      <w:r w:rsidR="00D60943">
        <w:rPr>
          <w:rFonts w:ascii="Arial" w:hAnsi="Arial" w:cs="Arial"/>
          <w:sz w:val="22"/>
          <w:szCs w:val="22"/>
        </w:rPr>
        <w:t>, 2019</w:t>
      </w:r>
      <w:r w:rsidRPr="001D4B95">
        <w:rPr>
          <w:rFonts w:ascii="Arial" w:hAnsi="Arial" w:cs="Arial"/>
          <w:sz w:val="22"/>
          <w:szCs w:val="22"/>
        </w:rPr>
        <w:t xml:space="preserve">), which recognises both the ICD-11 and </w:t>
      </w:r>
      <w:r w:rsidRPr="001D4B95">
        <w:rPr>
          <w:rFonts w:ascii="Arial" w:hAnsi="Arial" w:cs="Arial"/>
          <w:sz w:val="22"/>
          <w:szCs w:val="22"/>
        </w:rPr>
        <w:lastRenderedPageBreak/>
        <w:t xml:space="preserve">the Diagnostic and Statistical Manual of Mental Disorders (DSM-5) as valid diagnostic frameworks. Although these criteria provide a structured and evidence-based approach to diagnosis, their implementation has become increasingly challenging due to </w:t>
      </w:r>
      <w:r w:rsidR="00424156">
        <w:rPr>
          <w:rFonts w:ascii="Arial" w:hAnsi="Arial" w:cs="Arial"/>
          <w:sz w:val="22"/>
          <w:szCs w:val="22"/>
        </w:rPr>
        <w:t xml:space="preserve">the </w:t>
      </w:r>
      <w:r w:rsidRPr="001D4B95">
        <w:rPr>
          <w:rFonts w:ascii="Arial" w:hAnsi="Arial" w:cs="Arial"/>
          <w:sz w:val="22"/>
          <w:szCs w:val="22"/>
        </w:rPr>
        <w:t xml:space="preserve">growing demand for assessment services. According to NHS England (2025), approximately 741,000 children and young people aged 5–24 </w:t>
      </w:r>
      <w:proofErr w:type="gramStart"/>
      <w:r w:rsidRPr="001D4B95">
        <w:rPr>
          <w:rFonts w:ascii="Arial" w:hAnsi="Arial" w:cs="Arial"/>
          <w:sz w:val="22"/>
          <w:szCs w:val="22"/>
        </w:rPr>
        <w:t>are</w:t>
      </w:r>
      <w:proofErr w:type="gramEnd"/>
      <w:r w:rsidRPr="001D4B95">
        <w:rPr>
          <w:rFonts w:ascii="Arial" w:hAnsi="Arial" w:cs="Arial"/>
          <w:sz w:val="22"/>
          <w:szCs w:val="22"/>
        </w:rPr>
        <w:t xml:space="preserve"> estimated to have ADHD, with around 540,000 individuals currently waiting for an assessment. These prolonged waiting times can delay access to treatment, educational support, and wider interventions, potentially exacerbating difficulties during critical stages of childhood development.</w:t>
      </w:r>
    </w:p>
    <w:p w14:paraId="3EB9CCBA" w14:textId="1C02CA99" w:rsidR="00337D38" w:rsidRPr="001D4B95" w:rsidRDefault="00337D38" w:rsidP="001D4B95">
      <w:pPr>
        <w:spacing w:line="360" w:lineRule="auto"/>
        <w:rPr>
          <w:rFonts w:ascii="Arial" w:hAnsi="Arial" w:cs="Arial"/>
          <w:sz w:val="22"/>
          <w:szCs w:val="22"/>
        </w:rPr>
      </w:pPr>
      <w:r w:rsidRPr="001D4B95">
        <w:rPr>
          <w:rFonts w:ascii="Arial" w:hAnsi="Arial" w:cs="Arial"/>
          <w:sz w:val="22"/>
          <w:szCs w:val="22"/>
        </w:rPr>
        <w:t xml:space="preserve">In response to these pressures, NICE Diagnostics Guidance DG60 </w:t>
      </w:r>
      <w:r w:rsidR="00A04D98">
        <w:rPr>
          <w:rFonts w:ascii="Arial" w:hAnsi="Arial" w:cs="Arial"/>
          <w:sz w:val="22"/>
          <w:szCs w:val="22"/>
        </w:rPr>
        <w:t>(2024</w:t>
      </w:r>
      <w:r w:rsidR="00657A0F">
        <w:rPr>
          <w:rFonts w:ascii="Arial" w:hAnsi="Arial" w:cs="Arial"/>
          <w:sz w:val="22"/>
          <w:szCs w:val="22"/>
        </w:rPr>
        <w:t xml:space="preserve">) </w:t>
      </w:r>
      <w:r w:rsidRPr="001D4B95">
        <w:rPr>
          <w:rFonts w:ascii="Arial" w:hAnsi="Arial" w:cs="Arial"/>
          <w:sz w:val="22"/>
          <w:szCs w:val="22"/>
        </w:rPr>
        <w:t xml:space="preserve">recommends the use of the </w:t>
      </w:r>
      <w:proofErr w:type="spellStart"/>
      <w:r w:rsidRPr="001D4B95">
        <w:rPr>
          <w:rFonts w:ascii="Arial" w:hAnsi="Arial" w:cs="Arial"/>
          <w:sz w:val="22"/>
          <w:szCs w:val="22"/>
        </w:rPr>
        <w:t>QbTest</w:t>
      </w:r>
      <w:proofErr w:type="spellEnd"/>
      <w:r w:rsidRPr="001D4B95">
        <w:rPr>
          <w:rFonts w:ascii="Arial" w:hAnsi="Arial" w:cs="Arial"/>
          <w:sz w:val="22"/>
          <w:szCs w:val="22"/>
        </w:rPr>
        <w:t xml:space="preserve"> as an adjunct to comprehensive clinical assessment. The QbTest is a computerised assessment that objectively measures attention, impulsivity, and motor activity, providing quantitative data to complement clinical observations and subjective reports. Evidence reviewed by NICE suggests that incorporating the QbTest into diagnostic pathways can improve cost-effectiveness, reduce time to diagnosis, and increase clinicians' confidence during differential diagnosis. In addition, the visual feedback generated by the assessment may help children, young people, and their families to better understand the diagnostic process, potentially improving acceptance of clinical decisions.</w:t>
      </w:r>
    </w:p>
    <w:p w14:paraId="4B6F9E68" w14:textId="77777777" w:rsidR="001D4B95" w:rsidRDefault="00337D38" w:rsidP="001D4B95">
      <w:pPr>
        <w:spacing w:line="360" w:lineRule="auto"/>
        <w:rPr>
          <w:rFonts w:ascii="Arial" w:hAnsi="Arial" w:cs="Arial"/>
          <w:sz w:val="22"/>
          <w:szCs w:val="22"/>
        </w:rPr>
      </w:pPr>
      <w:r w:rsidRPr="001D4B95">
        <w:rPr>
          <w:rFonts w:ascii="Arial" w:hAnsi="Arial" w:cs="Arial"/>
          <w:sz w:val="22"/>
          <w:szCs w:val="22"/>
        </w:rPr>
        <w:t>Despite these advantages, NICE emphasises that the QbTest should not be used as a standalone diagnostic tool. Its accuracy is reduced in more complex clinical presentations, particularly where ADHD co-occurs with other neurodevelopmental or psychiatric conditions, such as autism spectrum disorder. Consequently, although digital technologies have the potential to improve the efficiency of ADHD assessment pathways, they cannot replace comprehensive clinical judgement or multidisciplinary assessment. Instead, their greatest value lies in supporting holistic decision-making that integrates objective assessment with the child's developmental history, behavioural presentation, and wider psychosocial context.</w:t>
      </w:r>
    </w:p>
    <w:p w14:paraId="3047B16D" w14:textId="77777777" w:rsidR="001D4B95" w:rsidRDefault="001D4B95" w:rsidP="001D4B95">
      <w:pPr>
        <w:spacing w:line="360" w:lineRule="auto"/>
        <w:rPr>
          <w:rFonts w:ascii="Arial" w:hAnsi="Arial" w:cs="Arial"/>
          <w:sz w:val="22"/>
          <w:szCs w:val="22"/>
        </w:rPr>
      </w:pPr>
    </w:p>
    <w:p w14:paraId="19B46502" w14:textId="106801A1" w:rsidR="00397EE5" w:rsidRPr="000F1AD6" w:rsidRDefault="002A3D40" w:rsidP="00F111C9">
      <w:pPr>
        <w:spacing w:line="360" w:lineRule="auto"/>
        <w:rPr>
          <w:rFonts w:ascii="Arial" w:hAnsi="Arial" w:cs="Arial"/>
          <w:b/>
          <w:bCs/>
          <w:sz w:val="22"/>
          <w:szCs w:val="22"/>
          <w:u w:val="single"/>
        </w:rPr>
      </w:pPr>
      <w:r>
        <w:rPr>
          <w:rFonts w:ascii="Arial" w:hAnsi="Arial" w:cs="Arial"/>
          <w:b/>
          <w:bCs/>
          <w:sz w:val="22"/>
          <w:szCs w:val="22"/>
          <w:u w:val="single"/>
        </w:rPr>
        <w:t xml:space="preserve">2. </w:t>
      </w:r>
      <w:r w:rsidR="006B20CA" w:rsidRPr="000F1AD6">
        <w:rPr>
          <w:rFonts w:ascii="Arial" w:hAnsi="Arial" w:cs="Arial"/>
          <w:b/>
          <w:bCs/>
          <w:sz w:val="22"/>
          <w:szCs w:val="22"/>
          <w:u w:val="single"/>
        </w:rPr>
        <w:t>Prescriptive Pathways, Holistic Care Realities and Socioeconomic Disparities in Modern England</w:t>
      </w:r>
    </w:p>
    <w:p w14:paraId="102FDBCA" w14:textId="01F7C7B0" w:rsidR="00F111C9" w:rsidRPr="00397EE5" w:rsidRDefault="00F111C9" w:rsidP="00F111C9">
      <w:pPr>
        <w:spacing w:line="360" w:lineRule="auto"/>
        <w:rPr>
          <w:rFonts w:ascii="Arial" w:hAnsi="Arial" w:cs="Arial"/>
          <w:b/>
          <w:bCs/>
          <w:sz w:val="22"/>
          <w:szCs w:val="22"/>
        </w:rPr>
      </w:pPr>
      <w:r w:rsidRPr="00F111C9">
        <w:rPr>
          <w:rFonts w:ascii="Arial" w:hAnsi="Arial" w:cs="Arial"/>
          <w:sz w:val="22"/>
          <w:szCs w:val="22"/>
        </w:rPr>
        <w:t xml:space="preserve">The National Institute for Health and Care Excellence (NICE guideline NG87) recommends that children and young people presenting with symptoms of ADHD should receive ADHD-focused environmental and behavioural support regardless of whether a formal diagnosis has been confirmed. Where symptoms persist and significantly affect functioning, NICE advocates a comprehensive, person-centred treatment plan that is regularly reviewed and incorporates the individual's psychological, educational, and social needs alongside any </w:t>
      </w:r>
      <w:r w:rsidRPr="00F111C9">
        <w:rPr>
          <w:rFonts w:ascii="Arial" w:hAnsi="Arial" w:cs="Arial"/>
          <w:sz w:val="22"/>
          <w:szCs w:val="22"/>
        </w:rPr>
        <w:lastRenderedPageBreak/>
        <w:t>medical interventions. This reflects an increasingly holistic approach to ADHD management, recognising that effective treatment extends beyond symptom reduction alone.</w:t>
      </w:r>
    </w:p>
    <w:p w14:paraId="4A2C50F9" w14:textId="77777777" w:rsidR="00F111C9" w:rsidRPr="00F111C9" w:rsidRDefault="00F111C9" w:rsidP="00F111C9">
      <w:pPr>
        <w:spacing w:line="360" w:lineRule="auto"/>
        <w:rPr>
          <w:rFonts w:ascii="Arial" w:hAnsi="Arial" w:cs="Arial"/>
          <w:sz w:val="22"/>
          <w:szCs w:val="22"/>
        </w:rPr>
      </w:pPr>
      <w:r w:rsidRPr="00F111C9">
        <w:rPr>
          <w:rFonts w:ascii="Arial" w:hAnsi="Arial" w:cs="Arial"/>
          <w:sz w:val="22"/>
          <w:szCs w:val="22"/>
        </w:rPr>
        <w:t>When pharmacological intervention is indicated, stimulant medications such as methylphenidate remain the first-line treatment for many children and young people. Evidence suggests that these medications can improve attention regulation and reduce hyperactivity and impulsivity, while recent research also indicates benefits in regulating sensory processing, including reducing background noise distraction, olfactory hypersensitivity, and altered pain perception (Recarey-Rama, 2025). These findings demonstrate the important clinical value of medication in improving day-to-day functioning and quality of life for many individuals with ADHD.</w:t>
      </w:r>
    </w:p>
    <w:p w14:paraId="124B8894" w14:textId="77777777" w:rsidR="00F111C9" w:rsidRPr="00F111C9" w:rsidRDefault="00F111C9" w:rsidP="00F111C9">
      <w:pPr>
        <w:spacing w:line="360" w:lineRule="auto"/>
        <w:rPr>
          <w:rFonts w:ascii="Arial" w:hAnsi="Arial" w:cs="Arial"/>
          <w:sz w:val="22"/>
          <w:szCs w:val="22"/>
        </w:rPr>
      </w:pPr>
      <w:r w:rsidRPr="00F111C9">
        <w:rPr>
          <w:rFonts w:ascii="Arial" w:hAnsi="Arial" w:cs="Arial"/>
          <w:sz w:val="22"/>
          <w:szCs w:val="22"/>
        </w:rPr>
        <w:t>However, the effectiveness of pharmacological treatment should be considered alongside its limitations. Recarey-Rama (2025) highlights that many clinical trials investigating ADHD medication have limited generalisability due to restrictive participant selection, including the underrepresentation of females and the exclusion of individuals with complex comorbidities or those taking additional medications. Consequently, evidence generated from highly controlled clinical environments may not fully reflect the diverse presentations encountered in routine clinical practice. Medication can therefore play an important role in symptom management, but it should not be viewed as a complete solution for the complex social, emotional, and developmental challenges experienced by many children with ADHD.</w:t>
      </w:r>
    </w:p>
    <w:p w14:paraId="3D399D0F" w14:textId="77777777" w:rsidR="00F111C9" w:rsidRPr="00F111C9" w:rsidRDefault="00F111C9" w:rsidP="00F111C9">
      <w:pPr>
        <w:spacing w:line="360" w:lineRule="auto"/>
        <w:rPr>
          <w:rFonts w:ascii="Arial" w:hAnsi="Arial" w:cs="Arial"/>
          <w:sz w:val="22"/>
          <w:szCs w:val="22"/>
        </w:rPr>
      </w:pPr>
      <w:r w:rsidRPr="00F111C9">
        <w:rPr>
          <w:rFonts w:ascii="Arial" w:hAnsi="Arial" w:cs="Arial"/>
          <w:sz w:val="22"/>
          <w:szCs w:val="22"/>
        </w:rPr>
        <w:t>This has contributed to wider debates surrounding the increasing medicalisation of childhood behavioural difficulties. The Centre for Social Justice (CSJ, 2026) argues that the substantial rise in Educational, Health and Care Plans (EHCPs), particularly for autism spectrum disorders (ASD), speech and language needs, and social, emotional, and mental health difficulties, may partly reflect a growing tendency to conceptualise behavioural presentations through a predominantly medical lens. Critics argue that this approach can overlook the influence of environmental adversity, family circumstances, and developmental trauma when assessing children.</w:t>
      </w:r>
    </w:p>
    <w:p w14:paraId="68DFE00A" w14:textId="77777777" w:rsidR="00F111C9" w:rsidRPr="00F111C9" w:rsidRDefault="00F111C9" w:rsidP="00F111C9">
      <w:pPr>
        <w:spacing w:line="360" w:lineRule="auto"/>
        <w:rPr>
          <w:rFonts w:ascii="Arial" w:hAnsi="Arial" w:cs="Arial"/>
          <w:sz w:val="22"/>
          <w:szCs w:val="22"/>
        </w:rPr>
      </w:pPr>
      <w:r w:rsidRPr="00F111C9">
        <w:rPr>
          <w:rFonts w:ascii="Arial" w:hAnsi="Arial" w:cs="Arial"/>
          <w:sz w:val="22"/>
          <w:szCs w:val="22"/>
        </w:rPr>
        <w:t xml:space="preserve">Evidence supporting this concern has emerged from trauma-informed research. Miller (2026) notes that children who have experienced violence or significant traumatic events frequently display behaviours that closely resemble those associated with ADHD. Similarly, Erlandsson et al. (2022) suggest that complex relational trauma and insecure maternal attachment may contribute to emotional dysregulation that can be mistaken for a primary neurodevelopmental disorder. These findings do not challenge the legitimacy of ADHD as a recognised neurodevelopmental condition but instead highlight the importance of </w:t>
      </w:r>
      <w:r w:rsidRPr="00F111C9">
        <w:rPr>
          <w:rFonts w:ascii="Arial" w:hAnsi="Arial" w:cs="Arial"/>
          <w:sz w:val="22"/>
          <w:szCs w:val="22"/>
        </w:rPr>
        <w:lastRenderedPageBreak/>
        <w:t>comprehensive assessments that consider developmental history, family context, and psychosocial influences alongside diagnostic criteria.</w:t>
      </w:r>
    </w:p>
    <w:p w14:paraId="537548D0" w14:textId="77777777" w:rsidR="00F111C9" w:rsidRPr="00F111C9" w:rsidRDefault="00F111C9" w:rsidP="00F111C9">
      <w:pPr>
        <w:spacing w:line="360" w:lineRule="auto"/>
        <w:rPr>
          <w:rFonts w:ascii="Arial" w:hAnsi="Arial" w:cs="Arial"/>
          <w:sz w:val="22"/>
          <w:szCs w:val="22"/>
        </w:rPr>
      </w:pPr>
      <w:r w:rsidRPr="00F111C9">
        <w:rPr>
          <w:rFonts w:ascii="Arial" w:hAnsi="Arial" w:cs="Arial"/>
          <w:sz w:val="22"/>
          <w:szCs w:val="22"/>
        </w:rPr>
        <w:t>Failure to address these wider influences has important implications for both educational and long-term health outcomes. The Centre for Social Justice (2026) reports that permanent school exclusions among children with EHCPs increased from 347 in 2014/15 to 1,198 in 2024/25. At the same time, growing reliance on private ADHD assessments, with average costs of approximately £1,361, has created additional barriers for families from lower socioeconomic backgrounds, increasing inequalities in access to diagnosis and statutory educational support. These disparities risk delaying intervention for the children who are often most in need of support.</w:t>
      </w:r>
    </w:p>
    <w:p w14:paraId="2DD27F36" w14:textId="364B8717" w:rsidR="007558ED" w:rsidRDefault="00F111C9" w:rsidP="00F111C9">
      <w:pPr>
        <w:spacing w:line="360" w:lineRule="auto"/>
        <w:rPr>
          <w:rFonts w:ascii="Arial" w:hAnsi="Arial" w:cs="Arial"/>
          <w:sz w:val="22"/>
          <w:szCs w:val="22"/>
        </w:rPr>
      </w:pPr>
      <w:r w:rsidRPr="00F111C9">
        <w:rPr>
          <w:rFonts w:ascii="Arial" w:hAnsi="Arial" w:cs="Arial"/>
          <w:sz w:val="22"/>
          <w:szCs w:val="22"/>
        </w:rPr>
        <w:t xml:space="preserve">The consequences extend well beyond childhood. Thapar et al. (2026) demonstrated that childhood ADHD is associated with a 1.86-fold increase in premature mortality by age 58, with much of this increased risk mediated by modifiable factors such as smoking and obesity. These findings reinforce the need for treatment pathways that move beyond medication alone and incorporate early, preventative, and non-pharmacological interventions. Nature-based approaches such as CONIFAS (Armitt et al., 2025), alongside family and community-based support, may complement pharmacological treatment by promoting emotional regulation, resilience, and healthier long-term outcomes. Collectively, this evidence suggests that while medication </w:t>
      </w:r>
      <w:r w:rsidR="003E35AB">
        <w:rPr>
          <w:rFonts w:ascii="Arial" w:hAnsi="Arial" w:cs="Arial"/>
          <w:sz w:val="22"/>
          <w:szCs w:val="22"/>
        </w:rPr>
        <w:t>may be an</w:t>
      </w:r>
      <w:r w:rsidRPr="00F111C9">
        <w:rPr>
          <w:rFonts w:ascii="Arial" w:hAnsi="Arial" w:cs="Arial"/>
          <w:sz w:val="22"/>
          <w:szCs w:val="22"/>
        </w:rPr>
        <w:t xml:space="preserve"> important component of ADHD management, effective rehabilitation requires a broader, multidisciplinary approach that addresses both neurodevelopmental and psychosocial determinants of health.</w:t>
      </w:r>
    </w:p>
    <w:p w14:paraId="51B928E4" w14:textId="77777777" w:rsidR="00C854F3" w:rsidRDefault="00C854F3" w:rsidP="00C854F3">
      <w:pPr>
        <w:spacing w:line="360" w:lineRule="auto"/>
        <w:rPr>
          <w:rFonts w:ascii="Arial" w:hAnsi="Arial" w:cs="Arial"/>
          <w:sz w:val="22"/>
          <w:szCs w:val="22"/>
        </w:rPr>
      </w:pPr>
    </w:p>
    <w:p w14:paraId="40873547" w14:textId="2627ED95" w:rsidR="007558ED" w:rsidRPr="006F5B29" w:rsidRDefault="002A3D40" w:rsidP="00C854F3">
      <w:pPr>
        <w:spacing w:line="360" w:lineRule="auto"/>
        <w:rPr>
          <w:rFonts w:ascii="Arial" w:hAnsi="Arial" w:cs="Arial"/>
          <w:b/>
          <w:bCs/>
          <w:sz w:val="22"/>
          <w:szCs w:val="22"/>
          <w:u w:val="single"/>
        </w:rPr>
      </w:pPr>
      <w:r>
        <w:rPr>
          <w:rFonts w:ascii="Arial" w:hAnsi="Arial" w:cs="Arial"/>
          <w:b/>
          <w:bCs/>
          <w:sz w:val="22"/>
          <w:szCs w:val="22"/>
          <w:u w:val="single"/>
        </w:rPr>
        <w:t xml:space="preserve">3. </w:t>
      </w:r>
      <w:r w:rsidR="007558ED" w:rsidRPr="006F5B29">
        <w:rPr>
          <w:rFonts w:ascii="Arial" w:hAnsi="Arial" w:cs="Arial"/>
          <w:b/>
          <w:bCs/>
          <w:sz w:val="22"/>
          <w:szCs w:val="22"/>
          <w:u w:val="single"/>
        </w:rPr>
        <w:t>Structural Multi-Agency Frameworks, Primary Care Redesign and Socioeconomic Equity</w:t>
      </w:r>
    </w:p>
    <w:p w14:paraId="54921134" w14:textId="5AC4A9D9" w:rsidR="00CD6D32" w:rsidRPr="00CD6D32" w:rsidRDefault="00CD6D32" w:rsidP="00CD6D32">
      <w:pPr>
        <w:spacing w:line="360" w:lineRule="auto"/>
        <w:rPr>
          <w:rFonts w:ascii="Arial" w:hAnsi="Arial" w:cs="Arial"/>
          <w:sz w:val="22"/>
          <w:szCs w:val="22"/>
        </w:rPr>
      </w:pPr>
      <w:r w:rsidRPr="00CD6D32">
        <w:rPr>
          <w:rFonts w:ascii="Arial" w:hAnsi="Arial" w:cs="Arial"/>
          <w:sz w:val="22"/>
          <w:szCs w:val="22"/>
        </w:rPr>
        <w:t xml:space="preserve">Reducing inequalities in ADHD care requires a shift from diagnosis-led services towards earlier, needs-based support. Rather than requiring families to wait for lengthy NHS assessments or fund private diagnoses to access Educational, Health and Care Plans (EHCPs), education and healthcare services should adopt the World Health </w:t>
      </w:r>
      <w:r w:rsidR="009D038A">
        <w:rPr>
          <w:rFonts w:ascii="Arial" w:hAnsi="Arial" w:cs="Arial"/>
          <w:sz w:val="22"/>
          <w:szCs w:val="22"/>
        </w:rPr>
        <w:t>Organisation's</w:t>
      </w:r>
      <w:r w:rsidRPr="00CD6D32">
        <w:rPr>
          <w:rFonts w:ascii="Arial" w:hAnsi="Arial" w:cs="Arial"/>
          <w:sz w:val="22"/>
          <w:szCs w:val="22"/>
        </w:rPr>
        <w:t xml:space="preserve"> </w:t>
      </w:r>
      <w:r w:rsidRPr="00CD6D32">
        <w:rPr>
          <w:rFonts w:ascii="Arial" w:hAnsi="Arial" w:cs="Arial"/>
          <w:i/>
          <w:iCs/>
          <w:sz w:val="22"/>
          <w:szCs w:val="22"/>
        </w:rPr>
        <w:t>International Classification of Functioning, Disability and Health</w:t>
      </w:r>
      <w:r w:rsidRPr="00CD6D32">
        <w:rPr>
          <w:rFonts w:ascii="Arial" w:hAnsi="Arial" w:cs="Arial"/>
          <w:sz w:val="22"/>
          <w:szCs w:val="22"/>
        </w:rPr>
        <w:t xml:space="preserve"> (ICF) framework (Bolte et al., 2021). By focusing on a child's functional abilities and environmental barriers, the ICF enables schools and multidisciplinary teams to implement appropriate support before a formal diagnosis is confirmed. This approach may reduce delays in intervention and help prevent the educational inequalities and school exclusions highlighted by the Centre for Social Justice (2026).</w:t>
      </w:r>
    </w:p>
    <w:p w14:paraId="02AAE6F0" w14:textId="77777777" w:rsidR="00CD6D32" w:rsidRPr="00CD6D32" w:rsidRDefault="00CD6D32" w:rsidP="00CD6D32">
      <w:pPr>
        <w:spacing w:line="360" w:lineRule="auto"/>
        <w:rPr>
          <w:rFonts w:ascii="Arial" w:hAnsi="Arial" w:cs="Arial"/>
          <w:sz w:val="22"/>
          <w:szCs w:val="22"/>
        </w:rPr>
      </w:pPr>
      <w:r w:rsidRPr="00CD6D32">
        <w:rPr>
          <w:rFonts w:ascii="Arial" w:hAnsi="Arial" w:cs="Arial"/>
          <w:sz w:val="22"/>
          <w:szCs w:val="22"/>
        </w:rPr>
        <w:lastRenderedPageBreak/>
        <w:t xml:space="preserve">Long-term ADHD management should also extend beyond symptom control to include routine physical health monitoring. Thapar et al. (2026) identified a 1.86-fold increase in premature mortality among individuals with childhood ADHD, largely associated with modifiable risk factors such as smoking and obesity. In response, NHS primary care should introduce annual physical health reviews for individuals with ADHD, </w:t>
      </w:r>
      <w:proofErr w:type="gramStart"/>
      <w:r w:rsidRPr="00CD6D32">
        <w:rPr>
          <w:rFonts w:ascii="Arial" w:hAnsi="Arial" w:cs="Arial"/>
          <w:sz w:val="22"/>
          <w:szCs w:val="22"/>
        </w:rPr>
        <w:t>similar to</w:t>
      </w:r>
      <w:proofErr w:type="gramEnd"/>
      <w:r w:rsidRPr="00CD6D32">
        <w:rPr>
          <w:rFonts w:ascii="Arial" w:hAnsi="Arial" w:cs="Arial"/>
          <w:sz w:val="22"/>
          <w:szCs w:val="22"/>
        </w:rPr>
        <w:t xml:space="preserve"> those already provided for people with severe mental illness. These reviews would enable General Practitioners to monitor cardiovascular health, promote smoking cessation, and identify metabolic risks, supporting earlier intervention and improved long-term health outcomes.</w:t>
      </w:r>
    </w:p>
    <w:p w14:paraId="716A4001" w14:textId="185A4035" w:rsidR="00CD6D32" w:rsidRPr="00CD6D32" w:rsidRDefault="00CD6D32" w:rsidP="00CD6D32">
      <w:pPr>
        <w:spacing w:line="360" w:lineRule="auto"/>
        <w:rPr>
          <w:rFonts w:ascii="Arial" w:hAnsi="Arial" w:cs="Arial"/>
          <w:sz w:val="22"/>
          <w:szCs w:val="22"/>
        </w:rPr>
      </w:pPr>
      <w:r w:rsidRPr="00CD6D32">
        <w:rPr>
          <w:rFonts w:ascii="Arial" w:hAnsi="Arial" w:cs="Arial"/>
          <w:sz w:val="22"/>
          <w:szCs w:val="22"/>
        </w:rPr>
        <w:t xml:space="preserve">Finally, rehabilitation should incorporate accessible, non-pharmacological interventions that strengthen emotional regulation and family resilience from early childhood. The Centre for Social Justice (2026) recommends embedding universal services, including birth registration, within community Family Hubs to increase engagement with support services. Introducing families to evidence-based programmes such as CONIFAS (Armitt et al., 2025) at an early stage may strengthen parental co-regulation, </w:t>
      </w:r>
      <w:r w:rsidR="00AA3C24">
        <w:rPr>
          <w:rFonts w:ascii="Arial" w:hAnsi="Arial" w:cs="Arial"/>
          <w:sz w:val="22"/>
          <w:szCs w:val="22"/>
        </w:rPr>
        <w:t>increase parental confidence</w:t>
      </w:r>
      <w:r w:rsidRPr="00CD6D32">
        <w:rPr>
          <w:rFonts w:ascii="Arial" w:hAnsi="Arial" w:cs="Arial"/>
          <w:sz w:val="22"/>
          <w:szCs w:val="22"/>
        </w:rPr>
        <w:t>, and promote secure early relationships before behavioural difficulties escalate. Collectively, these recommendations support a more integrated model of care that combines educational support, preventative healthcare, and early intervention to improve long-term outcomes for children with ADHD.</w:t>
      </w:r>
    </w:p>
    <w:p w14:paraId="4B6D5D63" w14:textId="77777777" w:rsidR="00082988" w:rsidRDefault="00082988" w:rsidP="007558ED">
      <w:pPr>
        <w:spacing w:line="360" w:lineRule="auto"/>
        <w:rPr>
          <w:rFonts w:ascii="Arial" w:hAnsi="Arial" w:cs="Arial"/>
          <w:sz w:val="22"/>
          <w:szCs w:val="22"/>
        </w:rPr>
      </w:pPr>
    </w:p>
    <w:p w14:paraId="59BC9876" w14:textId="4ABAF72F" w:rsidR="00082988" w:rsidRPr="006F5B29" w:rsidRDefault="00082988" w:rsidP="006F5B29">
      <w:pPr>
        <w:spacing w:line="360" w:lineRule="auto"/>
        <w:rPr>
          <w:rFonts w:ascii="Arial" w:hAnsi="Arial" w:cs="Arial"/>
          <w:b/>
          <w:bCs/>
          <w:sz w:val="22"/>
          <w:szCs w:val="22"/>
          <w:u w:val="single"/>
        </w:rPr>
      </w:pPr>
      <w:r w:rsidRPr="006F5B29">
        <w:rPr>
          <w:rFonts w:ascii="Arial" w:hAnsi="Arial" w:cs="Arial"/>
          <w:b/>
          <w:bCs/>
          <w:sz w:val="22"/>
          <w:szCs w:val="22"/>
          <w:u w:val="single"/>
        </w:rPr>
        <w:t>Conclusion</w:t>
      </w:r>
    </w:p>
    <w:p w14:paraId="667DFEF0" w14:textId="0AEEE80C" w:rsidR="00FE3CCD" w:rsidRPr="00FE3CCD" w:rsidRDefault="00FE3CCD" w:rsidP="00FE3CCD">
      <w:pPr>
        <w:spacing w:line="360" w:lineRule="auto"/>
        <w:rPr>
          <w:rFonts w:ascii="Arial" w:hAnsi="Arial" w:cs="Arial"/>
          <w:sz w:val="22"/>
          <w:szCs w:val="22"/>
        </w:rPr>
      </w:pPr>
      <w:r w:rsidRPr="00FE3CCD">
        <w:rPr>
          <w:rFonts w:ascii="Arial" w:hAnsi="Arial" w:cs="Arial"/>
          <w:sz w:val="22"/>
          <w:szCs w:val="22"/>
        </w:rPr>
        <w:t xml:space="preserve">This report has critically examined childhood ADHD through the competing perspectives of biomedical and psychosocial approaches, highlighting the complexities involved in classification, diagnosis, treatment, and rehabilitation. Although the ICD-11 provides a structured framework for recognising ADHD as a neurodevelopmental disorder, debates surrounding diagnostic language and neurodiversity demonstrate the importance of understanding ADHD beyond a purely deficit-based model. Within the UK, significant gaps remain between NICE recommendations and the realities of service delivery, particularly </w:t>
      </w:r>
      <w:r w:rsidR="00FC02DE">
        <w:rPr>
          <w:rFonts w:ascii="Arial" w:hAnsi="Arial" w:cs="Arial"/>
          <w:sz w:val="22"/>
          <w:szCs w:val="22"/>
        </w:rPr>
        <w:t xml:space="preserve">regarding diagnostic waiting times, unequal access to support, and the limitations of treatment pathways that primarily focus </w:t>
      </w:r>
      <w:r w:rsidRPr="00FE3CCD">
        <w:rPr>
          <w:rFonts w:ascii="Arial" w:hAnsi="Arial" w:cs="Arial"/>
          <w:sz w:val="22"/>
          <w:szCs w:val="22"/>
        </w:rPr>
        <w:t>on symptom management.</w:t>
      </w:r>
    </w:p>
    <w:p w14:paraId="0AAA2711" w14:textId="77777777" w:rsidR="00FE3CCD" w:rsidRPr="00FE3CCD" w:rsidRDefault="00FE3CCD" w:rsidP="00FE3CCD">
      <w:pPr>
        <w:spacing w:line="360" w:lineRule="auto"/>
        <w:rPr>
          <w:rFonts w:ascii="Arial" w:hAnsi="Arial" w:cs="Arial"/>
          <w:sz w:val="22"/>
          <w:szCs w:val="22"/>
        </w:rPr>
      </w:pPr>
      <w:r w:rsidRPr="00FE3CCD">
        <w:rPr>
          <w:rFonts w:ascii="Arial" w:hAnsi="Arial" w:cs="Arial"/>
          <w:sz w:val="22"/>
          <w:szCs w:val="22"/>
        </w:rPr>
        <w:t xml:space="preserve">Effective ADHD care requires an integrated approach that recognises both neurological differences and wider social, educational, and developmental influences. The adoption of the ICF framework, improved physical health monitoring within primary care, and earlier community-based interventions through Family Hubs represent practical steps towards reducing inequalities and improving long-term outcomes. Ultimately, moving towards a more holistic model of care does not require rejecting biomedical approaches, but rather </w:t>
      </w:r>
      <w:r w:rsidRPr="00FE3CCD">
        <w:rPr>
          <w:rFonts w:ascii="Arial" w:hAnsi="Arial" w:cs="Arial"/>
          <w:sz w:val="22"/>
          <w:szCs w:val="22"/>
        </w:rPr>
        <w:lastRenderedPageBreak/>
        <w:t>combining clinical evidence with psychosocial support to ensure children with ADHD receive timely, equitable, and person-centred care.</w:t>
      </w:r>
    </w:p>
    <w:p w14:paraId="3EE8ADDD" w14:textId="77777777" w:rsidR="001C2D32" w:rsidRDefault="001C2D32" w:rsidP="00FE3CCD">
      <w:pPr>
        <w:spacing w:line="360" w:lineRule="auto"/>
        <w:rPr>
          <w:rFonts w:ascii="Arial" w:hAnsi="Arial" w:cs="Arial"/>
          <w:sz w:val="22"/>
          <w:szCs w:val="22"/>
        </w:rPr>
      </w:pPr>
    </w:p>
    <w:p w14:paraId="02353EA2" w14:textId="77777777" w:rsidR="006F5B29" w:rsidRDefault="006F5B29" w:rsidP="00FE3CCD">
      <w:pPr>
        <w:spacing w:line="360" w:lineRule="auto"/>
        <w:rPr>
          <w:rFonts w:ascii="Arial" w:hAnsi="Arial" w:cs="Arial"/>
          <w:sz w:val="22"/>
          <w:szCs w:val="22"/>
        </w:rPr>
      </w:pPr>
    </w:p>
    <w:p w14:paraId="25F39497" w14:textId="77777777" w:rsidR="002A3D40" w:rsidRDefault="002A3D40" w:rsidP="00FE3CCD">
      <w:pPr>
        <w:spacing w:line="360" w:lineRule="auto"/>
        <w:rPr>
          <w:rFonts w:ascii="Arial" w:hAnsi="Arial" w:cs="Arial"/>
          <w:b/>
          <w:bCs/>
          <w:sz w:val="22"/>
          <w:szCs w:val="22"/>
          <w:u w:val="single"/>
        </w:rPr>
      </w:pPr>
    </w:p>
    <w:p w14:paraId="43F84EE2" w14:textId="77777777" w:rsidR="002A3D40" w:rsidRDefault="002A3D40" w:rsidP="00FE3CCD">
      <w:pPr>
        <w:spacing w:line="360" w:lineRule="auto"/>
        <w:rPr>
          <w:rFonts w:ascii="Arial" w:hAnsi="Arial" w:cs="Arial"/>
          <w:b/>
          <w:bCs/>
          <w:sz w:val="22"/>
          <w:szCs w:val="22"/>
          <w:u w:val="single"/>
        </w:rPr>
      </w:pPr>
    </w:p>
    <w:p w14:paraId="4DC4725E" w14:textId="77777777" w:rsidR="002A3D40" w:rsidRDefault="002A3D40" w:rsidP="00FE3CCD">
      <w:pPr>
        <w:spacing w:line="360" w:lineRule="auto"/>
        <w:rPr>
          <w:rFonts w:ascii="Arial" w:hAnsi="Arial" w:cs="Arial"/>
          <w:b/>
          <w:bCs/>
          <w:sz w:val="22"/>
          <w:szCs w:val="22"/>
          <w:u w:val="single"/>
        </w:rPr>
      </w:pPr>
    </w:p>
    <w:p w14:paraId="17E8BB94" w14:textId="77777777" w:rsidR="002A3D40" w:rsidRDefault="002A3D40" w:rsidP="00FE3CCD">
      <w:pPr>
        <w:spacing w:line="360" w:lineRule="auto"/>
        <w:rPr>
          <w:rFonts w:ascii="Arial" w:hAnsi="Arial" w:cs="Arial"/>
          <w:b/>
          <w:bCs/>
          <w:sz w:val="22"/>
          <w:szCs w:val="22"/>
          <w:u w:val="single"/>
        </w:rPr>
      </w:pPr>
    </w:p>
    <w:p w14:paraId="41A1044E" w14:textId="77777777" w:rsidR="002A3D40" w:rsidRDefault="002A3D40" w:rsidP="00FE3CCD">
      <w:pPr>
        <w:spacing w:line="360" w:lineRule="auto"/>
        <w:rPr>
          <w:rFonts w:ascii="Arial" w:hAnsi="Arial" w:cs="Arial"/>
          <w:b/>
          <w:bCs/>
          <w:sz w:val="22"/>
          <w:szCs w:val="22"/>
          <w:u w:val="single"/>
        </w:rPr>
      </w:pPr>
    </w:p>
    <w:p w14:paraId="7D5AD92D" w14:textId="77777777" w:rsidR="002A3D40" w:rsidRDefault="002A3D40" w:rsidP="00FE3CCD">
      <w:pPr>
        <w:spacing w:line="360" w:lineRule="auto"/>
        <w:rPr>
          <w:rFonts w:ascii="Arial" w:hAnsi="Arial" w:cs="Arial"/>
          <w:b/>
          <w:bCs/>
          <w:sz w:val="22"/>
          <w:szCs w:val="22"/>
          <w:u w:val="single"/>
        </w:rPr>
      </w:pPr>
    </w:p>
    <w:p w14:paraId="453C37B2" w14:textId="77777777" w:rsidR="002A3D40" w:rsidRDefault="002A3D40" w:rsidP="00FE3CCD">
      <w:pPr>
        <w:spacing w:line="360" w:lineRule="auto"/>
        <w:rPr>
          <w:rFonts w:ascii="Arial" w:hAnsi="Arial" w:cs="Arial"/>
          <w:b/>
          <w:bCs/>
          <w:sz w:val="22"/>
          <w:szCs w:val="22"/>
          <w:u w:val="single"/>
        </w:rPr>
      </w:pPr>
    </w:p>
    <w:p w14:paraId="313098CD" w14:textId="77777777" w:rsidR="002A3D40" w:rsidRDefault="002A3D40" w:rsidP="00FE3CCD">
      <w:pPr>
        <w:spacing w:line="360" w:lineRule="auto"/>
        <w:rPr>
          <w:rFonts w:ascii="Arial" w:hAnsi="Arial" w:cs="Arial"/>
          <w:b/>
          <w:bCs/>
          <w:sz w:val="22"/>
          <w:szCs w:val="22"/>
          <w:u w:val="single"/>
        </w:rPr>
      </w:pPr>
    </w:p>
    <w:p w14:paraId="59628BF3" w14:textId="77777777" w:rsidR="002A3D40" w:rsidRDefault="002A3D40" w:rsidP="00FE3CCD">
      <w:pPr>
        <w:spacing w:line="360" w:lineRule="auto"/>
        <w:rPr>
          <w:rFonts w:ascii="Arial" w:hAnsi="Arial" w:cs="Arial"/>
          <w:b/>
          <w:bCs/>
          <w:sz w:val="22"/>
          <w:szCs w:val="22"/>
          <w:u w:val="single"/>
        </w:rPr>
      </w:pPr>
    </w:p>
    <w:p w14:paraId="702146AA" w14:textId="77777777" w:rsidR="002A3D40" w:rsidRDefault="002A3D40" w:rsidP="00FE3CCD">
      <w:pPr>
        <w:spacing w:line="360" w:lineRule="auto"/>
        <w:rPr>
          <w:rFonts w:ascii="Arial" w:hAnsi="Arial" w:cs="Arial"/>
          <w:b/>
          <w:bCs/>
          <w:sz w:val="22"/>
          <w:szCs w:val="22"/>
          <w:u w:val="single"/>
        </w:rPr>
      </w:pPr>
    </w:p>
    <w:p w14:paraId="7E8BAC9A" w14:textId="77777777" w:rsidR="002A3D40" w:rsidRDefault="002A3D40" w:rsidP="00FE3CCD">
      <w:pPr>
        <w:spacing w:line="360" w:lineRule="auto"/>
        <w:rPr>
          <w:rFonts w:ascii="Arial" w:hAnsi="Arial" w:cs="Arial"/>
          <w:b/>
          <w:bCs/>
          <w:sz w:val="22"/>
          <w:szCs w:val="22"/>
          <w:u w:val="single"/>
        </w:rPr>
      </w:pPr>
    </w:p>
    <w:p w14:paraId="1FBD7446" w14:textId="77777777" w:rsidR="002A3D40" w:rsidRDefault="002A3D40" w:rsidP="00FE3CCD">
      <w:pPr>
        <w:spacing w:line="360" w:lineRule="auto"/>
        <w:rPr>
          <w:rFonts w:ascii="Arial" w:hAnsi="Arial" w:cs="Arial"/>
          <w:b/>
          <w:bCs/>
          <w:sz w:val="22"/>
          <w:szCs w:val="22"/>
          <w:u w:val="single"/>
        </w:rPr>
      </w:pPr>
    </w:p>
    <w:p w14:paraId="3F3BFF1C" w14:textId="77777777" w:rsidR="002A3D40" w:rsidRDefault="002A3D40" w:rsidP="00FE3CCD">
      <w:pPr>
        <w:spacing w:line="360" w:lineRule="auto"/>
        <w:rPr>
          <w:rFonts w:ascii="Arial" w:hAnsi="Arial" w:cs="Arial"/>
          <w:b/>
          <w:bCs/>
          <w:sz w:val="22"/>
          <w:szCs w:val="22"/>
          <w:u w:val="single"/>
        </w:rPr>
      </w:pPr>
    </w:p>
    <w:p w14:paraId="2B08B064" w14:textId="77777777" w:rsidR="002A3D40" w:rsidRDefault="002A3D40" w:rsidP="00FE3CCD">
      <w:pPr>
        <w:spacing w:line="360" w:lineRule="auto"/>
        <w:rPr>
          <w:rFonts w:ascii="Arial" w:hAnsi="Arial" w:cs="Arial"/>
          <w:b/>
          <w:bCs/>
          <w:sz w:val="22"/>
          <w:szCs w:val="22"/>
          <w:u w:val="single"/>
        </w:rPr>
      </w:pPr>
    </w:p>
    <w:p w14:paraId="18F2BA17" w14:textId="77777777" w:rsidR="002A3D40" w:rsidRDefault="002A3D40" w:rsidP="00FE3CCD">
      <w:pPr>
        <w:spacing w:line="360" w:lineRule="auto"/>
        <w:rPr>
          <w:rFonts w:ascii="Arial" w:hAnsi="Arial" w:cs="Arial"/>
          <w:b/>
          <w:bCs/>
          <w:sz w:val="22"/>
          <w:szCs w:val="22"/>
          <w:u w:val="single"/>
        </w:rPr>
      </w:pPr>
    </w:p>
    <w:p w14:paraId="671D64A6" w14:textId="77777777" w:rsidR="002A3D40" w:rsidRDefault="002A3D40" w:rsidP="00FE3CCD">
      <w:pPr>
        <w:spacing w:line="360" w:lineRule="auto"/>
        <w:rPr>
          <w:rFonts w:ascii="Arial" w:hAnsi="Arial" w:cs="Arial"/>
          <w:b/>
          <w:bCs/>
          <w:sz w:val="22"/>
          <w:szCs w:val="22"/>
          <w:u w:val="single"/>
        </w:rPr>
      </w:pPr>
    </w:p>
    <w:p w14:paraId="5B52392D" w14:textId="77777777" w:rsidR="002A3D40" w:rsidRDefault="002A3D40" w:rsidP="00FE3CCD">
      <w:pPr>
        <w:spacing w:line="360" w:lineRule="auto"/>
        <w:rPr>
          <w:rFonts w:ascii="Arial" w:hAnsi="Arial" w:cs="Arial"/>
          <w:b/>
          <w:bCs/>
          <w:sz w:val="22"/>
          <w:szCs w:val="22"/>
          <w:u w:val="single"/>
        </w:rPr>
      </w:pPr>
    </w:p>
    <w:p w14:paraId="47A284E7" w14:textId="77777777" w:rsidR="002A3D40" w:rsidRDefault="002A3D40" w:rsidP="00FE3CCD">
      <w:pPr>
        <w:spacing w:line="360" w:lineRule="auto"/>
        <w:rPr>
          <w:rFonts w:ascii="Arial" w:hAnsi="Arial" w:cs="Arial"/>
          <w:b/>
          <w:bCs/>
          <w:sz w:val="22"/>
          <w:szCs w:val="22"/>
          <w:u w:val="single"/>
        </w:rPr>
      </w:pPr>
    </w:p>
    <w:p w14:paraId="3ED4AF7E" w14:textId="77777777" w:rsidR="002A3D40" w:rsidRDefault="002A3D40" w:rsidP="00FE3CCD">
      <w:pPr>
        <w:spacing w:line="360" w:lineRule="auto"/>
        <w:rPr>
          <w:rFonts w:ascii="Arial" w:hAnsi="Arial" w:cs="Arial"/>
          <w:b/>
          <w:bCs/>
          <w:sz w:val="22"/>
          <w:szCs w:val="22"/>
          <w:u w:val="single"/>
        </w:rPr>
      </w:pPr>
    </w:p>
    <w:p w14:paraId="14A98536" w14:textId="77777777" w:rsidR="002A3D40" w:rsidRDefault="002A3D40" w:rsidP="00FE3CCD">
      <w:pPr>
        <w:spacing w:line="360" w:lineRule="auto"/>
        <w:rPr>
          <w:rFonts w:ascii="Arial" w:hAnsi="Arial" w:cs="Arial"/>
          <w:b/>
          <w:bCs/>
          <w:sz w:val="22"/>
          <w:szCs w:val="22"/>
          <w:u w:val="single"/>
        </w:rPr>
      </w:pPr>
    </w:p>
    <w:p w14:paraId="26F2F7C1" w14:textId="77777777" w:rsidR="002A3D40" w:rsidRDefault="002A3D40" w:rsidP="00FE3CCD">
      <w:pPr>
        <w:spacing w:line="360" w:lineRule="auto"/>
        <w:rPr>
          <w:rFonts w:ascii="Arial" w:hAnsi="Arial" w:cs="Arial"/>
          <w:b/>
          <w:bCs/>
          <w:sz w:val="22"/>
          <w:szCs w:val="22"/>
          <w:u w:val="single"/>
        </w:rPr>
      </w:pPr>
    </w:p>
    <w:p w14:paraId="68EC1722" w14:textId="77777777" w:rsidR="002A3D40" w:rsidRDefault="002A3D40" w:rsidP="00FE3CCD">
      <w:pPr>
        <w:spacing w:line="360" w:lineRule="auto"/>
        <w:rPr>
          <w:rFonts w:ascii="Arial" w:hAnsi="Arial" w:cs="Arial"/>
          <w:b/>
          <w:bCs/>
          <w:sz w:val="22"/>
          <w:szCs w:val="22"/>
          <w:u w:val="single"/>
        </w:rPr>
      </w:pPr>
    </w:p>
    <w:p w14:paraId="1141F5FC" w14:textId="4440580E" w:rsidR="006F5B29" w:rsidRDefault="006F5B29" w:rsidP="00FE3CCD">
      <w:pPr>
        <w:spacing w:line="360" w:lineRule="auto"/>
        <w:rPr>
          <w:rFonts w:ascii="Arial" w:hAnsi="Arial" w:cs="Arial"/>
          <w:b/>
          <w:bCs/>
          <w:sz w:val="22"/>
          <w:szCs w:val="22"/>
          <w:u w:val="single"/>
        </w:rPr>
      </w:pPr>
      <w:r w:rsidRPr="006F5B29">
        <w:rPr>
          <w:rFonts w:ascii="Arial" w:hAnsi="Arial" w:cs="Arial"/>
          <w:b/>
          <w:bCs/>
          <w:sz w:val="22"/>
          <w:szCs w:val="22"/>
          <w:u w:val="single"/>
        </w:rPr>
        <w:lastRenderedPageBreak/>
        <w:t>References</w:t>
      </w:r>
    </w:p>
    <w:p w14:paraId="15B76D1B" w14:textId="77777777" w:rsidR="00950C91" w:rsidRDefault="00950C91" w:rsidP="00FE3CCD">
      <w:pPr>
        <w:spacing w:line="360" w:lineRule="auto"/>
        <w:rPr>
          <w:rFonts w:ascii="Arial" w:hAnsi="Arial" w:cs="Arial"/>
          <w:sz w:val="22"/>
          <w:szCs w:val="22"/>
        </w:rPr>
      </w:pPr>
      <w:r>
        <w:rPr>
          <w:rFonts w:ascii="Arial" w:hAnsi="Arial" w:cs="Arial"/>
          <w:sz w:val="22"/>
          <w:szCs w:val="22"/>
        </w:rPr>
        <w:t>Armitt, H., Kingsley, E., Attwell, L., White, P., Woolley, K., Garside, M., Green, N., Lloyd, T., Coventry, P. (2025). ‘</w:t>
      </w:r>
      <w:r w:rsidRPr="00EC4F55">
        <w:rPr>
          <w:rFonts w:ascii="Arial" w:hAnsi="Arial" w:cs="Arial"/>
          <w:sz w:val="22"/>
          <w:szCs w:val="22"/>
        </w:rPr>
        <w:t>Co-production of a nature-based intervention for children with ADHD study (CONIFAS): Creating a home-based intervention with children and families with lived experience of ADHD</w:t>
      </w:r>
      <w:r>
        <w:rPr>
          <w:rFonts w:ascii="Arial" w:hAnsi="Arial" w:cs="Arial"/>
          <w:sz w:val="22"/>
          <w:szCs w:val="22"/>
        </w:rPr>
        <w:t xml:space="preserve">’, </w:t>
      </w:r>
      <w:r w:rsidRPr="00F94585">
        <w:rPr>
          <w:rFonts w:ascii="Arial" w:hAnsi="Arial" w:cs="Arial"/>
          <w:i/>
          <w:iCs/>
          <w:sz w:val="22"/>
          <w:szCs w:val="22"/>
        </w:rPr>
        <w:t>Children and Youth Services Review. Science Direct.</w:t>
      </w:r>
      <w:r>
        <w:rPr>
          <w:rFonts w:ascii="Arial" w:hAnsi="Arial" w:cs="Arial"/>
          <w:sz w:val="22"/>
          <w:szCs w:val="22"/>
        </w:rPr>
        <w:t xml:space="preserve"> Available at: </w:t>
      </w:r>
      <w:hyperlink r:id="rId10" w:history="1">
        <w:r w:rsidRPr="00F94585">
          <w:rPr>
            <w:rStyle w:val="Hyperlink"/>
            <w:rFonts w:ascii="Arial" w:hAnsi="Arial" w:cs="Arial"/>
            <w:sz w:val="22"/>
            <w:szCs w:val="22"/>
          </w:rPr>
          <w:t>Co-production of a nature-based intervention for children with ADHD study (CONIFAS): Creating a home-based intervention with children and families with lived experience of ADHD - ScienceDirect</w:t>
        </w:r>
      </w:hyperlink>
      <w:r>
        <w:rPr>
          <w:rFonts w:ascii="Arial" w:hAnsi="Arial" w:cs="Arial"/>
          <w:sz w:val="22"/>
          <w:szCs w:val="22"/>
        </w:rPr>
        <w:t>. Accessed on: 11</w:t>
      </w:r>
      <w:r w:rsidRPr="00F94585">
        <w:rPr>
          <w:rFonts w:ascii="Arial" w:hAnsi="Arial" w:cs="Arial"/>
          <w:sz w:val="22"/>
          <w:szCs w:val="22"/>
          <w:vertAlign w:val="superscript"/>
        </w:rPr>
        <w:t>th</w:t>
      </w:r>
      <w:r>
        <w:rPr>
          <w:rFonts w:ascii="Arial" w:hAnsi="Arial" w:cs="Arial"/>
          <w:sz w:val="22"/>
          <w:szCs w:val="22"/>
        </w:rPr>
        <w:t xml:space="preserve"> July 2026.</w:t>
      </w:r>
    </w:p>
    <w:p w14:paraId="38E16AB8" w14:textId="77777777" w:rsidR="00950C91" w:rsidRDefault="00950C91" w:rsidP="00FE3CCD">
      <w:pPr>
        <w:spacing w:line="360" w:lineRule="auto"/>
        <w:rPr>
          <w:rFonts w:ascii="Arial" w:hAnsi="Arial" w:cs="Arial"/>
          <w:sz w:val="22"/>
          <w:szCs w:val="22"/>
        </w:rPr>
      </w:pPr>
      <w:r>
        <w:rPr>
          <w:rFonts w:ascii="Arial" w:hAnsi="Arial" w:cs="Arial"/>
          <w:sz w:val="22"/>
          <w:szCs w:val="22"/>
        </w:rPr>
        <w:t xml:space="preserve">Bolte, S., Lawson, W., </w:t>
      </w:r>
      <w:proofErr w:type="spellStart"/>
      <w:r>
        <w:rPr>
          <w:rFonts w:ascii="Arial" w:hAnsi="Arial" w:cs="Arial"/>
          <w:sz w:val="22"/>
          <w:szCs w:val="22"/>
        </w:rPr>
        <w:t>Marschik</w:t>
      </w:r>
      <w:proofErr w:type="spellEnd"/>
      <w:r>
        <w:rPr>
          <w:rFonts w:ascii="Arial" w:hAnsi="Arial" w:cs="Arial"/>
          <w:sz w:val="22"/>
          <w:szCs w:val="22"/>
        </w:rPr>
        <w:t xml:space="preserve">, P., Girdler, S. (2021). </w:t>
      </w:r>
      <w:r w:rsidRPr="001B3976">
        <w:rPr>
          <w:rFonts w:ascii="Arial" w:hAnsi="Arial" w:cs="Arial"/>
          <w:sz w:val="22"/>
          <w:szCs w:val="22"/>
        </w:rPr>
        <w:t xml:space="preserve">Reconciling the seemingly irreconcilable: </w:t>
      </w:r>
      <w:r>
        <w:rPr>
          <w:rFonts w:ascii="Arial" w:hAnsi="Arial" w:cs="Arial"/>
          <w:sz w:val="22"/>
          <w:szCs w:val="22"/>
        </w:rPr>
        <w:t>‘</w:t>
      </w:r>
      <w:r w:rsidRPr="001B3976">
        <w:rPr>
          <w:rFonts w:ascii="Arial" w:hAnsi="Arial" w:cs="Arial"/>
          <w:sz w:val="22"/>
          <w:szCs w:val="22"/>
        </w:rPr>
        <w:t>The WHO's ICF system integrates biological and psychosocial environmental determinants of autism and ADHD</w:t>
      </w:r>
      <w:r>
        <w:rPr>
          <w:rFonts w:ascii="Arial" w:hAnsi="Arial" w:cs="Arial"/>
          <w:sz w:val="22"/>
          <w:szCs w:val="22"/>
        </w:rPr>
        <w:t xml:space="preserve">’, </w:t>
      </w:r>
      <w:proofErr w:type="spellStart"/>
      <w:r w:rsidRPr="00854D11">
        <w:rPr>
          <w:rFonts w:ascii="Arial" w:hAnsi="Arial" w:cs="Arial"/>
          <w:i/>
          <w:iCs/>
          <w:sz w:val="22"/>
          <w:szCs w:val="22"/>
        </w:rPr>
        <w:t>BioEssays</w:t>
      </w:r>
      <w:proofErr w:type="spellEnd"/>
      <w:r w:rsidRPr="00854D11">
        <w:rPr>
          <w:rFonts w:ascii="Arial" w:hAnsi="Arial" w:cs="Arial"/>
          <w:i/>
          <w:iCs/>
          <w:sz w:val="22"/>
          <w:szCs w:val="22"/>
        </w:rPr>
        <w:t>, Volume 43, Issue 9</w:t>
      </w:r>
      <w:r>
        <w:rPr>
          <w:rFonts w:ascii="Arial" w:hAnsi="Arial" w:cs="Arial"/>
          <w:sz w:val="22"/>
          <w:szCs w:val="22"/>
        </w:rPr>
        <w:t xml:space="preserve">. Available at: </w:t>
      </w:r>
      <w:hyperlink r:id="rId11" w:history="1">
        <w:r w:rsidRPr="00BA41E0">
          <w:rPr>
            <w:rStyle w:val="Hyperlink"/>
            <w:rFonts w:ascii="Arial" w:hAnsi="Arial" w:cs="Arial"/>
            <w:sz w:val="22"/>
            <w:szCs w:val="22"/>
          </w:rPr>
          <w:t xml:space="preserve">Reconciling the seemingly irreconcilable: The WHO's ICF system integrates biological and psychosocial environmental determinants of autism and ADHD - </w:t>
        </w:r>
        <w:proofErr w:type="spellStart"/>
        <w:r w:rsidRPr="00BA41E0">
          <w:rPr>
            <w:rStyle w:val="Hyperlink"/>
            <w:rFonts w:ascii="Arial" w:hAnsi="Arial" w:cs="Arial"/>
            <w:sz w:val="22"/>
            <w:szCs w:val="22"/>
          </w:rPr>
          <w:t>Bölte</w:t>
        </w:r>
        <w:proofErr w:type="spellEnd"/>
        <w:r w:rsidRPr="00BA41E0">
          <w:rPr>
            <w:rStyle w:val="Hyperlink"/>
            <w:rFonts w:ascii="Arial" w:hAnsi="Arial" w:cs="Arial"/>
            <w:sz w:val="22"/>
            <w:szCs w:val="22"/>
          </w:rPr>
          <w:t xml:space="preserve"> - 2021 - </w:t>
        </w:r>
        <w:proofErr w:type="spellStart"/>
        <w:r w:rsidRPr="00BA41E0">
          <w:rPr>
            <w:rStyle w:val="Hyperlink"/>
            <w:rFonts w:ascii="Arial" w:hAnsi="Arial" w:cs="Arial"/>
            <w:sz w:val="22"/>
            <w:szCs w:val="22"/>
          </w:rPr>
          <w:t>BioEssays</w:t>
        </w:r>
        <w:proofErr w:type="spellEnd"/>
        <w:r w:rsidRPr="00BA41E0">
          <w:rPr>
            <w:rStyle w:val="Hyperlink"/>
            <w:rFonts w:ascii="Arial" w:hAnsi="Arial" w:cs="Arial"/>
            <w:sz w:val="22"/>
            <w:szCs w:val="22"/>
          </w:rPr>
          <w:t xml:space="preserve"> - Wiley Online Library</w:t>
        </w:r>
      </w:hyperlink>
      <w:r>
        <w:rPr>
          <w:rFonts w:ascii="Arial" w:hAnsi="Arial" w:cs="Arial"/>
          <w:sz w:val="22"/>
          <w:szCs w:val="22"/>
        </w:rPr>
        <w:t>. Accessed on: 11</w:t>
      </w:r>
      <w:r w:rsidRPr="00BA41E0">
        <w:rPr>
          <w:rFonts w:ascii="Arial" w:hAnsi="Arial" w:cs="Arial"/>
          <w:sz w:val="22"/>
          <w:szCs w:val="22"/>
          <w:vertAlign w:val="superscript"/>
        </w:rPr>
        <w:t>th</w:t>
      </w:r>
      <w:r>
        <w:rPr>
          <w:rFonts w:ascii="Arial" w:hAnsi="Arial" w:cs="Arial"/>
          <w:sz w:val="22"/>
          <w:szCs w:val="22"/>
        </w:rPr>
        <w:t xml:space="preserve"> July 2026.</w:t>
      </w:r>
    </w:p>
    <w:p w14:paraId="3AC7DA61" w14:textId="77777777" w:rsidR="00950C91" w:rsidRDefault="00950C91" w:rsidP="00FE3CCD">
      <w:pPr>
        <w:spacing w:line="360" w:lineRule="auto"/>
        <w:rPr>
          <w:rFonts w:ascii="Arial" w:hAnsi="Arial" w:cs="Arial"/>
          <w:sz w:val="22"/>
          <w:szCs w:val="22"/>
        </w:rPr>
      </w:pPr>
      <w:r>
        <w:rPr>
          <w:rFonts w:ascii="Arial" w:hAnsi="Arial" w:cs="Arial"/>
          <w:sz w:val="22"/>
          <w:szCs w:val="22"/>
        </w:rPr>
        <w:t xml:space="preserve">Erlandsson, S., Hornborg, C., </w:t>
      </w:r>
      <w:proofErr w:type="spellStart"/>
      <w:r>
        <w:rPr>
          <w:rFonts w:ascii="Arial" w:hAnsi="Arial" w:cs="Arial"/>
          <w:sz w:val="22"/>
          <w:szCs w:val="22"/>
        </w:rPr>
        <w:t>Sorbring</w:t>
      </w:r>
      <w:proofErr w:type="spellEnd"/>
      <w:r>
        <w:rPr>
          <w:rFonts w:ascii="Arial" w:hAnsi="Arial" w:cs="Arial"/>
          <w:sz w:val="22"/>
          <w:szCs w:val="22"/>
        </w:rPr>
        <w:t xml:space="preserve">, E., Dauman, N. (2022). ‘Is ADHD a way of conceptualising long-term emotional stress and social disadvantage?’ </w:t>
      </w:r>
      <w:r w:rsidRPr="00166E39">
        <w:rPr>
          <w:rFonts w:ascii="Arial" w:hAnsi="Arial" w:cs="Arial"/>
          <w:i/>
          <w:iCs/>
          <w:sz w:val="22"/>
          <w:szCs w:val="22"/>
        </w:rPr>
        <w:t>Frontiers</w:t>
      </w:r>
      <w:r>
        <w:rPr>
          <w:rFonts w:ascii="Arial" w:hAnsi="Arial" w:cs="Arial"/>
          <w:sz w:val="22"/>
          <w:szCs w:val="22"/>
        </w:rPr>
        <w:t xml:space="preserve">. Available at: </w:t>
      </w:r>
      <w:hyperlink r:id="rId12" w:history="1">
        <w:r w:rsidRPr="00166E39">
          <w:rPr>
            <w:rStyle w:val="Hyperlink"/>
            <w:rFonts w:ascii="Arial" w:hAnsi="Arial" w:cs="Arial"/>
            <w:sz w:val="22"/>
            <w:szCs w:val="22"/>
          </w:rPr>
          <w:t>Frontiers | Is ADHD a way of conceptualizing long-term emotional stress and social disadvantage?</w:t>
        </w:r>
      </w:hyperlink>
      <w:r>
        <w:rPr>
          <w:rFonts w:ascii="Arial" w:hAnsi="Arial" w:cs="Arial"/>
          <w:sz w:val="22"/>
          <w:szCs w:val="22"/>
        </w:rPr>
        <w:t>. Accessed on:10</w:t>
      </w:r>
      <w:r w:rsidRPr="00166E39">
        <w:rPr>
          <w:rFonts w:ascii="Arial" w:hAnsi="Arial" w:cs="Arial"/>
          <w:sz w:val="22"/>
          <w:szCs w:val="22"/>
          <w:vertAlign w:val="superscript"/>
        </w:rPr>
        <w:t>th</w:t>
      </w:r>
      <w:r>
        <w:rPr>
          <w:rFonts w:ascii="Arial" w:hAnsi="Arial" w:cs="Arial"/>
          <w:sz w:val="22"/>
          <w:szCs w:val="22"/>
        </w:rPr>
        <w:t xml:space="preserve"> July 2026.</w:t>
      </w:r>
    </w:p>
    <w:p w14:paraId="2011844C" w14:textId="77777777" w:rsidR="00950C91" w:rsidRPr="002C4176" w:rsidRDefault="00950C91" w:rsidP="00FE3CCD">
      <w:pPr>
        <w:spacing w:line="360" w:lineRule="auto"/>
        <w:rPr>
          <w:rFonts w:ascii="Arial" w:hAnsi="Arial" w:cs="Arial"/>
          <w:sz w:val="22"/>
          <w:szCs w:val="22"/>
        </w:rPr>
      </w:pPr>
      <w:r>
        <w:rPr>
          <w:rFonts w:ascii="Arial" w:hAnsi="Arial" w:cs="Arial"/>
          <w:sz w:val="22"/>
          <w:szCs w:val="22"/>
        </w:rPr>
        <w:t xml:space="preserve">ICD-11 for Mortality and Morbidity Statistics (2026). ‘6A05 </w:t>
      </w:r>
      <w:proofErr w:type="gramStart"/>
      <w:r>
        <w:rPr>
          <w:rFonts w:ascii="Arial" w:hAnsi="Arial" w:cs="Arial"/>
          <w:sz w:val="22"/>
          <w:szCs w:val="22"/>
        </w:rPr>
        <w:t>Attention deficit hyperactivity disorder</w:t>
      </w:r>
      <w:proofErr w:type="gramEnd"/>
      <w:r>
        <w:rPr>
          <w:rFonts w:ascii="Arial" w:hAnsi="Arial" w:cs="Arial"/>
          <w:sz w:val="22"/>
          <w:szCs w:val="22"/>
        </w:rPr>
        <w:t xml:space="preserve">’. Available at: </w:t>
      </w:r>
      <w:hyperlink r:id="rId13" w:anchor="821852937" w:history="1">
        <w:r w:rsidRPr="00970761">
          <w:rPr>
            <w:rStyle w:val="Hyperlink"/>
            <w:rFonts w:ascii="Arial" w:hAnsi="Arial" w:cs="Arial"/>
            <w:sz w:val="22"/>
            <w:szCs w:val="22"/>
          </w:rPr>
          <w:t>ICD-11 for Mortality and Morbidity Statistics</w:t>
        </w:r>
      </w:hyperlink>
      <w:r>
        <w:rPr>
          <w:rFonts w:ascii="Arial" w:hAnsi="Arial" w:cs="Arial"/>
          <w:sz w:val="22"/>
          <w:szCs w:val="22"/>
        </w:rPr>
        <w:t>. Accessed on: 9</w:t>
      </w:r>
      <w:r w:rsidRPr="00970761">
        <w:rPr>
          <w:rFonts w:ascii="Arial" w:hAnsi="Arial" w:cs="Arial"/>
          <w:sz w:val="22"/>
          <w:szCs w:val="22"/>
          <w:vertAlign w:val="superscript"/>
        </w:rPr>
        <w:t>th</w:t>
      </w:r>
      <w:r>
        <w:rPr>
          <w:rFonts w:ascii="Arial" w:hAnsi="Arial" w:cs="Arial"/>
          <w:sz w:val="22"/>
          <w:szCs w:val="22"/>
        </w:rPr>
        <w:t xml:space="preserve"> July 2026.</w:t>
      </w:r>
    </w:p>
    <w:p w14:paraId="5B0D0EE8" w14:textId="77777777" w:rsidR="00950C91" w:rsidRDefault="00950C91" w:rsidP="00FE3CCD">
      <w:pPr>
        <w:spacing w:line="360" w:lineRule="auto"/>
        <w:rPr>
          <w:rFonts w:ascii="Arial" w:hAnsi="Arial" w:cs="Arial"/>
          <w:sz w:val="22"/>
          <w:szCs w:val="22"/>
        </w:rPr>
      </w:pPr>
      <w:r>
        <w:rPr>
          <w:rFonts w:ascii="Arial" w:hAnsi="Arial" w:cs="Arial"/>
          <w:sz w:val="22"/>
          <w:szCs w:val="22"/>
        </w:rPr>
        <w:t xml:space="preserve">Miller, C (2026). ‘Is It ADHD or Trauma?’ </w:t>
      </w:r>
      <w:r w:rsidRPr="007F3FEC">
        <w:rPr>
          <w:rFonts w:ascii="Arial" w:hAnsi="Arial" w:cs="Arial"/>
          <w:i/>
          <w:iCs/>
          <w:sz w:val="22"/>
          <w:szCs w:val="22"/>
        </w:rPr>
        <w:t>Child Mind Institute</w:t>
      </w:r>
      <w:r>
        <w:rPr>
          <w:rFonts w:ascii="Arial" w:hAnsi="Arial" w:cs="Arial"/>
          <w:sz w:val="22"/>
          <w:szCs w:val="22"/>
        </w:rPr>
        <w:t xml:space="preserve">. Available at: </w:t>
      </w:r>
      <w:hyperlink r:id="rId14" w:history="1">
        <w:r w:rsidRPr="007F3FEC">
          <w:rPr>
            <w:rStyle w:val="Hyperlink"/>
            <w:rFonts w:ascii="Arial" w:hAnsi="Arial" w:cs="Arial"/>
            <w:sz w:val="22"/>
            <w:szCs w:val="22"/>
          </w:rPr>
          <w:t>Is it ADHD or Trauma? Understanding the Differences</w:t>
        </w:r>
      </w:hyperlink>
      <w:r>
        <w:rPr>
          <w:rFonts w:ascii="Arial" w:hAnsi="Arial" w:cs="Arial"/>
          <w:sz w:val="22"/>
          <w:szCs w:val="22"/>
        </w:rPr>
        <w:t>. Accessed on: 11</w:t>
      </w:r>
      <w:r w:rsidRPr="007F3FEC">
        <w:rPr>
          <w:rFonts w:ascii="Arial" w:hAnsi="Arial" w:cs="Arial"/>
          <w:sz w:val="22"/>
          <w:szCs w:val="22"/>
          <w:vertAlign w:val="superscript"/>
        </w:rPr>
        <w:t>th</w:t>
      </w:r>
      <w:r>
        <w:rPr>
          <w:rFonts w:ascii="Arial" w:hAnsi="Arial" w:cs="Arial"/>
          <w:sz w:val="22"/>
          <w:szCs w:val="22"/>
        </w:rPr>
        <w:t xml:space="preserve"> July 2026.</w:t>
      </w:r>
    </w:p>
    <w:p w14:paraId="1F01B612" w14:textId="77777777" w:rsidR="00950C91" w:rsidRDefault="00950C91" w:rsidP="00FE3CCD">
      <w:pPr>
        <w:spacing w:line="360" w:lineRule="auto"/>
        <w:rPr>
          <w:rFonts w:ascii="Arial" w:hAnsi="Arial" w:cs="Arial"/>
          <w:sz w:val="22"/>
          <w:szCs w:val="22"/>
        </w:rPr>
      </w:pPr>
      <w:r>
        <w:rPr>
          <w:rFonts w:ascii="Arial" w:hAnsi="Arial" w:cs="Arial"/>
          <w:sz w:val="22"/>
          <w:szCs w:val="22"/>
        </w:rPr>
        <w:t xml:space="preserve">National Institute for Health and Care Excellence (2019). ‘Attention deficit hyperactivity disorder: diagnosis and management’, </w:t>
      </w:r>
      <w:r w:rsidRPr="00796286">
        <w:rPr>
          <w:rFonts w:ascii="Arial" w:hAnsi="Arial" w:cs="Arial"/>
          <w:i/>
          <w:iCs/>
          <w:sz w:val="22"/>
          <w:szCs w:val="22"/>
        </w:rPr>
        <w:t>NICE guideline NG87</w:t>
      </w:r>
      <w:r>
        <w:rPr>
          <w:rFonts w:ascii="Arial" w:hAnsi="Arial" w:cs="Arial"/>
          <w:sz w:val="22"/>
          <w:szCs w:val="22"/>
        </w:rPr>
        <w:t xml:space="preserve">. Available at: </w:t>
      </w:r>
      <w:hyperlink r:id="rId15" w:history="1">
        <w:r w:rsidRPr="007A4DF4">
          <w:rPr>
            <w:rStyle w:val="Hyperlink"/>
            <w:rFonts w:ascii="Arial" w:hAnsi="Arial" w:cs="Arial"/>
            <w:sz w:val="22"/>
            <w:szCs w:val="22"/>
          </w:rPr>
          <w:t xml:space="preserve">Overview | </w:t>
        </w:r>
        <w:proofErr w:type="gramStart"/>
        <w:r w:rsidRPr="007A4DF4">
          <w:rPr>
            <w:rStyle w:val="Hyperlink"/>
            <w:rFonts w:ascii="Arial" w:hAnsi="Arial" w:cs="Arial"/>
            <w:sz w:val="22"/>
            <w:szCs w:val="22"/>
          </w:rPr>
          <w:t>Attention deficit hyperactivity disorder</w:t>
        </w:r>
        <w:proofErr w:type="gramEnd"/>
        <w:r w:rsidRPr="007A4DF4">
          <w:rPr>
            <w:rStyle w:val="Hyperlink"/>
            <w:rFonts w:ascii="Arial" w:hAnsi="Arial" w:cs="Arial"/>
            <w:sz w:val="22"/>
            <w:szCs w:val="22"/>
          </w:rPr>
          <w:t>: diagnosis and management | Guidance | NICE</w:t>
        </w:r>
      </w:hyperlink>
      <w:r>
        <w:rPr>
          <w:rFonts w:ascii="Arial" w:hAnsi="Arial" w:cs="Arial"/>
          <w:sz w:val="22"/>
          <w:szCs w:val="22"/>
        </w:rPr>
        <w:t>. Accessed on: 11</w:t>
      </w:r>
      <w:r w:rsidRPr="007A4DF4">
        <w:rPr>
          <w:rFonts w:ascii="Arial" w:hAnsi="Arial" w:cs="Arial"/>
          <w:sz w:val="22"/>
          <w:szCs w:val="22"/>
          <w:vertAlign w:val="superscript"/>
        </w:rPr>
        <w:t>th</w:t>
      </w:r>
      <w:r>
        <w:rPr>
          <w:rFonts w:ascii="Arial" w:hAnsi="Arial" w:cs="Arial"/>
          <w:sz w:val="22"/>
          <w:szCs w:val="22"/>
        </w:rPr>
        <w:t xml:space="preserve"> July 2026.</w:t>
      </w:r>
    </w:p>
    <w:p w14:paraId="1FB29793" w14:textId="77777777" w:rsidR="00950C91" w:rsidRDefault="00950C91" w:rsidP="00FE3CCD">
      <w:pPr>
        <w:spacing w:line="360" w:lineRule="auto"/>
        <w:rPr>
          <w:rFonts w:ascii="Arial" w:hAnsi="Arial" w:cs="Arial"/>
          <w:sz w:val="22"/>
          <w:szCs w:val="22"/>
        </w:rPr>
      </w:pPr>
      <w:r>
        <w:rPr>
          <w:rFonts w:ascii="Arial" w:hAnsi="Arial" w:cs="Arial"/>
          <w:sz w:val="22"/>
          <w:szCs w:val="22"/>
        </w:rPr>
        <w:t xml:space="preserve">National Institute for Health and Care Excellence </w:t>
      </w:r>
      <w:r>
        <w:rPr>
          <w:rFonts w:ascii="Arial" w:hAnsi="Arial" w:cs="Arial"/>
          <w:sz w:val="22"/>
          <w:szCs w:val="22"/>
        </w:rPr>
        <w:t xml:space="preserve">(2024). ‘Digital technologies for assessing attention deficit hyperactivity disorder (ADHD)’, </w:t>
      </w:r>
      <w:r w:rsidRPr="00550D05">
        <w:rPr>
          <w:rFonts w:ascii="Arial" w:hAnsi="Arial" w:cs="Arial"/>
          <w:i/>
          <w:iCs/>
          <w:sz w:val="22"/>
          <w:szCs w:val="22"/>
        </w:rPr>
        <w:t>Diagnostics guidance DG60</w:t>
      </w:r>
      <w:r>
        <w:rPr>
          <w:rFonts w:ascii="Arial" w:hAnsi="Arial" w:cs="Arial"/>
          <w:sz w:val="22"/>
          <w:szCs w:val="22"/>
        </w:rPr>
        <w:t xml:space="preserve">. Available at: </w:t>
      </w:r>
      <w:hyperlink r:id="rId16" w:history="1">
        <w:r w:rsidRPr="00550D05">
          <w:rPr>
            <w:rStyle w:val="Hyperlink"/>
            <w:rFonts w:ascii="Arial" w:hAnsi="Arial" w:cs="Arial"/>
            <w:sz w:val="22"/>
            <w:szCs w:val="22"/>
          </w:rPr>
          <w:t>Digital technologies for assessing attention deficit hyperactivity disorder (ADHD) | Guidance | NICE</w:t>
        </w:r>
      </w:hyperlink>
      <w:r>
        <w:rPr>
          <w:rFonts w:ascii="Arial" w:hAnsi="Arial" w:cs="Arial"/>
          <w:sz w:val="22"/>
          <w:szCs w:val="22"/>
        </w:rPr>
        <w:t>. Accessed on: 11</w:t>
      </w:r>
      <w:r w:rsidRPr="00550D05">
        <w:rPr>
          <w:rFonts w:ascii="Arial" w:hAnsi="Arial" w:cs="Arial"/>
          <w:sz w:val="22"/>
          <w:szCs w:val="22"/>
          <w:vertAlign w:val="superscript"/>
        </w:rPr>
        <w:t>th</w:t>
      </w:r>
      <w:r>
        <w:rPr>
          <w:rFonts w:ascii="Arial" w:hAnsi="Arial" w:cs="Arial"/>
          <w:sz w:val="22"/>
          <w:szCs w:val="22"/>
        </w:rPr>
        <w:t xml:space="preserve"> July 2026.</w:t>
      </w:r>
    </w:p>
    <w:p w14:paraId="216D9D60" w14:textId="77777777" w:rsidR="00950C91" w:rsidRDefault="00950C91" w:rsidP="00FE3CCD">
      <w:pPr>
        <w:spacing w:line="360" w:lineRule="auto"/>
        <w:rPr>
          <w:rFonts w:ascii="Arial" w:hAnsi="Arial" w:cs="Arial"/>
          <w:sz w:val="22"/>
          <w:szCs w:val="22"/>
        </w:rPr>
      </w:pPr>
      <w:r>
        <w:rPr>
          <w:rFonts w:ascii="Arial" w:hAnsi="Arial" w:cs="Arial"/>
          <w:sz w:val="22"/>
          <w:szCs w:val="22"/>
        </w:rPr>
        <w:lastRenderedPageBreak/>
        <w:t xml:space="preserve">NHS England (2025). ‘ADHD Management Information – May </w:t>
      </w:r>
      <w:r w:rsidRPr="0071670A">
        <w:rPr>
          <w:rFonts w:ascii="Arial" w:hAnsi="Arial" w:cs="Arial"/>
          <w:sz w:val="22"/>
          <w:szCs w:val="22"/>
        </w:rPr>
        <w:t>2025’,</w:t>
      </w:r>
      <w:r w:rsidRPr="0071670A">
        <w:rPr>
          <w:rFonts w:ascii="Arial" w:hAnsi="Arial" w:cs="Arial"/>
          <w:i/>
          <w:iCs/>
          <w:sz w:val="22"/>
          <w:szCs w:val="22"/>
        </w:rPr>
        <w:t xml:space="preserve"> NHS Digital</w:t>
      </w:r>
      <w:r>
        <w:rPr>
          <w:rFonts w:ascii="Arial" w:hAnsi="Arial" w:cs="Arial"/>
          <w:sz w:val="22"/>
          <w:szCs w:val="22"/>
        </w:rPr>
        <w:t xml:space="preserve">. Available at: </w:t>
      </w:r>
      <w:hyperlink r:id="rId17" w:history="1">
        <w:r w:rsidRPr="0071670A">
          <w:rPr>
            <w:rStyle w:val="Hyperlink"/>
            <w:rFonts w:ascii="Arial" w:hAnsi="Arial" w:cs="Arial"/>
            <w:sz w:val="22"/>
            <w:szCs w:val="22"/>
          </w:rPr>
          <w:t>ADHD Management Information - May 2025 - NHS England Digital</w:t>
        </w:r>
      </w:hyperlink>
      <w:r>
        <w:rPr>
          <w:rFonts w:ascii="Arial" w:hAnsi="Arial" w:cs="Arial"/>
          <w:sz w:val="22"/>
          <w:szCs w:val="22"/>
        </w:rPr>
        <w:t>. Accessed on: 12</w:t>
      </w:r>
      <w:r w:rsidRPr="0071670A">
        <w:rPr>
          <w:rFonts w:ascii="Arial" w:hAnsi="Arial" w:cs="Arial"/>
          <w:sz w:val="22"/>
          <w:szCs w:val="22"/>
          <w:vertAlign w:val="superscript"/>
        </w:rPr>
        <w:t>th</w:t>
      </w:r>
      <w:r>
        <w:rPr>
          <w:rFonts w:ascii="Arial" w:hAnsi="Arial" w:cs="Arial"/>
          <w:sz w:val="22"/>
          <w:szCs w:val="22"/>
        </w:rPr>
        <w:t xml:space="preserve"> July 2026.</w:t>
      </w:r>
    </w:p>
    <w:p w14:paraId="053B1D7B" w14:textId="77777777" w:rsidR="00950C91" w:rsidRDefault="00950C91" w:rsidP="00FE3CCD">
      <w:pPr>
        <w:spacing w:line="360" w:lineRule="auto"/>
        <w:rPr>
          <w:rFonts w:ascii="Arial" w:hAnsi="Arial" w:cs="Arial"/>
          <w:sz w:val="22"/>
          <w:szCs w:val="22"/>
        </w:rPr>
      </w:pPr>
      <w:proofErr w:type="spellStart"/>
      <w:r>
        <w:rPr>
          <w:rFonts w:ascii="Arial" w:hAnsi="Arial" w:cs="Arial"/>
          <w:sz w:val="22"/>
          <w:szCs w:val="22"/>
        </w:rPr>
        <w:t>Recarey</w:t>
      </w:r>
      <w:proofErr w:type="spellEnd"/>
      <w:r>
        <w:rPr>
          <w:rFonts w:ascii="Arial" w:hAnsi="Arial" w:cs="Arial"/>
          <w:sz w:val="22"/>
          <w:szCs w:val="22"/>
        </w:rPr>
        <w:t xml:space="preserve">-Rama, S., Zubizarreta, S., </w:t>
      </w:r>
      <w:proofErr w:type="spellStart"/>
      <w:r>
        <w:rPr>
          <w:rFonts w:ascii="Arial" w:hAnsi="Arial" w:cs="Arial"/>
          <w:sz w:val="22"/>
          <w:szCs w:val="22"/>
        </w:rPr>
        <w:t>Brenlla</w:t>
      </w:r>
      <w:proofErr w:type="spellEnd"/>
      <w:r>
        <w:rPr>
          <w:rFonts w:ascii="Arial" w:hAnsi="Arial" w:cs="Arial"/>
          <w:sz w:val="22"/>
          <w:szCs w:val="22"/>
        </w:rPr>
        <w:t xml:space="preserve">, C., Gerpe-Rieirio, E., Gil-Rodriguez, A., </w:t>
      </w:r>
      <w:proofErr w:type="spellStart"/>
      <w:r>
        <w:rPr>
          <w:rFonts w:ascii="Arial" w:hAnsi="Arial" w:cs="Arial"/>
          <w:sz w:val="22"/>
          <w:szCs w:val="22"/>
        </w:rPr>
        <w:t>Tubio-Fungueirino</w:t>
      </w:r>
      <w:proofErr w:type="spellEnd"/>
      <w:r>
        <w:rPr>
          <w:rFonts w:ascii="Arial" w:hAnsi="Arial" w:cs="Arial"/>
          <w:sz w:val="22"/>
          <w:szCs w:val="22"/>
        </w:rPr>
        <w:t xml:space="preserve">, M., Pozo-Rodriguez, M., Carracedo, A., </w:t>
      </w:r>
      <w:proofErr w:type="spellStart"/>
      <w:r>
        <w:rPr>
          <w:rFonts w:ascii="Arial" w:hAnsi="Arial" w:cs="Arial"/>
          <w:sz w:val="22"/>
          <w:szCs w:val="22"/>
        </w:rPr>
        <w:t>Maronas</w:t>
      </w:r>
      <w:proofErr w:type="spellEnd"/>
      <w:r>
        <w:rPr>
          <w:rFonts w:ascii="Arial" w:hAnsi="Arial" w:cs="Arial"/>
          <w:sz w:val="22"/>
          <w:szCs w:val="22"/>
        </w:rPr>
        <w:t>, O., Fernandez-Prieto, M. (2025). ‘</w:t>
      </w:r>
      <w:r w:rsidRPr="008857E5">
        <w:rPr>
          <w:rFonts w:ascii="Arial" w:hAnsi="Arial" w:cs="Arial"/>
          <w:sz w:val="22"/>
          <w:szCs w:val="22"/>
        </w:rPr>
        <w:t>Exploring the sensory profile and pharmacogenetic biomarkers in child and youth ADHD patients undergoing methylphenidate (MPH) treatment: a systematic review conducted in European studies</w:t>
      </w:r>
      <w:r>
        <w:rPr>
          <w:rFonts w:ascii="Arial" w:hAnsi="Arial" w:cs="Arial"/>
          <w:sz w:val="22"/>
          <w:szCs w:val="22"/>
        </w:rPr>
        <w:t xml:space="preserve">’, </w:t>
      </w:r>
      <w:r w:rsidRPr="00BC0E99">
        <w:rPr>
          <w:rFonts w:ascii="Arial" w:hAnsi="Arial" w:cs="Arial"/>
          <w:i/>
          <w:iCs/>
          <w:sz w:val="22"/>
          <w:szCs w:val="22"/>
        </w:rPr>
        <w:t>Journal of Psychiatric Research</w:t>
      </w:r>
      <w:r>
        <w:rPr>
          <w:rFonts w:ascii="Arial" w:hAnsi="Arial" w:cs="Arial"/>
          <w:sz w:val="22"/>
          <w:szCs w:val="22"/>
        </w:rPr>
        <w:t xml:space="preserve">. Elsevier Publishing. Available at: </w:t>
      </w:r>
      <w:hyperlink r:id="rId18" w:history="1">
        <w:r w:rsidRPr="00BC0E99">
          <w:rPr>
            <w:rStyle w:val="Hyperlink"/>
            <w:rFonts w:ascii="Arial" w:hAnsi="Arial" w:cs="Arial"/>
            <w:sz w:val="22"/>
            <w:szCs w:val="22"/>
          </w:rPr>
          <w:t>Exploring the sensory profile and pharmacogenetic biomarkers in child and youth ADHD patients undergoing methylphenidate (MPH) treatment: a systematic review conducted in European studies - ScienceDirect</w:t>
        </w:r>
      </w:hyperlink>
      <w:r>
        <w:rPr>
          <w:rFonts w:ascii="Arial" w:hAnsi="Arial" w:cs="Arial"/>
          <w:sz w:val="22"/>
          <w:szCs w:val="22"/>
        </w:rPr>
        <w:t>. Accessed on: 10</w:t>
      </w:r>
      <w:r w:rsidRPr="00BC0E99">
        <w:rPr>
          <w:rFonts w:ascii="Arial" w:hAnsi="Arial" w:cs="Arial"/>
          <w:sz w:val="22"/>
          <w:szCs w:val="22"/>
          <w:vertAlign w:val="superscript"/>
        </w:rPr>
        <w:t>th</w:t>
      </w:r>
      <w:r>
        <w:rPr>
          <w:rFonts w:ascii="Arial" w:hAnsi="Arial" w:cs="Arial"/>
          <w:sz w:val="22"/>
          <w:szCs w:val="22"/>
        </w:rPr>
        <w:t xml:space="preserve"> July 2026.</w:t>
      </w:r>
    </w:p>
    <w:p w14:paraId="47E6B49A" w14:textId="77777777" w:rsidR="00950C91" w:rsidRDefault="00950C91" w:rsidP="00FE3CCD">
      <w:pPr>
        <w:spacing w:line="360" w:lineRule="auto"/>
        <w:rPr>
          <w:rFonts w:ascii="Arial" w:hAnsi="Arial" w:cs="Arial"/>
          <w:sz w:val="22"/>
          <w:szCs w:val="22"/>
        </w:rPr>
      </w:pPr>
      <w:r>
        <w:rPr>
          <w:rFonts w:ascii="Arial" w:hAnsi="Arial" w:cs="Arial"/>
          <w:sz w:val="22"/>
          <w:szCs w:val="22"/>
        </w:rPr>
        <w:t xml:space="preserve">Thapar, A K., Collishaw, S., Smith, G D., </w:t>
      </w:r>
      <w:proofErr w:type="spellStart"/>
      <w:r>
        <w:rPr>
          <w:rFonts w:ascii="Arial" w:hAnsi="Arial" w:cs="Arial"/>
          <w:sz w:val="22"/>
          <w:szCs w:val="22"/>
        </w:rPr>
        <w:t>Stergiakouli</w:t>
      </w:r>
      <w:proofErr w:type="spellEnd"/>
      <w:r>
        <w:rPr>
          <w:rFonts w:ascii="Arial" w:hAnsi="Arial" w:cs="Arial"/>
          <w:sz w:val="22"/>
          <w:szCs w:val="22"/>
        </w:rPr>
        <w:t>, E., Thapar, A. (2026). ‘</w:t>
      </w:r>
      <w:r w:rsidRPr="005D112F">
        <w:rPr>
          <w:rFonts w:ascii="Arial" w:hAnsi="Arial" w:cs="Arial"/>
          <w:sz w:val="22"/>
          <w:szCs w:val="22"/>
        </w:rPr>
        <w:t>Association between childhood ADHD problems and premature mortality: identifying modifiable cardiovascular mechanisms in a UK population cohort</w:t>
      </w:r>
      <w:r>
        <w:rPr>
          <w:rFonts w:ascii="Arial" w:hAnsi="Arial" w:cs="Arial"/>
          <w:sz w:val="22"/>
          <w:szCs w:val="22"/>
        </w:rPr>
        <w:t xml:space="preserve">’, </w:t>
      </w:r>
      <w:r w:rsidRPr="00B9300A">
        <w:rPr>
          <w:rFonts w:ascii="Arial" w:hAnsi="Arial" w:cs="Arial"/>
          <w:i/>
          <w:iCs/>
          <w:sz w:val="22"/>
          <w:szCs w:val="22"/>
        </w:rPr>
        <w:t>Front Psychiatry</w:t>
      </w:r>
      <w:r>
        <w:rPr>
          <w:rFonts w:ascii="Arial" w:hAnsi="Arial" w:cs="Arial"/>
          <w:sz w:val="22"/>
          <w:szCs w:val="22"/>
        </w:rPr>
        <w:t xml:space="preserve">. Available at: </w:t>
      </w:r>
      <w:hyperlink r:id="rId19" w:history="1">
        <w:r w:rsidRPr="00B9300A">
          <w:rPr>
            <w:rStyle w:val="Hyperlink"/>
            <w:rFonts w:ascii="Arial" w:hAnsi="Arial" w:cs="Arial"/>
            <w:sz w:val="22"/>
            <w:szCs w:val="22"/>
          </w:rPr>
          <w:t>Association between childhood ADHD problems and premature mortality: identifying modifiable cardiovascular mechanisms in a UK population cohort - PMC</w:t>
        </w:r>
      </w:hyperlink>
      <w:r>
        <w:rPr>
          <w:rFonts w:ascii="Arial" w:hAnsi="Arial" w:cs="Arial"/>
          <w:sz w:val="22"/>
          <w:szCs w:val="22"/>
        </w:rPr>
        <w:t>. Accessed on:10</w:t>
      </w:r>
      <w:r w:rsidRPr="00B9300A">
        <w:rPr>
          <w:rFonts w:ascii="Arial" w:hAnsi="Arial" w:cs="Arial"/>
          <w:sz w:val="22"/>
          <w:szCs w:val="22"/>
          <w:vertAlign w:val="superscript"/>
        </w:rPr>
        <w:t>th</w:t>
      </w:r>
      <w:r>
        <w:rPr>
          <w:rFonts w:ascii="Arial" w:hAnsi="Arial" w:cs="Arial"/>
          <w:sz w:val="22"/>
          <w:szCs w:val="22"/>
        </w:rPr>
        <w:t xml:space="preserve"> July 2026.</w:t>
      </w:r>
    </w:p>
    <w:p w14:paraId="78AB4545" w14:textId="77777777" w:rsidR="00950C91" w:rsidRDefault="00950C91" w:rsidP="00FE3CCD">
      <w:pPr>
        <w:spacing w:line="360" w:lineRule="auto"/>
        <w:rPr>
          <w:rFonts w:ascii="Arial" w:hAnsi="Arial" w:cs="Arial"/>
          <w:sz w:val="22"/>
          <w:szCs w:val="22"/>
        </w:rPr>
      </w:pPr>
      <w:r>
        <w:rPr>
          <w:rFonts w:ascii="Arial" w:hAnsi="Arial" w:cs="Arial"/>
          <w:sz w:val="22"/>
          <w:szCs w:val="22"/>
        </w:rPr>
        <w:t xml:space="preserve">The Centre for Social Justice (2026). ‘Record Exclusions of Children with Special Needs Plans’. Available at: </w:t>
      </w:r>
      <w:hyperlink r:id="rId20" w:anchor=":~:text=These%20now%20account%20for%20over%2070%20per,an%20average%20of%20around%20%C2%A31%2C361%20for%20ADHD." w:history="1">
        <w:r w:rsidRPr="0001569D">
          <w:rPr>
            <w:rStyle w:val="Hyperlink"/>
            <w:rFonts w:ascii="Arial" w:hAnsi="Arial" w:cs="Arial"/>
            <w:sz w:val="22"/>
            <w:szCs w:val="22"/>
          </w:rPr>
          <w:t>Record exclusions of children with special needs plans - The Centre for Social Justice</w:t>
        </w:r>
      </w:hyperlink>
      <w:r>
        <w:rPr>
          <w:rFonts w:ascii="Arial" w:hAnsi="Arial" w:cs="Arial"/>
          <w:sz w:val="22"/>
          <w:szCs w:val="22"/>
        </w:rPr>
        <w:t>. Accessed on:10</w:t>
      </w:r>
      <w:r w:rsidRPr="0001569D">
        <w:rPr>
          <w:rFonts w:ascii="Arial" w:hAnsi="Arial" w:cs="Arial"/>
          <w:sz w:val="22"/>
          <w:szCs w:val="22"/>
          <w:vertAlign w:val="superscript"/>
        </w:rPr>
        <w:t>th</w:t>
      </w:r>
      <w:r>
        <w:rPr>
          <w:rFonts w:ascii="Arial" w:hAnsi="Arial" w:cs="Arial"/>
          <w:sz w:val="22"/>
          <w:szCs w:val="22"/>
        </w:rPr>
        <w:t xml:space="preserve"> July 2026.</w:t>
      </w:r>
    </w:p>
    <w:p w14:paraId="5D8D534A" w14:textId="77777777" w:rsidR="00950C91" w:rsidRDefault="00950C91" w:rsidP="00FE3CCD">
      <w:pPr>
        <w:spacing w:line="360" w:lineRule="auto"/>
        <w:rPr>
          <w:rFonts w:ascii="Arial" w:hAnsi="Arial" w:cs="Arial"/>
          <w:sz w:val="22"/>
          <w:szCs w:val="22"/>
        </w:rPr>
      </w:pPr>
      <w:r>
        <w:rPr>
          <w:rFonts w:ascii="Arial" w:hAnsi="Arial" w:cs="Arial"/>
          <w:sz w:val="22"/>
          <w:szCs w:val="22"/>
        </w:rPr>
        <w:t xml:space="preserve">The Economist (2024). ‘ADHD should not be treated as a disorder’, </w:t>
      </w:r>
      <w:r w:rsidRPr="00880314">
        <w:rPr>
          <w:rFonts w:ascii="Arial" w:hAnsi="Arial" w:cs="Arial"/>
          <w:i/>
          <w:iCs/>
          <w:sz w:val="22"/>
          <w:szCs w:val="22"/>
        </w:rPr>
        <w:t>The Economist (online).</w:t>
      </w:r>
      <w:r>
        <w:rPr>
          <w:rFonts w:ascii="Arial" w:hAnsi="Arial" w:cs="Arial"/>
          <w:sz w:val="22"/>
          <w:szCs w:val="22"/>
        </w:rPr>
        <w:t xml:space="preserve"> Available at: </w:t>
      </w:r>
      <w:hyperlink r:id="rId21" w:history="1">
        <w:r w:rsidRPr="00880314">
          <w:rPr>
            <w:rStyle w:val="Hyperlink"/>
            <w:rFonts w:ascii="Arial" w:hAnsi="Arial" w:cs="Arial"/>
            <w:sz w:val="22"/>
            <w:szCs w:val="22"/>
          </w:rPr>
          <w:t>ADHD should not be treated as a disorder - ProQuest</w:t>
        </w:r>
      </w:hyperlink>
      <w:r>
        <w:rPr>
          <w:rFonts w:ascii="Arial" w:hAnsi="Arial" w:cs="Arial"/>
          <w:sz w:val="22"/>
          <w:szCs w:val="22"/>
        </w:rPr>
        <w:t>. Accessed on: 10</w:t>
      </w:r>
      <w:r w:rsidRPr="00880314">
        <w:rPr>
          <w:rFonts w:ascii="Arial" w:hAnsi="Arial" w:cs="Arial"/>
          <w:sz w:val="22"/>
          <w:szCs w:val="22"/>
          <w:vertAlign w:val="superscript"/>
        </w:rPr>
        <w:t>th</w:t>
      </w:r>
      <w:r>
        <w:rPr>
          <w:rFonts w:ascii="Arial" w:hAnsi="Arial" w:cs="Arial"/>
          <w:sz w:val="22"/>
          <w:szCs w:val="22"/>
        </w:rPr>
        <w:t xml:space="preserve"> July 2026.</w:t>
      </w:r>
    </w:p>
    <w:sectPr w:rsidR="00950C9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DA6B2" w14:textId="77777777" w:rsidR="00625599" w:rsidRDefault="00625599" w:rsidP="000F1AD6">
      <w:pPr>
        <w:spacing w:after="0" w:line="240" w:lineRule="auto"/>
      </w:pPr>
      <w:r>
        <w:separator/>
      </w:r>
    </w:p>
  </w:endnote>
  <w:endnote w:type="continuationSeparator" w:id="0">
    <w:p w14:paraId="5B72466A" w14:textId="77777777" w:rsidR="00625599" w:rsidRDefault="00625599" w:rsidP="000F1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1118730"/>
      <w:docPartObj>
        <w:docPartGallery w:val="Page Numbers (Bottom of Page)"/>
        <w:docPartUnique/>
      </w:docPartObj>
    </w:sdtPr>
    <w:sdtEndPr>
      <w:rPr>
        <w:noProof/>
      </w:rPr>
    </w:sdtEndPr>
    <w:sdtContent>
      <w:p w14:paraId="247C3709" w14:textId="2B3EE43F" w:rsidR="000F1AD6" w:rsidRDefault="000F1A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2EFB7C" w14:textId="77777777" w:rsidR="000F1AD6" w:rsidRDefault="000F1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D398D8" w14:textId="77777777" w:rsidR="00625599" w:rsidRDefault="00625599" w:rsidP="000F1AD6">
      <w:pPr>
        <w:spacing w:after="0" w:line="240" w:lineRule="auto"/>
      </w:pPr>
      <w:r>
        <w:separator/>
      </w:r>
    </w:p>
  </w:footnote>
  <w:footnote w:type="continuationSeparator" w:id="0">
    <w:p w14:paraId="6D2EA911" w14:textId="77777777" w:rsidR="00625599" w:rsidRDefault="00625599" w:rsidP="000F1A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A3188"/>
    <w:multiLevelType w:val="hybridMultilevel"/>
    <w:tmpl w:val="77E04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EC291F"/>
    <w:multiLevelType w:val="hybridMultilevel"/>
    <w:tmpl w:val="C5D86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84187B"/>
    <w:multiLevelType w:val="hybridMultilevel"/>
    <w:tmpl w:val="B3044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8663032">
    <w:abstractNumId w:val="1"/>
  </w:num>
  <w:num w:numId="2" w16cid:durableId="582036237">
    <w:abstractNumId w:val="0"/>
  </w:num>
  <w:num w:numId="3" w16cid:durableId="10094523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44A"/>
    <w:rsid w:val="00007383"/>
    <w:rsid w:val="0001569D"/>
    <w:rsid w:val="0002244A"/>
    <w:rsid w:val="0004300A"/>
    <w:rsid w:val="00050D1A"/>
    <w:rsid w:val="00062F7A"/>
    <w:rsid w:val="0007610C"/>
    <w:rsid w:val="0008037D"/>
    <w:rsid w:val="00082988"/>
    <w:rsid w:val="000D016D"/>
    <w:rsid w:val="000D39E0"/>
    <w:rsid w:val="000D43CE"/>
    <w:rsid w:val="000E1D69"/>
    <w:rsid w:val="000F0505"/>
    <w:rsid w:val="000F1AD6"/>
    <w:rsid w:val="00101D02"/>
    <w:rsid w:val="00126B1B"/>
    <w:rsid w:val="00137937"/>
    <w:rsid w:val="00152430"/>
    <w:rsid w:val="00152808"/>
    <w:rsid w:val="00166E39"/>
    <w:rsid w:val="00183BAF"/>
    <w:rsid w:val="00193506"/>
    <w:rsid w:val="001B08AD"/>
    <w:rsid w:val="001B3976"/>
    <w:rsid w:val="001B4933"/>
    <w:rsid w:val="001B795E"/>
    <w:rsid w:val="001C2D32"/>
    <w:rsid w:val="001C5B89"/>
    <w:rsid w:val="001D1ACC"/>
    <w:rsid w:val="001D4B95"/>
    <w:rsid w:val="001D7340"/>
    <w:rsid w:val="002071BE"/>
    <w:rsid w:val="00240C9E"/>
    <w:rsid w:val="0029059F"/>
    <w:rsid w:val="002A3D40"/>
    <w:rsid w:val="002C4176"/>
    <w:rsid w:val="002F70E1"/>
    <w:rsid w:val="00337D38"/>
    <w:rsid w:val="0037112B"/>
    <w:rsid w:val="003827C4"/>
    <w:rsid w:val="00396A42"/>
    <w:rsid w:val="00397EE5"/>
    <w:rsid w:val="003B1006"/>
    <w:rsid w:val="003D42BC"/>
    <w:rsid w:val="003E35AB"/>
    <w:rsid w:val="00424156"/>
    <w:rsid w:val="004270E6"/>
    <w:rsid w:val="004A5C28"/>
    <w:rsid w:val="004F310E"/>
    <w:rsid w:val="005054AD"/>
    <w:rsid w:val="00507028"/>
    <w:rsid w:val="00550D05"/>
    <w:rsid w:val="00563CB4"/>
    <w:rsid w:val="00593A60"/>
    <w:rsid w:val="005D112F"/>
    <w:rsid w:val="005F1B1C"/>
    <w:rsid w:val="00625599"/>
    <w:rsid w:val="00657A0F"/>
    <w:rsid w:val="006823DA"/>
    <w:rsid w:val="006A412D"/>
    <w:rsid w:val="006B20CA"/>
    <w:rsid w:val="006B5597"/>
    <w:rsid w:val="006F5B29"/>
    <w:rsid w:val="0071670A"/>
    <w:rsid w:val="007558ED"/>
    <w:rsid w:val="00796286"/>
    <w:rsid w:val="007A4DF4"/>
    <w:rsid w:val="007D6EA2"/>
    <w:rsid w:val="007F3FEC"/>
    <w:rsid w:val="007F5DF0"/>
    <w:rsid w:val="00854D11"/>
    <w:rsid w:val="00873834"/>
    <w:rsid w:val="00880314"/>
    <w:rsid w:val="008857E5"/>
    <w:rsid w:val="00893483"/>
    <w:rsid w:val="00893CAA"/>
    <w:rsid w:val="008B7E5E"/>
    <w:rsid w:val="008C3F9A"/>
    <w:rsid w:val="008D1E22"/>
    <w:rsid w:val="008E235F"/>
    <w:rsid w:val="0091607C"/>
    <w:rsid w:val="0091617E"/>
    <w:rsid w:val="00950C91"/>
    <w:rsid w:val="00970761"/>
    <w:rsid w:val="00970EF2"/>
    <w:rsid w:val="00992EDB"/>
    <w:rsid w:val="009D038A"/>
    <w:rsid w:val="009D1D00"/>
    <w:rsid w:val="009F0EBA"/>
    <w:rsid w:val="00A04D98"/>
    <w:rsid w:val="00A05A0E"/>
    <w:rsid w:val="00A12E72"/>
    <w:rsid w:val="00A51737"/>
    <w:rsid w:val="00A9097E"/>
    <w:rsid w:val="00AA3C24"/>
    <w:rsid w:val="00AB0C69"/>
    <w:rsid w:val="00AE74A4"/>
    <w:rsid w:val="00B55BF2"/>
    <w:rsid w:val="00B63F31"/>
    <w:rsid w:val="00B86DE2"/>
    <w:rsid w:val="00B9300A"/>
    <w:rsid w:val="00BA41E0"/>
    <w:rsid w:val="00BC0C72"/>
    <w:rsid w:val="00BC0E99"/>
    <w:rsid w:val="00BC6F61"/>
    <w:rsid w:val="00BC77D7"/>
    <w:rsid w:val="00C01717"/>
    <w:rsid w:val="00C03500"/>
    <w:rsid w:val="00C04D1C"/>
    <w:rsid w:val="00C45B8B"/>
    <w:rsid w:val="00C83142"/>
    <w:rsid w:val="00C854F3"/>
    <w:rsid w:val="00C91E32"/>
    <w:rsid w:val="00CA2C18"/>
    <w:rsid w:val="00CD6D32"/>
    <w:rsid w:val="00D3018D"/>
    <w:rsid w:val="00D60943"/>
    <w:rsid w:val="00D94EBE"/>
    <w:rsid w:val="00DC6D1C"/>
    <w:rsid w:val="00DE7B5C"/>
    <w:rsid w:val="00E33CF5"/>
    <w:rsid w:val="00E830F6"/>
    <w:rsid w:val="00EA1336"/>
    <w:rsid w:val="00EA25F1"/>
    <w:rsid w:val="00EC4F55"/>
    <w:rsid w:val="00ED0EC4"/>
    <w:rsid w:val="00F111C9"/>
    <w:rsid w:val="00F56B97"/>
    <w:rsid w:val="00F760EE"/>
    <w:rsid w:val="00F8295B"/>
    <w:rsid w:val="00F87A10"/>
    <w:rsid w:val="00F87B74"/>
    <w:rsid w:val="00F94585"/>
    <w:rsid w:val="00FA3E9F"/>
    <w:rsid w:val="00FB01E0"/>
    <w:rsid w:val="00FB4A89"/>
    <w:rsid w:val="00FC02DE"/>
    <w:rsid w:val="00FE3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52535"/>
  <w15:chartTrackingRefBased/>
  <w15:docId w15:val="{5F90BAB2-586B-4EEF-9BB1-6717124D9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44A"/>
  </w:style>
  <w:style w:type="paragraph" w:styleId="Heading1">
    <w:name w:val="heading 1"/>
    <w:basedOn w:val="Normal"/>
    <w:next w:val="Normal"/>
    <w:link w:val="Heading1Char"/>
    <w:uiPriority w:val="9"/>
    <w:qFormat/>
    <w:rsid w:val="000224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24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24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24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24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24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24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24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24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4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24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24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24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24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24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24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24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244A"/>
    <w:rPr>
      <w:rFonts w:eastAsiaTheme="majorEastAsia" w:cstheme="majorBidi"/>
      <w:color w:val="272727" w:themeColor="text1" w:themeTint="D8"/>
    </w:rPr>
  </w:style>
  <w:style w:type="paragraph" w:styleId="Title">
    <w:name w:val="Title"/>
    <w:basedOn w:val="Normal"/>
    <w:next w:val="Normal"/>
    <w:link w:val="TitleChar"/>
    <w:uiPriority w:val="10"/>
    <w:qFormat/>
    <w:rsid w:val="000224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4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24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24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244A"/>
    <w:pPr>
      <w:spacing w:before="160"/>
      <w:jc w:val="center"/>
    </w:pPr>
    <w:rPr>
      <w:i/>
      <w:iCs/>
      <w:color w:val="404040" w:themeColor="text1" w:themeTint="BF"/>
    </w:rPr>
  </w:style>
  <w:style w:type="character" w:customStyle="1" w:styleId="QuoteChar">
    <w:name w:val="Quote Char"/>
    <w:basedOn w:val="DefaultParagraphFont"/>
    <w:link w:val="Quote"/>
    <w:uiPriority w:val="29"/>
    <w:rsid w:val="0002244A"/>
    <w:rPr>
      <w:i/>
      <w:iCs/>
      <w:color w:val="404040" w:themeColor="text1" w:themeTint="BF"/>
    </w:rPr>
  </w:style>
  <w:style w:type="paragraph" w:styleId="ListParagraph">
    <w:name w:val="List Paragraph"/>
    <w:basedOn w:val="Normal"/>
    <w:uiPriority w:val="34"/>
    <w:qFormat/>
    <w:rsid w:val="0002244A"/>
    <w:pPr>
      <w:ind w:left="720"/>
      <w:contextualSpacing/>
    </w:pPr>
  </w:style>
  <w:style w:type="character" w:styleId="IntenseEmphasis">
    <w:name w:val="Intense Emphasis"/>
    <w:basedOn w:val="DefaultParagraphFont"/>
    <w:uiPriority w:val="21"/>
    <w:qFormat/>
    <w:rsid w:val="0002244A"/>
    <w:rPr>
      <w:i/>
      <w:iCs/>
      <w:color w:val="0F4761" w:themeColor="accent1" w:themeShade="BF"/>
    </w:rPr>
  </w:style>
  <w:style w:type="paragraph" w:styleId="IntenseQuote">
    <w:name w:val="Intense Quote"/>
    <w:basedOn w:val="Normal"/>
    <w:next w:val="Normal"/>
    <w:link w:val="IntenseQuoteChar"/>
    <w:uiPriority w:val="30"/>
    <w:qFormat/>
    <w:rsid w:val="000224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244A"/>
    <w:rPr>
      <w:i/>
      <w:iCs/>
      <w:color w:val="0F4761" w:themeColor="accent1" w:themeShade="BF"/>
    </w:rPr>
  </w:style>
  <w:style w:type="character" w:styleId="IntenseReference">
    <w:name w:val="Intense Reference"/>
    <w:basedOn w:val="DefaultParagraphFont"/>
    <w:uiPriority w:val="32"/>
    <w:qFormat/>
    <w:rsid w:val="0002244A"/>
    <w:rPr>
      <w:b/>
      <w:bCs/>
      <w:smallCaps/>
      <w:color w:val="0F4761" w:themeColor="accent1" w:themeShade="BF"/>
      <w:spacing w:val="5"/>
    </w:rPr>
  </w:style>
  <w:style w:type="paragraph" w:styleId="Header">
    <w:name w:val="header"/>
    <w:basedOn w:val="Normal"/>
    <w:link w:val="HeaderChar"/>
    <w:uiPriority w:val="99"/>
    <w:unhideWhenUsed/>
    <w:rsid w:val="000F1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AD6"/>
  </w:style>
  <w:style w:type="paragraph" w:styleId="Footer">
    <w:name w:val="footer"/>
    <w:basedOn w:val="Normal"/>
    <w:link w:val="FooterChar"/>
    <w:uiPriority w:val="99"/>
    <w:unhideWhenUsed/>
    <w:rsid w:val="000F1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AD6"/>
  </w:style>
  <w:style w:type="character" w:styleId="Hyperlink">
    <w:name w:val="Hyperlink"/>
    <w:basedOn w:val="DefaultParagraphFont"/>
    <w:uiPriority w:val="99"/>
    <w:unhideWhenUsed/>
    <w:rsid w:val="00BC0E99"/>
    <w:rPr>
      <w:color w:val="467886" w:themeColor="hyperlink"/>
      <w:u w:val="single"/>
    </w:rPr>
  </w:style>
  <w:style w:type="character" w:styleId="UnresolvedMention">
    <w:name w:val="Unresolved Mention"/>
    <w:basedOn w:val="DefaultParagraphFont"/>
    <w:uiPriority w:val="99"/>
    <w:semiHidden/>
    <w:unhideWhenUsed/>
    <w:rsid w:val="00BC0E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cd.who.int/browse/2026-01/mms/en" TargetMode="External"/><Relationship Id="rId18" Type="http://schemas.openxmlformats.org/officeDocument/2006/relationships/hyperlink" Target="https://www-sciencedirect-com.uwtsd.idm.oclc.org/science/article/pii/S0022395625005151" TargetMode="External"/><Relationship Id="rId3" Type="http://schemas.openxmlformats.org/officeDocument/2006/relationships/customXml" Target="../customXml/item3.xml"/><Relationship Id="rId21" Type="http://schemas.openxmlformats.org/officeDocument/2006/relationships/hyperlink" Target="https://www.proquest.com/docview/3122295452?sourcetype=Magazines" TargetMode="External"/><Relationship Id="rId7" Type="http://schemas.openxmlformats.org/officeDocument/2006/relationships/webSettings" Target="webSettings.xml"/><Relationship Id="rId12" Type="http://schemas.openxmlformats.org/officeDocument/2006/relationships/hyperlink" Target="https://www.frontiersin.org/journals/public-health/articles/10.3389/fpubh.2022.966900/full" TargetMode="External"/><Relationship Id="rId17" Type="http://schemas.openxmlformats.org/officeDocument/2006/relationships/hyperlink" Target="https://digital.nhs.uk/data-and-information/publications/statistical/mi-adhd/may-2025" TargetMode="External"/><Relationship Id="rId2" Type="http://schemas.openxmlformats.org/officeDocument/2006/relationships/customXml" Target="../customXml/item2.xml"/><Relationship Id="rId16" Type="http://schemas.openxmlformats.org/officeDocument/2006/relationships/hyperlink" Target="https://www.nice.org.uk/guidance/dg60" TargetMode="External"/><Relationship Id="rId20" Type="http://schemas.openxmlformats.org/officeDocument/2006/relationships/hyperlink" Target="https://www.centreforsocialjustice.org.uk/newsroom/record-exclusions-of-children-with-special-needs-pla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linelibrary-wiley-com.uwtsd.idm.oclc.org/doi/full/10.1002/bies.202000254"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nice.org.uk/guidance/ng87" TargetMode="External"/><Relationship Id="rId23" Type="http://schemas.openxmlformats.org/officeDocument/2006/relationships/fontTable" Target="fontTable.xml"/><Relationship Id="rId10" Type="http://schemas.openxmlformats.org/officeDocument/2006/relationships/hyperlink" Target="https://www-sciencedirect-com.uwtsd.idm.oclc.org/science/article/pii/S0190740924006145" TargetMode="External"/><Relationship Id="rId19" Type="http://schemas.openxmlformats.org/officeDocument/2006/relationships/hyperlink" Target="https://pmc.ncbi.nlm.nih.gov/articles/PMC1319927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hildmind.org/article/is-it-adhd-or-trauma/"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7a85f05058ebae9dc3ebb42f739d553c">
  <xsd:schema xmlns:xsd="http://www.w3.org/2001/XMLSchema" xmlns:xs="http://www.w3.org/2001/XMLSchema" xmlns:p="http://schemas.microsoft.com/office/2006/metadata/properties" xmlns:ns3="6642d537-5170-4cd9-a3f2-9ec198ee3eac" targetNamespace="http://schemas.microsoft.com/office/2006/metadata/properties" ma:root="true" ma:fieldsID="080e2e472cb913ab1342d54ef6826531"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EAA6615-7E2C-4486-9A99-3C2C8B90DFC8}">
  <ds:schemaRefs>
    <ds:schemaRef ds:uri="http://schemas.microsoft.com/office/2006/metadata/properties"/>
    <ds:schemaRef ds:uri="http://schemas.microsoft.com/office/infopath/2007/PartnerControls"/>
    <ds:schemaRef ds:uri="6642d537-5170-4cd9-a3f2-9ec198ee3eac"/>
  </ds:schemaRefs>
</ds:datastoreItem>
</file>

<file path=customXml/itemProps2.xml><?xml version="1.0" encoding="utf-8"?>
<ds:datastoreItem xmlns:ds="http://schemas.openxmlformats.org/officeDocument/2006/customXml" ds:itemID="{EB910ABD-2C20-4218-9A07-6EE47EAB339A}">
  <ds:schemaRefs>
    <ds:schemaRef ds:uri="http://schemas.microsoft.com/sharepoint/v3/contenttype/forms"/>
  </ds:schemaRefs>
</ds:datastoreItem>
</file>

<file path=customXml/itemProps3.xml><?xml version="1.0" encoding="utf-8"?>
<ds:datastoreItem xmlns:ds="http://schemas.openxmlformats.org/officeDocument/2006/customXml" ds:itemID="{16679EA4-C499-4362-B05B-DB250509B2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437</TotalTime>
  <Pages>12</Pages>
  <Words>3507</Words>
  <Characters>19990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Moran (2328226)</dc:creator>
  <cp:keywords/>
  <dc:description/>
  <cp:lastModifiedBy>Cherelle Moran (2328226)</cp:lastModifiedBy>
  <cp:revision>110</cp:revision>
  <dcterms:created xsi:type="dcterms:W3CDTF">2026-07-19T13:28:00Z</dcterms:created>
  <dcterms:modified xsi:type="dcterms:W3CDTF">2026-07-20T09:31:00Z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ef0d0b82-dae0-4490-b1dc-188c5efc169d</vt:lpwstr>
  </property>
  <property fmtid="{D5CDD505-2E9C-101B-9397-08002B2CF9AE}" pid="3" name="ContentTypeId">
    <vt:lpwstr>0x010100E3345881D5A19F4FA532CBA535E9E684</vt:lpwstr>
  </property>
</Properties>
</file>