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3B7CB" w14:textId="77777777" w:rsidR="00244E67" w:rsidRPr="00415C4E" w:rsidRDefault="00244E67" w:rsidP="00244E67">
      <w:pPr>
        <w:spacing w:line="360" w:lineRule="auto"/>
        <w:jc w:val="center"/>
        <w:rPr>
          <w:rFonts w:cs="Times New Roman"/>
          <w:b/>
          <w:bCs/>
          <w:sz w:val="72"/>
          <w:szCs w:val="72"/>
        </w:rPr>
      </w:pPr>
      <w:bookmarkStart w:id="0" w:name="_Hlk211164818"/>
      <w:r w:rsidRPr="00415C4E">
        <w:rPr>
          <w:rFonts w:cs="Times New Roman"/>
          <w:b/>
          <w:bCs/>
          <w:sz w:val="72"/>
          <w:szCs w:val="72"/>
        </w:rPr>
        <w:t xml:space="preserve">Student Name:  </w:t>
      </w:r>
      <w:r w:rsidRPr="00913D31">
        <w:rPr>
          <w:rFonts w:cs="Times New Roman"/>
          <w:b/>
          <w:bCs/>
          <w:i/>
          <w:iCs/>
          <w:sz w:val="72"/>
          <w:szCs w:val="72"/>
        </w:rPr>
        <w:t>Corneliu Bogdan Dan</w:t>
      </w:r>
    </w:p>
    <w:p w14:paraId="3DAEA550" w14:textId="77777777" w:rsidR="00244E67" w:rsidRPr="00415C4E" w:rsidRDefault="00244E67" w:rsidP="00244E67">
      <w:pPr>
        <w:spacing w:line="360" w:lineRule="auto"/>
        <w:jc w:val="center"/>
        <w:rPr>
          <w:rFonts w:cs="Times New Roman"/>
          <w:b/>
          <w:bCs/>
          <w:sz w:val="72"/>
          <w:szCs w:val="72"/>
        </w:rPr>
      </w:pPr>
      <w:r w:rsidRPr="00415C4E">
        <w:rPr>
          <w:rFonts w:cs="Times New Roman"/>
          <w:b/>
          <w:bCs/>
          <w:sz w:val="72"/>
          <w:szCs w:val="72"/>
        </w:rPr>
        <w:t>Student ID:  2310378</w:t>
      </w:r>
    </w:p>
    <w:p w14:paraId="7008BB3C" w14:textId="77777777" w:rsidR="00244E67" w:rsidRPr="00415C4E" w:rsidRDefault="00244E67" w:rsidP="00244E67">
      <w:pPr>
        <w:spacing w:line="360" w:lineRule="auto"/>
        <w:jc w:val="center"/>
        <w:rPr>
          <w:rFonts w:cs="Times New Roman"/>
          <w:b/>
          <w:bCs/>
          <w:sz w:val="72"/>
          <w:szCs w:val="72"/>
          <w:lang w:val="nl-NL"/>
        </w:rPr>
      </w:pPr>
      <w:r w:rsidRPr="00415C4E">
        <w:rPr>
          <w:rFonts w:cs="Times New Roman"/>
          <w:b/>
          <w:bCs/>
          <w:sz w:val="72"/>
          <w:szCs w:val="72"/>
          <w:lang w:val="nl-NL"/>
        </w:rPr>
        <w:t>Module code:  LCBB</w:t>
      </w:r>
      <w:r>
        <w:rPr>
          <w:rFonts w:cs="Times New Roman"/>
          <w:b/>
          <w:bCs/>
          <w:sz w:val="72"/>
          <w:szCs w:val="72"/>
          <w:lang w:val="nl-NL"/>
        </w:rPr>
        <w:t>5014</w:t>
      </w:r>
    </w:p>
    <w:p w14:paraId="1A03F073" w14:textId="77777777" w:rsidR="00244E67" w:rsidRPr="00415C4E" w:rsidRDefault="00244E67" w:rsidP="00244E67">
      <w:pPr>
        <w:spacing w:line="360" w:lineRule="auto"/>
        <w:jc w:val="center"/>
        <w:rPr>
          <w:rFonts w:cs="Times New Roman"/>
          <w:b/>
          <w:bCs/>
          <w:sz w:val="72"/>
          <w:szCs w:val="72"/>
        </w:rPr>
      </w:pPr>
      <w:r w:rsidRPr="00415C4E">
        <w:rPr>
          <w:rFonts w:cs="Times New Roman"/>
          <w:b/>
          <w:bCs/>
          <w:sz w:val="72"/>
          <w:szCs w:val="72"/>
        </w:rPr>
        <w:t xml:space="preserve">Assignment title: Component </w:t>
      </w:r>
      <w:r>
        <w:rPr>
          <w:rFonts w:cs="Times New Roman"/>
          <w:b/>
          <w:bCs/>
          <w:sz w:val="72"/>
          <w:szCs w:val="72"/>
        </w:rPr>
        <w:t>1</w:t>
      </w:r>
      <w:r w:rsidRPr="00415C4E">
        <w:rPr>
          <w:rFonts w:cs="Times New Roman"/>
          <w:b/>
          <w:bCs/>
          <w:sz w:val="72"/>
          <w:szCs w:val="72"/>
        </w:rPr>
        <w:t xml:space="preserve">: Coursework: </w:t>
      </w:r>
      <w:r>
        <w:rPr>
          <w:rFonts w:cs="Times New Roman"/>
          <w:b/>
          <w:bCs/>
          <w:sz w:val="72"/>
          <w:szCs w:val="72"/>
        </w:rPr>
        <w:t>Individual Report</w:t>
      </w:r>
    </w:p>
    <w:p w14:paraId="242C24CD" w14:textId="77777777" w:rsidR="00244E67" w:rsidRPr="00415C4E" w:rsidRDefault="00244E67" w:rsidP="00244E67">
      <w:pPr>
        <w:spacing w:line="360" w:lineRule="auto"/>
        <w:jc w:val="center"/>
        <w:rPr>
          <w:rFonts w:cs="Times New Roman"/>
          <w:b/>
          <w:bCs/>
          <w:sz w:val="72"/>
          <w:szCs w:val="72"/>
        </w:rPr>
      </w:pPr>
      <w:r w:rsidRPr="00415C4E">
        <w:rPr>
          <w:rFonts w:cs="Times New Roman"/>
          <w:b/>
          <w:bCs/>
          <w:sz w:val="72"/>
          <w:szCs w:val="72"/>
        </w:rPr>
        <w:t xml:space="preserve">Lecturer’s name: </w:t>
      </w:r>
      <w:r w:rsidRPr="00415C4E">
        <w:rPr>
          <w:rStyle w:val="Emphasis"/>
          <w:rFonts w:cs="Times New Roman"/>
          <w:b/>
          <w:bCs/>
          <w:sz w:val="72"/>
          <w:szCs w:val="72"/>
          <w:shd w:val="clear" w:color="auto" w:fill="FFFFFF"/>
        </w:rPr>
        <w:t>Nassir Ibrahim</w:t>
      </w:r>
    </w:p>
    <w:bookmarkEnd w:id="0" w:displacedByCustomXml="next"/>
    <w:sdt>
      <w:sdtPr>
        <w:rPr>
          <w:rFonts w:ascii="Times New Roman" w:eastAsia="Times New Roman" w:hAnsi="Times New Roman" w:cstheme="minorBidi"/>
          <w:b w:val="0"/>
          <w:bCs w:val="0"/>
          <w:color w:val="auto"/>
          <w:sz w:val="24"/>
          <w:szCs w:val="22"/>
        </w:rPr>
        <w:id w:val="1966161565"/>
        <w:docPartObj>
          <w:docPartGallery w:val="Table of Contents"/>
          <w:docPartUnique/>
        </w:docPartObj>
      </w:sdtPr>
      <w:sdtEndPr>
        <w:rPr>
          <w:noProof/>
        </w:rPr>
      </w:sdtEndPr>
      <w:sdtContent>
        <w:p w14:paraId="2F8566DF" w14:textId="3759AF92" w:rsidR="00244E67" w:rsidRPr="00244E67" w:rsidRDefault="00244E67">
          <w:pPr>
            <w:pStyle w:val="TOCHeading"/>
            <w:rPr>
              <w:rFonts w:ascii="Times New Roman" w:hAnsi="Times New Roman" w:cs="Times New Roman"/>
              <w:color w:val="000000" w:themeColor="text1"/>
              <w:sz w:val="32"/>
              <w:szCs w:val="32"/>
            </w:rPr>
          </w:pPr>
          <w:r w:rsidRPr="00244E67">
            <w:rPr>
              <w:rFonts w:ascii="Times New Roman" w:hAnsi="Times New Roman" w:cs="Times New Roman"/>
              <w:color w:val="000000" w:themeColor="text1"/>
              <w:sz w:val="32"/>
              <w:szCs w:val="32"/>
            </w:rPr>
            <w:t>Contents</w:t>
          </w:r>
        </w:p>
        <w:p w14:paraId="24FD7DDC" w14:textId="58C41533" w:rsidR="004C3FEF" w:rsidRDefault="00244E67">
          <w:pPr>
            <w:pStyle w:val="TOC1"/>
            <w:tabs>
              <w:tab w:val="right" w:leader="dot" w:pos="8630"/>
            </w:tabs>
            <w:rPr>
              <w:rFonts w:asciiTheme="minorHAnsi" w:eastAsiaTheme="minorEastAsia" w:hAnsiTheme="minorHAnsi"/>
              <w:noProof/>
              <w:kern w:val="2"/>
              <w:sz w:val="22"/>
              <w:lang w:val="en-GB" w:eastAsia="en-GB"/>
              <w14:ligatures w14:val="standardContextual"/>
            </w:rPr>
          </w:pPr>
          <w:r w:rsidRPr="00244E67">
            <w:rPr>
              <w:rFonts w:cs="Times New Roman"/>
              <w:color w:val="000000" w:themeColor="text1"/>
              <w:sz w:val="28"/>
              <w:szCs w:val="24"/>
            </w:rPr>
            <w:fldChar w:fldCharType="begin"/>
          </w:r>
          <w:r w:rsidRPr="00244E67">
            <w:rPr>
              <w:rFonts w:cs="Times New Roman"/>
              <w:color w:val="000000" w:themeColor="text1"/>
              <w:sz w:val="28"/>
              <w:szCs w:val="24"/>
            </w:rPr>
            <w:instrText xml:space="preserve"> TOC \o "1-3" \h \z \u </w:instrText>
          </w:r>
          <w:r w:rsidRPr="00244E67">
            <w:rPr>
              <w:rFonts w:cs="Times New Roman"/>
              <w:color w:val="000000" w:themeColor="text1"/>
              <w:sz w:val="28"/>
              <w:szCs w:val="24"/>
            </w:rPr>
            <w:fldChar w:fldCharType="separate"/>
          </w:r>
          <w:hyperlink w:anchor="_Toc211447601" w:history="1">
            <w:r w:rsidR="004C3FEF" w:rsidRPr="00801A93">
              <w:rPr>
                <w:rStyle w:val="Hyperlink"/>
                <w:rFonts w:eastAsiaTheme="majorEastAsia" w:cs="Times New Roman"/>
                <w:noProof/>
              </w:rPr>
              <w:t>Executive Summary</w:t>
            </w:r>
            <w:r w:rsidR="004C3FEF">
              <w:rPr>
                <w:noProof/>
                <w:webHidden/>
              </w:rPr>
              <w:tab/>
            </w:r>
            <w:r w:rsidR="004C3FEF">
              <w:rPr>
                <w:noProof/>
                <w:webHidden/>
              </w:rPr>
              <w:fldChar w:fldCharType="begin"/>
            </w:r>
            <w:r w:rsidR="004C3FEF">
              <w:rPr>
                <w:noProof/>
                <w:webHidden/>
              </w:rPr>
              <w:instrText xml:space="preserve"> PAGEREF _Toc211447601 \h </w:instrText>
            </w:r>
            <w:r w:rsidR="004C3FEF">
              <w:rPr>
                <w:noProof/>
                <w:webHidden/>
              </w:rPr>
            </w:r>
            <w:r w:rsidR="004C3FEF">
              <w:rPr>
                <w:noProof/>
                <w:webHidden/>
              </w:rPr>
              <w:fldChar w:fldCharType="separate"/>
            </w:r>
            <w:r w:rsidR="004C3FEF">
              <w:rPr>
                <w:noProof/>
                <w:webHidden/>
              </w:rPr>
              <w:t>3</w:t>
            </w:r>
            <w:r w:rsidR="004C3FEF">
              <w:rPr>
                <w:noProof/>
                <w:webHidden/>
              </w:rPr>
              <w:fldChar w:fldCharType="end"/>
            </w:r>
          </w:hyperlink>
        </w:p>
        <w:p w14:paraId="2BD231B2" w14:textId="2056A10D" w:rsidR="004C3FEF" w:rsidRDefault="004C3FEF">
          <w:pPr>
            <w:pStyle w:val="TOC1"/>
            <w:tabs>
              <w:tab w:val="right" w:leader="dot" w:pos="8630"/>
            </w:tabs>
            <w:rPr>
              <w:rFonts w:asciiTheme="minorHAnsi" w:eastAsiaTheme="minorEastAsia" w:hAnsiTheme="minorHAnsi"/>
              <w:noProof/>
              <w:kern w:val="2"/>
              <w:sz w:val="22"/>
              <w:lang w:val="en-GB" w:eastAsia="en-GB"/>
              <w14:ligatures w14:val="standardContextual"/>
            </w:rPr>
          </w:pPr>
          <w:hyperlink w:anchor="_Toc211447602" w:history="1">
            <w:r w:rsidRPr="00801A93">
              <w:rPr>
                <w:rStyle w:val="Hyperlink"/>
                <w:rFonts w:eastAsiaTheme="majorEastAsia" w:cs="Times New Roman"/>
                <w:noProof/>
              </w:rPr>
              <w:t>1. Introduction</w:t>
            </w:r>
            <w:r>
              <w:rPr>
                <w:noProof/>
                <w:webHidden/>
              </w:rPr>
              <w:tab/>
            </w:r>
            <w:r>
              <w:rPr>
                <w:noProof/>
                <w:webHidden/>
              </w:rPr>
              <w:fldChar w:fldCharType="begin"/>
            </w:r>
            <w:r>
              <w:rPr>
                <w:noProof/>
                <w:webHidden/>
              </w:rPr>
              <w:instrText xml:space="preserve"> PAGEREF _Toc211447602 \h </w:instrText>
            </w:r>
            <w:r>
              <w:rPr>
                <w:noProof/>
                <w:webHidden/>
              </w:rPr>
            </w:r>
            <w:r>
              <w:rPr>
                <w:noProof/>
                <w:webHidden/>
              </w:rPr>
              <w:fldChar w:fldCharType="separate"/>
            </w:r>
            <w:r>
              <w:rPr>
                <w:noProof/>
                <w:webHidden/>
              </w:rPr>
              <w:t>3</w:t>
            </w:r>
            <w:r>
              <w:rPr>
                <w:noProof/>
                <w:webHidden/>
              </w:rPr>
              <w:fldChar w:fldCharType="end"/>
            </w:r>
          </w:hyperlink>
        </w:p>
        <w:p w14:paraId="39C94C29" w14:textId="159B59CE" w:rsidR="004C3FEF" w:rsidRDefault="004C3FEF">
          <w:pPr>
            <w:pStyle w:val="TOC1"/>
            <w:tabs>
              <w:tab w:val="right" w:leader="dot" w:pos="8630"/>
            </w:tabs>
            <w:rPr>
              <w:rFonts w:asciiTheme="minorHAnsi" w:eastAsiaTheme="minorEastAsia" w:hAnsiTheme="minorHAnsi"/>
              <w:noProof/>
              <w:kern w:val="2"/>
              <w:sz w:val="22"/>
              <w:lang w:val="en-GB" w:eastAsia="en-GB"/>
              <w14:ligatures w14:val="standardContextual"/>
            </w:rPr>
          </w:pPr>
          <w:hyperlink w:anchor="_Toc211447603" w:history="1">
            <w:r w:rsidRPr="00801A93">
              <w:rPr>
                <w:rStyle w:val="Hyperlink"/>
                <w:rFonts w:eastAsiaTheme="majorEastAsia" w:cs="Times New Roman"/>
                <w:noProof/>
              </w:rPr>
              <w:t>2. Trends in BI, DW and DM</w:t>
            </w:r>
            <w:r>
              <w:rPr>
                <w:noProof/>
                <w:webHidden/>
              </w:rPr>
              <w:tab/>
            </w:r>
            <w:r>
              <w:rPr>
                <w:noProof/>
                <w:webHidden/>
              </w:rPr>
              <w:fldChar w:fldCharType="begin"/>
            </w:r>
            <w:r>
              <w:rPr>
                <w:noProof/>
                <w:webHidden/>
              </w:rPr>
              <w:instrText xml:space="preserve"> PAGEREF _Toc211447603 \h </w:instrText>
            </w:r>
            <w:r>
              <w:rPr>
                <w:noProof/>
                <w:webHidden/>
              </w:rPr>
            </w:r>
            <w:r>
              <w:rPr>
                <w:noProof/>
                <w:webHidden/>
              </w:rPr>
              <w:fldChar w:fldCharType="separate"/>
            </w:r>
            <w:r>
              <w:rPr>
                <w:noProof/>
                <w:webHidden/>
              </w:rPr>
              <w:t>4</w:t>
            </w:r>
            <w:r>
              <w:rPr>
                <w:noProof/>
                <w:webHidden/>
              </w:rPr>
              <w:fldChar w:fldCharType="end"/>
            </w:r>
          </w:hyperlink>
        </w:p>
        <w:p w14:paraId="7A7B9A35" w14:textId="7F8EC202" w:rsidR="004C3FEF" w:rsidRDefault="004C3FEF">
          <w:pPr>
            <w:pStyle w:val="TOC1"/>
            <w:tabs>
              <w:tab w:val="right" w:leader="dot" w:pos="8630"/>
            </w:tabs>
            <w:rPr>
              <w:rFonts w:asciiTheme="minorHAnsi" w:eastAsiaTheme="minorEastAsia" w:hAnsiTheme="minorHAnsi"/>
              <w:noProof/>
              <w:kern w:val="2"/>
              <w:sz w:val="22"/>
              <w:lang w:val="en-GB" w:eastAsia="en-GB"/>
              <w14:ligatures w14:val="standardContextual"/>
            </w:rPr>
          </w:pPr>
          <w:hyperlink w:anchor="_Toc211447604" w:history="1">
            <w:r w:rsidRPr="00801A93">
              <w:rPr>
                <w:rStyle w:val="Hyperlink"/>
                <w:rFonts w:eastAsiaTheme="majorEastAsia" w:cs="Times New Roman"/>
                <w:noProof/>
              </w:rPr>
              <w:t>3. Data Warehousing in the Organisation Applications</w:t>
            </w:r>
            <w:r>
              <w:rPr>
                <w:noProof/>
                <w:webHidden/>
              </w:rPr>
              <w:tab/>
            </w:r>
            <w:r>
              <w:rPr>
                <w:noProof/>
                <w:webHidden/>
              </w:rPr>
              <w:fldChar w:fldCharType="begin"/>
            </w:r>
            <w:r>
              <w:rPr>
                <w:noProof/>
                <w:webHidden/>
              </w:rPr>
              <w:instrText xml:space="preserve"> PAGEREF _Toc211447604 \h </w:instrText>
            </w:r>
            <w:r>
              <w:rPr>
                <w:noProof/>
                <w:webHidden/>
              </w:rPr>
            </w:r>
            <w:r>
              <w:rPr>
                <w:noProof/>
                <w:webHidden/>
              </w:rPr>
              <w:fldChar w:fldCharType="separate"/>
            </w:r>
            <w:r>
              <w:rPr>
                <w:noProof/>
                <w:webHidden/>
              </w:rPr>
              <w:t>5</w:t>
            </w:r>
            <w:r>
              <w:rPr>
                <w:noProof/>
                <w:webHidden/>
              </w:rPr>
              <w:fldChar w:fldCharType="end"/>
            </w:r>
          </w:hyperlink>
        </w:p>
        <w:p w14:paraId="72D7D0DF" w14:textId="31D43343" w:rsidR="004C3FEF" w:rsidRDefault="004C3FEF">
          <w:pPr>
            <w:pStyle w:val="TOC1"/>
            <w:tabs>
              <w:tab w:val="right" w:leader="dot" w:pos="8630"/>
            </w:tabs>
            <w:rPr>
              <w:rFonts w:asciiTheme="minorHAnsi" w:eastAsiaTheme="minorEastAsia" w:hAnsiTheme="minorHAnsi"/>
              <w:noProof/>
              <w:kern w:val="2"/>
              <w:sz w:val="22"/>
              <w:lang w:val="en-GB" w:eastAsia="en-GB"/>
              <w14:ligatures w14:val="standardContextual"/>
            </w:rPr>
          </w:pPr>
          <w:hyperlink w:anchor="_Toc211447605" w:history="1">
            <w:r w:rsidRPr="00801A93">
              <w:rPr>
                <w:rStyle w:val="Hyperlink"/>
                <w:rFonts w:eastAsiaTheme="majorEastAsia" w:cs="Times New Roman"/>
                <w:noProof/>
              </w:rPr>
              <w:t>4. Data Mining Techniques</w:t>
            </w:r>
            <w:r>
              <w:rPr>
                <w:noProof/>
                <w:webHidden/>
              </w:rPr>
              <w:tab/>
            </w:r>
            <w:r>
              <w:rPr>
                <w:noProof/>
                <w:webHidden/>
              </w:rPr>
              <w:fldChar w:fldCharType="begin"/>
            </w:r>
            <w:r>
              <w:rPr>
                <w:noProof/>
                <w:webHidden/>
              </w:rPr>
              <w:instrText xml:space="preserve"> PAGEREF _Toc211447605 \h </w:instrText>
            </w:r>
            <w:r>
              <w:rPr>
                <w:noProof/>
                <w:webHidden/>
              </w:rPr>
            </w:r>
            <w:r>
              <w:rPr>
                <w:noProof/>
                <w:webHidden/>
              </w:rPr>
              <w:fldChar w:fldCharType="separate"/>
            </w:r>
            <w:r>
              <w:rPr>
                <w:noProof/>
                <w:webHidden/>
              </w:rPr>
              <w:t>6</w:t>
            </w:r>
            <w:r>
              <w:rPr>
                <w:noProof/>
                <w:webHidden/>
              </w:rPr>
              <w:fldChar w:fldCharType="end"/>
            </w:r>
          </w:hyperlink>
        </w:p>
        <w:p w14:paraId="5C74F152" w14:textId="2CB689F2" w:rsidR="004C3FEF" w:rsidRDefault="004C3FEF">
          <w:pPr>
            <w:pStyle w:val="TOC1"/>
            <w:tabs>
              <w:tab w:val="right" w:leader="dot" w:pos="8630"/>
            </w:tabs>
            <w:rPr>
              <w:rFonts w:asciiTheme="minorHAnsi" w:eastAsiaTheme="minorEastAsia" w:hAnsiTheme="minorHAnsi"/>
              <w:noProof/>
              <w:kern w:val="2"/>
              <w:sz w:val="22"/>
              <w:lang w:val="en-GB" w:eastAsia="en-GB"/>
              <w14:ligatures w14:val="standardContextual"/>
            </w:rPr>
          </w:pPr>
          <w:hyperlink w:anchor="_Toc211447606" w:history="1">
            <w:r w:rsidRPr="00801A93">
              <w:rPr>
                <w:rStyle w:val="Hyperlink"/>
                <w:rFonts w:eastAsiaTheme="majorEastAsia" w:cs="Times New Roman"/>
                <w:noProof/>
              </w:rPr>
              <w:t>5. Predictive Analysis</w:t>
            </w:r>
            <w:r>
              <w:rPr>
                <w:noProof/>
                <w:webHidden/>
              </w:rPr>
              <w:tab/>
            </w:r>
            <w:r>
              <w:rPr>
                <w:noProof/>
                <w:webHidden/>
              </w:rPr>
              <w:fldChar w:fldCharType="begin"/>
            </w:r>
            <w:r>
              <w:rPr>
                <w:noProof/>
                <w:webHidden/>
              </w:rPr>
              <w:instrText xml:space="preserve"> PAGEREF _Toc211447606 \h </w:instrText>
            </w:r>
            <w:r>
              <w:rPr>
                <w:noProof/>
                <w:webHidden/>
              </w:rPr>
            </w:r>
            <w:r>
              <w:rPr>
                <w:noProof/>
                <w:webHidden/>
              </w:rPr>
              <w:fldChar w:fldCharType="separate"/>
            </w:r>
            <w:r>
              <w:rPr>
                <w:noProof/>
                <w:webHidden/>
              </w:rPr>
              <w:t>7</w:t>
            </w:r>
            <w:r>
              <w:rPr>
                <w:noProof/>
                <w:webHidden/>
              </w:rPr>
              <w:fldChar w:fldCharType="end"/>
            </w:r>
          </w:hyperlink>
        </w:p>
        <w:p w14:paraId="0D5ACFCD" w14:textId="5C2A7342" w:rsidR="004C3FEF" w:rsidRDefault="004C3FEF">
          <w:pPr>
            <w:pStyle w:val="TOC1"/>
            <w:tabs>
              <w:tab w:val="right" w:leader="dot" w:pos="8630"/>
            </w:tabs>
            <w:rPr>
              <w:rFonts w:asciiTheme="minorHAnsi" w:eastAsiaTheme="minorEastAsia" w:hAnsiTheme="minorHAnsi"/>
              <w:noProof/>
              <w:kern w:val="2"/>
              <w:sz w:val="22"/>
              <w:lang w:val="en-GB" w:eastAsia="en-GB"/>
              <w14:ligatures w14:val="standardContextual"/>
            </w:rPr>
          </w:pPr>
          <w:hyperlink w:anchor="_Toc211447607" w:history="1">
            <w:r w:rsidRPr="00801A93">
              <w:rPr>
                <w:rStyle w:val="Hyperlink"/>
                <w:rFonts w:eastAsiaTheme="majorEastAsia" w:cs="Times New Roman"/>
                <w:noProof/>
              </w:rPr>
              <w:t>6. Ethical and Data Security Considerations</w:t>
            </w:r>
            <w:r>
              <w:rPr>
                <w:noProof/>
                <w:webHidden/>
              </w:rPr>
              <w:tab/>
            </w:r>
            <w:r>
              <w:rPr>
                <w:noProof/>
                <w:webHidden/>
              </w:rPr>
              <w:fldChar w:fldCharType="begin"/>
            </w:r>
            <w:r>
              <w:rPr>
                <w:noProof/>
                <w:webHidden/>
              </w:rPr>
              <w:instrText xml:space="preserve"> PAGEREF _Toc211447607 \h </w:instrText>
            </w:r>
            <w:r>
              <w:rPr>
                <w:noProof/>
                <w:webHidden/>
              </w:rPr>
            </w:r>
            <w:r>
              <w:rPr>
                <w:noProof/>
                <w:webHidden/>
              </w:rPr>
              <w:fldChar w:fldCharType="separate"/>
            </w:r>
            <w:r>
              <w:rPr>
                <w:noProof/>
                <w:webHidden/>
              </w:rPr>
              <w:t>7</w:t>
            </w:r>
            <w:r>
              <w:rPr>
                <w:noProof/>
                <w:webHidden/>
              </w:rPr>
              <w:fldChar w:fldCharType="end"/>
            </w:r>
          </w:hyperlink>
        </w:p>
        <w:p w14:paraId="6FE2AC5C" w14:textId="550B4856" w:rsidR="004C3FEF" w:rsidRDefault="004C3FEF">
          <w:pPr>
            <w:pStyle w:val="TOC1"/>
            <w:tabs>
              <w:tab w:val="right" w:leader="dot" w:pos="8630"/>
            </w:tabs>
            <w:rPr>
              <w:rFonts w:asciiTheme="minorHAnsi" w:eastAsiaTheme="minorEastAsia" w:hAnsiTheme="minorHAnsi"/>
              <w:noProof/>
              <w:kern w:val="2"/>
              <w:sz w:val="22"/>
              <w:lang w:val="en-GB" w:eastAsia="en-GB"/>
              <w14:ligatures w14:val="standardContextual"/>
            </w:rPr>
          </w:pPr>
          <w:hyperlink w:anchor="_Toc211447608" w:history="1">
            <w:r w:rsidRPr="00801A93">
              <w:rPr>
                <w:rStyle w:val="Hyperlink"/>
                <w:rFonts w:eastAsiaTheme="majorEastAsia" w:cs="Times New Roman"/>
                <w:noProof/>
              </w:rPr>
              <w:t>Reporting and Dashboard Solutions</w:t>
            </w:r>
            <w:r>
              <w:rPr>
                <w:noProof/>
                <w:webHidden/>
              </w:rPr>
              <w:tab/>
            </w:r>
            <w:r>
              <w:rPr>
                <w:noProof/>
                <w:webHidden/>
              </w:rPr>
              <w:fldChar w:fldCharType="begin"/>
            </w:r>
            <w:r>
              <w:rPr>
                <w:noProof/>
                <w:webHidden/>
              </w:rPr>
              <w:instrText xml:space="preserve"> PAGEREF _Toc211447608 \h </w:instrText>
            </w:r>
            <w:r>
              <w:rPr>
                <w:noProof/>
                <w:webHidden/>
              </w:rPr>
            </w:r>
            <w:r>
              <w:rPr>
                <w:noProof/>
                <w:webHidden/>
              </w:rPr>
              <w:fldChar w:fldCharType="separate"/>
            </w:r>
            <w:r>
              <w:rPr>
                <w:noProof/>
                <w:webHidden/>
              </w:rPr>
              <w:t>8</w:t>
            </w:r>
            <w:r>
              <w:rPr>
                <w:noProof/>
                <w:webHidden/>
              </w:rPr>
              <w:fldChar w:fldCharType="end"/>
            </w:r>
          </w:hyperlink>
        </w:p>
        <w:p w14:paraId="65FB2ACC" w14:textId="1947139C" w:rsidR="004C3FEF" w:rsidRDefault="004C3FEF">
          <w:pPr>
            <w:pStyle w:val="TOC1"/>
            <w:tabs>
              <w:tab w:val="right" w:leader="dot" w:pos="8630"/>
            </w:tabs>
            <w:rPr>
              <w:rFonts w:asciiTheme="minorHAnsi" w:eastAsiaTheme="minorEastAsia" w:hAnsiTheme="minorHAnsi"/>
              <w:noProof/>
              <w:kern w:val="2"/>
              <w:sz w:val="22"/>
              <w:lang w:val="en-GB" w:eastAsia="en-GB"/>
              <w14:ligatures w14:val="standardContextual"/>
            </w:rPr>
          </w:pPr>
          <w:hyperlink w:anchor="_Toc211447609" w:history="1">
            <w:r w:rsidRPr="00801A93">
              <w:rPr>
                <w:rStyle w:val="Hyperlink"/>
                <w:rFonts w:eastAsiaTheme="majorEastAsia" w:cs="Times New Roman"/>
                <w:noProof/>
              </w:rPr>
              <w:t>Conclusion</w:t>
            </w:r>
            <w:r>
              <w:rPr>
                <w:noProof/>
                <w:webHidden/>
              </w:rPr>
              <w:tab/>
            </w:r>
            <w:r>
              <w:rPr>
                <w:noProof/>
                <w:webHidden/>
              </w:rPr>
              <w:fldChar w:fldCharType="begin"/>
            </w:r>
            <w:r>
              <w:rPr>
                <w:noProof/>
                <w:webHidden/>
              </w:rPr>
              <w:instrText xml:space="preserve"> PAGEREF _Toc211447609 \h </w:instrText>
            </w:r>
            <w:r>
              <w:rPr>
                <w:noProof/>
                <w:webHidden/>
              </w:rPr>
            </w:r>
            <w:r>
              <w:rPr>
                <w:noProof/>
                <w:webHidden/>
              </w:rPr>
              <w:fldChar w:fldCharType="separate"/>
            </w:r>
            <w:r>
              <w:rPr>
                <w:noProof/>
                <w:webHidden/>
              </w:rPr>
              <w:t>8</w:t>
            </w:r>
            <w:r>
              <w:rPr>
                <w:noProof/>
                <w:webHidden/>
              </w:rPr>
              <w:fldChar w:fldCharType="end"/>
            </w:r>
          </w:hyperlink>
        </w:p>
        <w:p w14:paraId="6FA5CB2B" w14:textId="55953D74" w:rsidR="004C3FEF" w:rsidRDefault="004C3FEF">
          <w:pPr>
            <w:pStyle w:val="TOC1"/>
            <w:tabs>
              <w:tab w:val="right" w:leader="dot" w:pos="8630"/>
            </w:tabs>
            <w:rPr>
              <w:rFonts w:asciiTheme="minorHAnsi" w:eastAsiaTheme="minorEastAsia" w:hAnsiTheme="minorHAnsi"/>
              <w:noProof/>
              <w:kern w:val="2"/>
              <w:sz w:val="22"/>
              <w:lang w:val="en-GB" w:eastAsia="en-GB"/>
              <w14:ligatures w14:val="standardContextual"/>
            </w:rPr>
          </w:pPr>
          <w:hyperlink w:anchor="_Toc211447610" w:history="1">
            <w:r w:rsidRPr="00801A93">
              <w:rPr>
                <w:rStyle w:val="Hyperlink"/>
                <w:rFonts w:eastAsiaTheme="majorEastAsia" w:cs="Times New Roman"/>
                <w:noProof/>
              </w:rPr>
              <w:t>Reference list</w:t>
            </w:r>
            <w:r>
              <w:rPr>
                <w:noProof/>
                <w:webHidden/>
              </w:rPr>
              <w:tab/>
            </w:r>
            <w:r>
              <w:rPr>
                <w:noProof/>
                <w:webHidden/>
              </w:rPr>
              <w:fldChar w:fldCharType="begin"/>
            </w:r>
            <w:r>
              <w:rPr>
                <w:noProof/>
                <w:webHidden/>
              </w:rPr>
              <w:instrText xml:space="preserve"> PAGEREF _Toc211447610 \h </w:instrText>
            </w:r>
            <w:r>
              <w:rPr>
                <w:noProof/>
                <w:webHidden/>
              </w:rPr>
            </w:r>
            <w:r>
              <w:rPr>
                <w:noProof/>
                <w:webHidden/>
              </w:rPr>
              <w:fldChar w:fldCharType="separate"/>
            </w:r>
            <w:r>
              <w:rPr>
                <w:noProof/>
                <w:webHidden/>
              </w:rPr>
              <w:t>10</w:t>
            </w:r>
            <w:r>
              <w:rPr>
                <w:noProof/>
                <w:webHidden/>
              </w:rPr>
              <w:fldChar w:fldCharType="end"/>
            </w:r>
          </w:hyperlink>
        </w:p>
        <w:p w14:paraId="2BC8546D" w14:textId="46702283" w:rsidR="00244E67" w:rsidRDefault="00244E67">
          <w:r w:rsidRPr="00244E67">
            <w:rPr>
              <w:rFonts w:cs="Times New Roman"/>
              <w:b/>
              <w:bCs/>
              <w:noProof/>
              <w:color w:val="000000" w:themeColor="text1"/>
              <w:sz w:val="28"/>
              <w:szCs w:val="24"/>
            </w:rPr>
            <w:fldChar w:fldCharType="end"/>
          </w:r>
        </w:p>
      </w:sdtContent>
    </w:sdt>
    <w:p w14:paraId="1A436E46" w14:textId="77777777" w:rsidR="00244E67" w:rsidRDefault="00244E67" w:rsidP="00244E67">
      <w:pPr>
        <w:pStyle w:val="Heading1"/>
        <w:rPr>
          <w:rFonts w:ascii="Times New Roman" w:hAnsi="Times New Roman" w:cs="Times New Roman"/>
          <w:color w:val="000000" w:themeColor="text1"/>
        </w:rPr>
      </w:pPr>
    </w:p>
    <w:p w14:paraId="7C889C31" w14:textId="77777777" w:rsidR="00244E67" w:rsidRDefault="00244E67" w:rsidP="00244E67"/>
    <w:p w14:paraId="7A65C956" w14:textId="77777777" w:rsidR="00244E67" w:rsidRDefault="00244E67" w:rsidP="00244E67"/>
    <w:p w14:paraId="41F12C98" w14:textId="77777777" w:rsidR="00244E67" w:rsidRDefault="00244E67" w:rsidP="00244E67"/>
    <w:p w14:paraId="5AC8F241" w14:textId="77777777" w:rsidR="00244E67" w:rsidRDefault="00244E67" w:rsidP="00244E67"/>
    <w:p w14:paraId="7310E8A3" w14:textId="77777777" w:rsidR="00244E67" w:rsidRDefault="00244E67" w:rsidP="00244E67"/>
    <w:p w14:paraId="09C8EA8A" w14:textId="77777777" w:rsidR="00244E67" w:rsidRDefault="00244E67" w:rsidP="00244E67"/>
    <w:p w14:paraId="050301BF" w14:textId="77777777" w:rsidR="00244E67" w:rsidRDefault="00244E67" w:rsidP="00244E67"/>
    <w:p w14:paraId="431E63E5" w14:textId="77777777" w:rsidR="00244E67" w:rsidRDefault="00244E67" w:rsidP="00244E67"/>
    <w:p w14:paraId="54C6543F" w14:textId="77777777" w:rsidR="00244E67" w:rsidRDefault="00244E67" w:rsidP="00244E67"/>
    <w:p w14:paraId="21A71607" w14:textId="77777777" w:rsidR="00244E67" w:rsidRDefault="00244E67" w:rsidP="00244E67"/>
    <w:p w14:paraId="7C232FA1" w14:textId="77777777" w:rsidR="00244E67" w:rsidRDefault="00244E67" w:rsidP="00244E67"/>
    <w:p w14:paraId="5DA2E69A" w14:textId="77777777" w:rsidR="00244E67" w:rsidRPr="00244E67" w:rsidRDefault="00244E67" w:rsidP="00244E67"/>
    <w:p w14:paraId="6ED71909" w14:textId="3BC89B74" w:rsidR="006116E8" w:rsidRPr="00244E67" w:rsidRDefault="00244E67" w:rsidP="00244E67">
      <w:pPr>
        <w:pStyle w:val="Heading1"/>
        <w:rPr>
          <w:rFonts w:ascii="Times New Roman" w:hAnsi="Times New Roman" w:cs="Times New Roman"/>
          <w:color w:val="000000" w:themeColor="text1"/>
        </w:rPr>
      </w:pPr>
      <w:bookmarkStart w:id="1" w:name="_Toc211447601"/>
      <w:r>
        <w:rPr>
          <w:rFonts w:ascii="Times New Roman" w:hAnsi="Times New Roman" w:cs="Times New Roman"/>
          <w:color w:val="000000" w:themeColor="text1"/>
        </w:rPr>
        <w:lastRenderedPageBreak/>
        <w:t>Executive Summary</w:t>
      </w:r>
      <w:bookmarkEnd w:id="1"/>
    </w:p>
    <w:p w14:paraId="4CE869C0" w14:textId="172E4C3B" w:rsidR="006116E8" w:rsidRDefault="00000000">
      <w:pPr>
        <w:spacing w:line="360" w:lineRule="auto"/>
      </w:pPr>
      <w:r>
        <w:t>This report evaluates how Business Intelligence (</w:t>
      </w:r>
      <w:r w:rsidRPr="00244E67">
        <w:rPr>
          <w:b/>
          <w:bCs/>
          <w:i/>
          <w:iCs/>
        </w:rPr>
        <w:t>BI</w:t>
      </w:r>
      <w:r>
        <w:t>), Data Warehousing (</w:t>
      </w:r>
      <w:r w:rsidRPr="00244E67">
        <w:rPr>
          <w:b/>
          <w:bCs/>
          <w:i/>
          <w:iCs/>
        </w:rPr>
        <w:t>DW</w:t>
      </w:r>
      <w:r>
        <w:t>) and Data Mining (</w:t>
      </w:r>
      <w:r w:rsidRPr="00244E67">
        <w:rPr>
          <w:b/>
          <w:bCs/>
          <w:i/>
          <w:iCs/>
        </w:rPr>
        <w:t>DM</w:t>
      </w:r>
      <w:r>
        <w:t xml:space="preserve">) can </w:t>
      </w:r>
      <w:r w:rsidR="004C3D19">
        <w:t>improve</w:t>
      </w:r>
      <w:r>
        <w:t xml:space="preserve"> strategic decision-making across DHL UK’s parcel delivery and supply chain operations. It </w:t>
      </w:r>
      <w:r w:rsidR="004C3D19">
        <w:t>consolidates</w:t>
      </w:r>
      <w:r>
        <w:t xml:space="preserve"> recent academic evidence on real-time analytics, cloud-based warehousing, AI-enabled decision support and logistics-focused machine learning to recommend a</w:t>
      </w:r>
      <w:r w:rsidR="004C3D19">
        <w:t xml:space="preserve">n implementation framework </w:t>
      </w:r>
      <w:r>
        <w:t>that improves service, cost, and sustainability outcomes (</w:t>
      </w:r>
      <w:r w:rsidR="00130700" w:rsidRPr="00130700">
        <w:t>Hassani, Desaulniers and Elhallaoui, 2021</w:t>
      </w:r>
      <w:r>
        <w:t xml:space="preserve">; Giuffrida et al., 2022; </w:t>
      </w:r>
      <w:r w:rsidR="00757EF8" w:rsidRPr="00757EF8">
        <w:t>Mohedano-Munoz et al., 2023</w:t>
      </w:r>
      <w:r>
        <w:t>). Findings indicate that a Kimball-style dimensional warehouse</w:t>
      </w:r>
      <w:r w:rsidR="004C3D19">
        <w:t>,</w:t>
      </w:r>
      <w:r>
        <w:t xml:space="preserve"> consolidating transport management, depot scans, telematics, customer interaction and finance data can unlock cross-functional visibility and faster root-cause analysis (</w:t>
      </w:r>
      <w:r w:rsidR="00757EF8" w:rsidRPr="00757EF8">
        <w:t>Morshedlou et al., 2021</w:t>
      </w:r>
      <w:r>
        <w:t xml:space="preserve">; </w:t>
      </w:r>
      <w:r w:rsidR="00757EF8" w:rsidRPr="00757EF8">
        <w:t xml:space="preserve">Duan, </w:t>
      </w:r>
      <w:r w:rsidR="00244E67" w:rsidRPr="00757EF8">
        <w:t>Jiang,</w:t>
      </w:r>
      <w:r w:rsidR="00757EF8" w:rsidRPr="00757EF8">
        <w:t xml:space="preserve"> and Jain, 2022</w:t>
      </w:r>
      <w:r>
        <w:t>). Classification and clustering models predict delivery failures and segment customers and depots for targeted interventions, while predictive dashboards support proactive capacity planning and SLA protection (Melançon, Smith and Ganeshan, 2021; Rolf et al., 2024; Yoon et al., 2024). Ethical design must embed GDPR principles of purpose limitation, data minimisation and transparency, enforced through role-based access, encryption at rest and in transit, and DPIAs before deployment (</w:t>
      </w:r>
      <w:r w:rsidR="00244E67" w:rsidRPr="00244E67">
        <w:t>Li et al., 2024</w:t>
      </w:r>
      <w:r>
        <w:t xml:space="preserve">; Pina, </w:t>
      </w:r>
      <w:r w:rsidR="00244E67">
        <w:t>Marcos,</w:t>
      </w:r>
      <w:r>
        <w:t xml:space="preserve"> and Sánchez, 2024). Recommended tooling includes a SQL-based DW with Power BI for governed self-service visualisation and automated refresh, plus SPSS or RapidMiner for modelling, integrated through controlled data marts (Koot, Mes and Iacob, 2021; Bruni et al., 2023; Aljohani, Cummings and Alotaibi, 2023).</w:t>
      </w:r>
    </w:p>
    <w:p w14:paraId="0B2DD1C8" w14:textId="77777777" w:rsidR="006116E8" w:rsidRPr="00244E67" w:rsidRDefault="00000000" w:rsidP="00244E67">
      <w:pPr>
        <w:pStyle w:val="Heading1"/>
        <w:rPr>
          <w:rFonts w:ascii="Times New Roman" w:hAnsi="Times New Roman" w:cs="Times New Roman"/>
          <w:color w:val="000000" w:themeColor="text1"/>
        </w:rPr>
      </w:pPr>
      <w:bookmarkStart w:id="2" w:name="_Toc211447602"/>
      <w:r w:rsidRPr="00244E67">
        <w:rPr>
          <w:rFonts w:ascii="Times New Roman" w:hAnsi="Times New Roman" w:cs="Times New Roman"/>
          <w:color w:val="000000" w:themeColor="text1"/>
        </w:rPr>
        <w:t>1. Introduction</w:t>
      </w:r>
      <w:bookmarkEnd w:id="2"/>
    </w:p>
    <w:p w14:paraId="77D58FC3" w14:textId="5C674612" w:rsidR="006116E8" w:rsidRDefault="00000000">
      <w:pPr>
        <w:spacing w:line="360" w:lineRule="auto"/>
      </w:pPr>
      <w:r>
        <w:t xml:space="preserve">DHL UK operates in the logistics and parcel delivery sector, coordinating national transport, depot and last‑mile operations under rising e‑commerce demand, tightened customer expectations and sustainability constraints. The purpose of this report is to explain how BI, DW and DM can be leveraged to transform operational data into managerial insight that improves on‑time performance, capacity utilisation and cost‑to‑serve. The report adopts contemporary academic frameworks for decision support and analytics deployment to ensure </w:t>
      </w:r>
      <w:r w:rsidR="008405AC">
        <w:t>structured consistency</w:t>
      </w:r>
      <w:r>
        <w:t xml:space="preserve"> and </w:t>
      </w:r>
      <w:r w:rsidR="008405AC">
        <w:t>organizational</w:t>
      </w:r>
      <w:r>
        <w:t xml:space="preserve"> fit (Koot, </w:t>
      </w:r>
      <w:r w:rsidR="008405AC">
        <w:t>Mes,</w:t>
      </w:r>
      <w:r>
        <w:t xml:space="preserve"> and Iacob, 2021; </w:t>
      </w:r>
      <w:r w:rsidR="00757EF8" w:rsidRPr="00757EF8">
        <w:t xml:space="preserve">Duan, </w:t>
      </w:r>
      <w:r w:rsidR="008405AC" w:rsidRPr="00757EF8">
        <w:t>Jiang,</w:t>
      </w:r>
      <w:r w:rsidR="00757EF8" w:rsidRPr="00757EF8">
        <w:t xml:space="preserve"> and Jain, 2022</w:t>
      </w:r>
      <w:r>
        <w:t xml:space="preserve">). </w:t>
      </w:r>
      <w:r w:rsidRPr="004C3D19">
        <w:rPr>
          <w:b/>
          <w:bCs/>
          <w:i/>
          <w:iCs/>
        </w:rPr>
        <w:t>Section 2</w:t>
      </w:r>
      <w:r>
        <w:t xml:space="preserve"> outlines trends in BI, DW and DM, including cloud warehousing, real‑time BI and AI integration. </w:t>
      </w:r>
      <w:r w:rsidRPr="004C3D19">
        <w:rPr>
          <w:b/>
          <w:bCs/>
          <w:i/>
          <w:iCs/>
        </w:rPr>
        <w:t>Section 3</w:t>
      </w:r>
      <w:r>
        <w:t xml:space="preserve"> specifies a DHL‑centric warehousing architecture to consolidate data and accelerate decision cycles. </w:t>
      </w:r>
      <w:r w:rsidRPr="004C3D19">
        <w:rPr>
          <w:b/>
          <w:bCs/>
          <w:i/>
          <w:iCs/>
        </w:rPr>
        <w:t>Section 4</w:t>
      </w:r>
      <w:r>
        <w:t xml:space="preserve"> evaluates DM techniques relevant to parcel and route data. </w:t>
      </w:r>
      <w:r w:rsidRPr="004C3D19">
        <w:rPr>
          <w:b/>
          <w:bCs/>
          <w:i/>
          <w:iCs/>
        </w:rPr>
        <w:lastRenderedPageBreak/>
        <w:t>Section 5</w:t>
      </w:r>
      <w:r>
        <w:t xml:space="preserve"> compares predictive tool options. Section 6 considers ethics and security under GDPR, followed by reporting/dashboard recommendations and a conclusion synthesising implications for strategic performance (Zhang, Zhao and Huo, 2020; Tiwari et al., 2024).</w:t>
      </w:r>
    </w:p>
    <w:p w14:paraId="56F92F30" w14:textId="77777777" w:rsidR="006116E8" w:rsidRPr="00244E67" w:rsidRDefault="00000000" w:rsidP="00244E67">
      <w:pPr>
        <w:pStyle w:val="Heading1"/>
        <w:rPr>
          <w:rFonts w:ascii="Times New Roman" w:hAnsi="Times New Roman" w:cs="Times New Roman"/>
          <w:color w:val="000000" w:themeColor="text1"/>
        </w:rPr>
      </w:pPr>
      <w:bookmarkStart w:id="3" w:name="_Toc211447603"/>
      <w:r w:rsidRPr="00244E67">
        <w:rPr>
          <w:rFonts w:ascii="Times New Roman" w:hAnsi="Times New Roman" w:cs="Times New Roman"/>
          <w:color w:val="000000" w:themeColor="text1"/>
        </w:rPr>
        <w:t>2. Trends in BI, DW and DM</w:t>
      </w:r>
      <w:bookmarkEnd w:id="3"/>
    </w:p>
    <w:p w14:paraId="30942E50" w14:textId="796C35CB" w:rsidR="006116E8" w:rsidRDefault="00000000">
      <w:pPr>
        <w:spacing w:line="360" w:lineRule="auto"/>
      </w:pPr>
      <w:r>
        <w:t>Business Intelligence converts raw data into actionable insight through governed reporting, analytics and visualisation supporting managerial choices (</w:t>
      </w:r>
      <w:r w:rsidR="00757EF8" w:rsidRPr="00757EF8">
        <w:t xml:space="preserve">Duan, </w:t>
      </w:r>
      <w:r w:rsidR="008405AC" w:rsidRPr="00757EF8">
        <w:t>Jiang,</w:t>
      </w:r>
      <w:r w:rsidR="00757EF8" w:rsidRPr="00757EF8">
        <w:t xml:space="preserve"> and Jain, 2022</w:t>
      </w:r>
      <w:r>
        <w:t xml:space="preserve">). Data Warehousing provides an integrated </w:t>
      </w:r>
      <w:r w:rsidR="004C3D19">
        <w:t>verified data archive,</w:t>
      </w:r>
      <w:r>
        <w:t xml:space="preserve"> optimised for analytical queries rather than transaction speed (</w:t>
      </w:r>
      <w:r w:rsidR="00757EF8" w:rsidRPr="00757EF8">
        <w:t>Morshedlou et al., 2021</w:t>
      </w:r>
      <w:r>
        <w:t xml:space="preserve">). Data Mining applies statistical and machine‑learning techniques to discover patterns and make predictions from </w:t>
      </w:r>
      <w:r w:rsidR="004C3D19">
        <w:t>voluminous data inputs</w:t>
      </w:r>
      <w:r>
        <w:t xml:space="preserve"> (Rolf et al., 2024). Three intertwined trends dominate current practice: real‑time BI, cloud‑native warehousing and AI integration. First, real‑time BI ingests scan events, GPS telematics and depot exceptions continuously so managers can intervene before SLAs are breached; empirical studies link such decision support to improved decision quality and operational responsiveness (</w:t>
      </w:r>
      <w:r w:rsidR="00757EF8" w:rsidRPr="00757EF8">
        <w:t xml:space="preserve">Duan, </w:t>
      </w:r>
      <w:r w:rsidR="008405AC" w:rsidRPr="00757EF8">
        <w:t>Jiang,</w:t>
      </w:r>
      <w:r w:rsidR="00757EF8" w:rsidRPr="00757EF8">
        <w:t xml:space="preserve"> and Jain, 2022</w:t>
      </w:r>
      <w:r>
        <w:t xml:space="preserve">; Melançon, Smith and Ganeshan, 2021). Second, cloud‑native DW platforms enable elastic storage and compute for seasonality and peak events, lowering time‑to‑insight while enabling governed self‑service for analysts (Koot, </w:t>
      </w:r>
      <w:r w:rsidR="008405AC">
        <w:t>Mes,</w:t>
      </w:r>
      <w:r>
        <w:t xml:space="preserve"> and Iacob, 2021; </w:t>
      </w:r>
      <w:r w:rsidR="00757EF8" w:rsidRPr="00757EF8">
        <w:t>Morshedlou et al., 2021</w:t>
      </w:r>
      <w:r>
        <w:t>). Third, AI integration embeds anomaly detection, forecasting and prescriptive analytics directly into dashboards and control towers, which literature shows to be effective for last‑mile routing and dynamic network control (</w:t>
      </w:r>
      <w:r w:rsidR="00757EF8" w:rsidRPr="00757EF8">
        <w:t>Mohedano-Munoz et al., 2023</w:t>
      </w:r>
      <w:r>
        <w:t>; Bruni et al., 2023; Yoon et al., 2024). A dimensional DW using Kimball concepts separates facts (parcel deliveries, route legs, depot handling) from conformed dimensions (time, route, driver, vehicle, depot, customer), enabling consistent slicing across processes and regions (</w:t>
      </w:r>
      <w:r w:rsidR="00757EF8" w:rsidRPr="00757EF8">
        <w:t>Morshedlou et al., 2021</w:t>
      </w:r>
      <w:r>
        <w:t xml:space="preserve">). The CRISP‑DM life‑cycle provides a practical method for DHL UK to iterate from business understanding to deployment, with feedback loops via monitoring and model recalibration (Rolf et al., 2024; Khedr et al., 2024). Research across logistics and operations confirms that analytics capabilities correlate with supply chain integration, service reliability and performance, strengthening the business case for a modern BI stack (Zhang, </w:t>
      </w:r>
      <w:r w:rsidR="00387837">
        <w:t>Zhao,</w:t>
      </w:r>
      <w:r>
        <w:t xml:space="preserve"> and Huo, 2020; </w:t>
      </w:r>
      <w:r w:rsidR="00387837" w:rsidRPr="00387837">
        <w:t>Bag et al., 2021</w:t>
      </w:r>
      <w:r>
        <w:t>; Zhu, Krikke and Caniëls, 202</w:t>
      </w:r>
      <w:r w:rsidR="00130700">
        <w:t>1</w:t>
      </w:r>
      <w:r>
        <w:t>).</w:t>
      </w:r>
    </w:p>
    <w:p w14:paraId="3FC17FCA" w14:textId="77777777" w:rsidR="006116E8" w:rsidRPr="00244E67" w:rsidRDefault="00000000" w:rsidP="00244E67">
      <w:pPr>
        <w:pStyle w:val="Heading1"/>
        <w:rPr>
          <w:rFonts w:ascii="Times New Roman" w:hAnsi="Times New Roman" w:cs="Times New Roman"/>
          <w:color w:val="000000" w:themeColor="text1"/>
        </w:rPr>
      </w:pPr>
      <w:bookmarkStart w:id="4" w:name="_Toc211447604"/>
      <w:r w:rsidRPr="00244E67">
        <w:rPr>
          <w:rFonts w:ascii="Times New Roman" w:hAnsi="Times New Roman" w:cs="Times New Roman"/>
          <w:color w:val="000000" w:themeColor="text1"/>
        </w:rPr>
        <w:lastRenderedPageBreak/>
        <w:t>3. Data Warehousing in the Organisation Applications</w:t>
      </w:r>
      <w:bookmarkEnd w:id="4"/>
    </w:p>
    <w:p w14:paraId="7D504238" w14:textId="3B1C456E" w:rsidR="006116E8" w:rsidRDefault="00000000">
      <w:pPr>
        <w:spacing w:line="360" w:lineRule="auto"/>
      </w:pPr>
      <w:r>
        <w:t xml:space="preserve">Data warehousing integrates heterogeneous operational sources into a single analytical backbone designed for consistency, </w:t>
      </w:r>
      <w:r w:rsidR="008405AC">
        <w:t>quality,</w:t>
      </w:r>
      <w:r>
        <w:t xml:space="preserve"> and speed of access in decision support (</w:t>
      </w:r>
      <w:r w:rsidR="00757EF8" w:rsidRPr="00757EF8">
        <w:t>Morshedlou et al., 2021</w:t>
      </w:r>
      <w:r>
        <w:t xml:space="preserve">). In DHL UK, key feeds include transport management system (TMS) events, depot scan data, warehouse management system (WMS) inventories, GPS/telematics, customer service interactions and finance ledgers. Fragmentation across these sources obscures end‑to‑end visibility and forces manual reconciliation, delaying interventions and impairing strategic planning (Koot, Mes and Iacob, 2021). A Kimball‑style architecture with staging, integration and presentation layers would land raw feeds, standardise keys and business definitions, </w:t>
      </w:r>
      <w:r w:rsidR="00064BA5">
        <w:t>and</w:t>
      </w:r>
      <w:r>
        <w:t xml:space="preserve"> publish conformed</w:t>
      </w:r>
      <w:r w:rsidR="00064BA5">
        <w:t xml:space="preserve"> and</w:t>
      </w:r>
      <w:r>
        <w:t xml:space="preserve"> </w:t>
      </w:r>
      <w:r w:rsidR="004C3D19">
        <w:t>focused subsets</w:t>
      </w:r>
      <w:r>
        <w:t xml:space="preserve">. Core fact tables include </w:t>
      </w:r>
      <w:r w:rsidRPr="00064BA5">
        <w:rPr>
          <w:i/>
          <w:iCs/>
        </w:rPr>
        <w:t>Delivery_Fact</w:t>
      </w:r>
      <w:r>
        <w:t xml:space="preserve"> (per consignment, with timestamps, attempts, success flag,), </w:t>
      </w:r>
      <w:r w:rsidRPr="00064BA5">
        <w:rPr>
          <w:i/>
          <w:iCs/>
        </w:rPr>
        <w:t>Route_Leg_Fact</w:t>
      </w:r>
      <w:r>
        <w:t xml:space="preserve"> (per tour segment, with distance, duration, stops), and </w:t>
      </w:r>
      <w:r w:rsidRPr="00064BA5">
        <w:rPr>
          <w:i/>
          <w:iCs/>
        </w:rPr>
        <w:t>Depot_Handling_Fact</w:t>
      </w:r>
      <w:r>
        <w:t xml:space="preserve"> (sort volumes, dwell times). Conformed dimensions would include </w:t>
      </w:r>
      <w:r w:rsidRPr="00064BA5">
        <w:rPr>
          <w:i/>
          <w:iCs/>
        </w:rPr>
        <w:t>Date_Time</w:t>
      </w:r>
      <w:r>
        <w:t xml:space="preserve">, </w:t>
      </w:r>
      <w:r w:rsidRPr="00064BA5">
        <w:rPr>
          <w:i/>
          <w:iCs/>
        </w:rPr>
        <w:t>Route</w:t>
      </w:r>
      <w:r>
        <w:t xml:space="preserve">, </w:t>
      </w:r>
      <w:r w:rsidRPr="00064BA5">
        <w:rPr>
          <w:i/>
          <w:iCs/>
        </w:rPr>
        <w:t>Depot</w:t>
      </w:r>
      <w:r>
        <w:t xml:space="preserve">, </w:t>
      </w:r>
      <w:r w:rsidRPr="00064BA5">
        <w:rPr>
          <w:i/>
          <w:iCs/>
        </w:rPr>
        <w:t>Driver</w:t>
      </w:r>
      <w:r>
        <w:t xml:space="preserve">, </w:t>
      </w:r>
      <w:r w:rsidRPr="00064BA5">
        <w:rPr>
          <w:i/>
          <w:iCs/>
        </w:rPr>
        <w:t>Vehicle</w:t>
      </w:r>
      <w:r>
        <w:t xml:space="preserve">, </w:t>
      </w:r>
      <w:r w:rsidRPr="00064BA5">
        <w:rPr>
          <w:i/>
          <w:iCs/>
        </w:rPr>
        <w:t>Customer</w:t>
      </w:r>
      <w:r>
        <w:t xml:space="preserve">, </w:t>
      </w:r>
      <w:r w:rsidRPr="00064BA5">
        <w:rPr>
          <w:i/>
          <w:iCs/>
        </w:rPr>
        <w:t>Product</w:t>
      </w:r>
      <w:r>
        <w:t xml:space="preserve"> and </w:t>
      </w:r>
      <w:r w:rsidRPr="00064BA5">
        <w:rPr>
          <w:i/>
          <w:iCs/>
        </w:rPr>
        <w:t>Geography</w:t>
      </w:r>
      <w:r>
        <w:t>, enabling consistent cross‑functional analysis (</w:t>
      </w:r>
      <w:r w:rsidR="00757EF8" w:rsidRPr="00757EF8">
        <w:t>Morshedlou et al., 2021</w:t>
      </w:r>
      <w:r>
        <w:t xml:space="preserve">). Strategically, a central DW compresses </w:t>
      </w:r>
      <w:r w:rsidR="00064BA5">
        <w:t>delayed decision-making</w:t>
      </w:r>
      <w:r>
        <w:t xml:space="preserve">: managers can trace spikes in </w:t>
      </w:r>
      <w:r w:rsidR="00064BA5">
        <w:t>late shipments</w:t>
      </w:r>
      <w:r>
        <w:t xml:space="preserve"> by postcode to driver experience, stop density or weather; commercial teams quantify cost‑to‑serve and retention risk; finance evaluates profitability by service level and region; sustainability teams attribute CO₂ per parcel at route granularity (Zhang, </w:t>
      </w:r>
      <w:r w:rsidR="008405AC">
        <w:t>Zhao,</w:t>
      </w:r>
      <w:r>
        <w:t xml:space="preserve"> and Huo, 2020; </w:t>
      </w:r>
      <w:r w:rsidR="00757EF8" w:rsidRPr="00757EF8">
        <w:t xml:space="preserve">Duan, </w:t>
      </w:r>
      <w:r w:rsidR="008405AC" w:rsidRPr="00757EF8">
        <w:t>Jiang,</w:t>
      </w:r>
      <w:r w:rsidR="00757EF8" w:rsidRPr="00757EF8">
        <w:t xml:space="preserve"> and Jain, 2022</w:t>
      </w:r>
      <w:r>
        <w:t xml:space="preserve">). </w:t>
      </w:r>
      <w:r w:rsidR="004C3D19">
        <w:t>Evidence based research</w:t>
      </w:r>
      <w:r>
        <w:t xml:space="preserve"> show that BI assimilation improves decision </w:t>
      </w:r>
      <w:r w:rsidR="00757EF8">
        <w:t>quality,</w:t>
      </w:r>
      <w:r>
        <w:t xml:space="preserve"> and that analytics capability strengthens supply chain integration and operational performance, aligning with DHL UK’s objectives (</w:t>
      </w:r>
      <w:r w:rsidR="00757EF8" w:rsidRPr="00757EF8">
        <w:t xml:space="preserve">Duan, </w:t>
      </w:r>
      <w:r w:rsidR="008405AC" w:rsidRPr="00757EF8">
        <w:t>Jiang,</w:t>
      </w:r>
      <w:r w:rsidR="00757EF8" w:rsidRPr="00757EF8">
        <w:t xml:space="preserve"> and Jain, 2022</w:t>
      </w:r>
      <w:r>
        <w:t>; Zhu, Krikke and Caniëls, 202</w:t>
      </w:r>
      <w:r w:rsidR="00130700">
        <w:t>1</w:t>
      </w:r>
      <w:r>
        <w:t xml:space="preserve">). The DW also </w:t>
      </w:r>
      <w:r w:rsidR="00064BA5">
        <w:t>reinforces</w:t>
      </w:r>
      <w:r>
        <w:t xml:space="preserve"> forecasting and what‑if analysis. Historical seasonal peaks can feed capacity models for trailers, couriers and depot shifts, while conformed data supports scenario testing for alternative depot operating hours or micro‑fulfilment placement (Tian et al., 2021; Tiwari et al., 2024). Integration with near real‑time streams enables alerting when First‑Attempt Success drops below threshold in a region, prompting proactive customer comms or dynamic rerouting (Melançon, Smith and Ganeshan, 2021; Yoon et al., 2024). From an operating model perspective, the DW facilitates governed self‑service through certified datasets in Power BI and Tableau, reducing ad‑hoc spreadsheet silos and improving trust in KPIs (Koot, Mes and Iacob, 2021). Logistics 4.0 literature emphasises warehousing digitisation drivers and benefits, including transparency, labour productivity and responsiveness, which are unlocked only when </w:t>
      </w:r>
      <w:r>
        <w:lastRenderedPageBreak/>
        <w:t>core data platforms are standardised (Perotti et al., 2022). Finally, a well‑governed DW simplifies data sharing for audits and regulatory or sustainability reporting, while role‑based access limits exposure of personally identifiable information and sensitive driver telemetry (</w:t>
      </w:r>
      <w:r w:rsidR="00244E67" w:rsidRPr="00244E67">
        <w:t>Li et al., 2024</w:t>
      </w:r>
      <w:r>
        <w:t xml:space="preserve">; Pina, </w:t>
      </w:r>
      <w:r w:rsidR="008405AC">
        <w:t>Marcos,</w:t>
      </w:r>
      <w:r>
        <w:t xml:space="preserve"> and Sánchez, 2024).</w:t>
      </w:r>
    </w:p>
    <w:p w14:paraId="0B095662" w14:textId="77777777" w:rsidR="006116E8" w:rsidRPr="00244E67" w:rsidRDefault="00000000" w:rsidP="00244E67">
      <w:pPr>
        <w:pStyle w:val="Heading1"/>
        <w:rPr>
          <w:rFonts w:ascii="Times New Roman" w:hAnsi="Times New Roman" w:cs="Times New Roman"/>
          <w:color w:val="000000" w:themeColor="text1"/>
        </w:rPr>
      </w:pPr>
      <w:bookmarkStart w:id="5" w:name="_Toc211447605"/>
      <w:r w:rsidRPr="00244E67">
        <w:rPr>
          <w:rFonts w:ascii="Times New Roman" w:hAnsi="Times New Roman" w:cs="Times New Roman"/>
          <w:color w:val="000000" w:themeColor="text1"/>
        </w:rPr>
        <w:t>4. Data Mining Techniques</w:t>
      </w:r>
      <w:bookmarkEnd w:id="5"/>
    </w:p>
    <w:p w14:paraId="0043A0C8" w14:textId="40BC7FAD" w:rsidR="006116E8" w:rsidRDefault="00000000">
      <w:pPr>
        <w:spacing w:line="360" w:lineRule="auto"/>
      </w:pPr>
      <w:r>
        <w:t xml:space="preserve">Two techniques align strongly with DHL UK’s data and objectives: </w:t>
      </w:r>
      <w:r w:rsidRPr="00064BA5">
        <w:rPr>
          <w:b/>
          <w:bCs/>
        </w:rPr>
        <w:t>classification</w:t>
      </w:r>
      <w:r>
        <w:t xml:space="preserve"> and </w:t>
      </w:r>
      <w:r w:rsidRPr="00064BA5">
        <w:rPr>
          <w:b/>
          <w:bCs/>
        </w:rPr>
        <w:t>clustering</w:t>
      </w:r>
      <w:r>
        <w:t>. Classification models estimate the probability of outcomes such as delivery success or delay for a given consignment, using predictors like stop density, time‑of‑day, weather, customer attributes and driver tenure. Studies demonstrate the feasibility of performance prediction and anomaly detection in supply chains (Melançon, Smith and Ganeshan, 2021; Yoon et al., 2024). DHL UK can cluster customers by order frequency, size/weight mix and time sensitivity to tailor service tiers, and cluster depots by failure patterns to target process redesign. Systematic reviews confirm the value of unsupervised learning for segmentation, inventory profiling and network design (Rolf et al., 2024; Lee, Chiu and Chen, 2021). For last‑mile optimisation, literature highlights ML‑assisted dynamic routing and operation planning that integrate with real‑time signals, creating measurable benefits in travel time and service adherence (</w:t>
      </w:r>
      <w:r w:rsidR="00757EF8" w:rsidRPr="00757EF8">
        <w:t>Mohedano-Munoz et al., 2023</w:t>
      </w:r>
      <w:r>
        <w:t xml:space="preserve">; Bruni et al., 2023). Operationalisation can leverage RapidMiner or SPSS Modeler for low‑code pipelines and Python/Scikit‑learn for advanced teams; results are published back to the DW as scored tables for consumption by dashboards and alerting (Khedr et al., 2024; Koot, Mes and Iacob, 2021). The Amazon Last‑Mile Routing Research Challenge dataset and benchmarking work shows the research trajectory toward robust, reproducible evaluation of next‑day routing and delivery success models, offering external validation approaches for DHL UK’s pilots (Merchán et al., 2024; </w:t>
      </w:r>
      <w:r w:rsidR="00130700" w:rsidRPr="00130700">
        <w:t>Hassani, Desaulniers and Elhallaoui, 2021</w:t>
      </w:r>
      <w:r>
        <w:t>). Risk‑focused DM, including association analysis for failure co‑occurrence and feature importance from tree‑based models, feeds targeted interventions such as experience‑based assignment or proactive customer messaging (Kara, Karabag and Berggren, 2020; Giuffrida, Mangiaracina and Perego, 2022).</w:t>
      </w:r>
    </w:p>
    <w:p w14:paraId="3D7BCE75" w14:textId="77777777" w:rsidR="006116E8" w:rsidRPr="00244E67" w:rsidRDefault="00000000" w:rsidP="00244E67">
      <w:pPr>
        <w:pStyle w:val="Heading1"/>
        <w:rPr>
          <w:rFonts w:ascii="Times New Roman" w:hAnsi="Times New Roman" w:cs="Times New Roman"/>
          <w:color w:val="000000" w:themeColor="text1"/>
        </w:rPr>
      </w:pPr>
      <w:bookmarkStart w:id="6" w:name="_Toc211447606"/>
      <w:r w:rsidRPr="00244E67">
        <w:rPr>
          <w:rFonts w:ascii="Times New Roman" w:hAnsi="Times New Roman" w:cs="Times New Roman"/>
          <w:color w:val="000000" w:themeColor="text1"/>
        </w:rPr>
        <w:lastRenderedPageBreak/>
        <w:t>5. Predictive Analysis</w:t>
      </w:r>
      <w:bookmarkEnd w:id="6"/>
    </w:p>
    <w:p w14:paraId="51AC2204" w14:textId="6A2F5504" w:rsidR="006116E8" w:rsidRDefault="00000000">
      <w:pPr>
        <w:spacing w:line="360" w:lineRule="auto"/>
      </w:pPr>
      <w:r>
        <w:t xml:space="preserve">Predictive tooling should balance modelling depth, integration effort and governance. Power BI anchors the visual layer and provides automated refresh, DAX‑based </w:t>
      </w:r>
      <w:r w:rsidR="00244E67">
        <w:t>forecasting,</w:t>
      </w:r>
      <w:r>
        <w:t xml:space="preserve"> and built‑in anomaly detection for rapid operational feedback; it interfaces cleanly with SQL DWs and certified data marts (</w:t>
      </w:r>
      <w:r w:rsidR="00757EF8" w:rsidRPr="00757EF8">
        <w:t xml:space="preserve">Duan, </w:t>
      </w:r>
      <w:r w:rsidR="008405AC" w:rsidRPr="00757EF8">
        <w:t>Jiang,</w:t>
      </w:r>
      <w:r w:rsidR="00757EF8" w:rsidRPr="00757EF8">
        <w:t xml:space="preserve"> and Jain, 2022</w:t>
      </w:r>
      <w:r>
        <w:t xml:space="preserve">; Koot, </w:t>
      </w:r>
      <w:r w:rsidR="008405AC">
        <w:t>Mes,</w:t>
      </w:r>
      <w:r>
        <w:t xml:space="preserve"> and Iacob, 2021). SPSS and RapidMiner supply robust classification, regression and clustering with audit‑friendly workflows and model documentation, while Python ecosystems scale for bespoke optimisation linked to routing (Bruni et al., 2023; </w:t>
      </w:r>
      <w:r w:rsidR="00757EF8" w:rsidRPr="00757EF8">
        <w:t xml:space="preserve">Mohedano-Munoz et al., 2023 </w:t>
      </w:r>
      <w:r>
        <w:t xml:space="preserve">Integration patterns from the literature recommend scoring new consignments in‑batch to a Scored_Delivery table, with probability bands triggering business rules for escalation or customer notifications (Melançon, Smith and Ganeshan, 2021; Yoon et al., 2024). Forecasting and scenario analysis should use warehouse‑level time series and external signals; evidence links analytics capability to supply chain integration and improved firm performance, reinforcing investment in enterprise‑grade platforms (Zhang, </w:t>
      </w:r>
      <w:r w:rsidR="008405AC">
        <w:t>Zhao,</w:t>
      </w:r>
      <w:r>
        <w:t xml:space="preserve"> and Huo, 2020; </w:t>
      </w:r>
      <w:r w:rsidR="00387837" w:rsidRPr="00387837">
        <w:t>Bag et al., 2021</w:t>
      </w:r>
      <w:r>
        <w:t>; Zhu, Krikke and Caniëls, 202</w:t>
      </w:r>
      <w:r w:rsidR="00130700">
        <w:t>1</w:t>
      </w:r>
      <w:r>
        <w:t>). A pragmatic roadmap is to pilot two use cases in parallel: delivery‑success prediction and depot segmentation for first‑attempt improvement, with CRISP‑DM governance and monthly model performance reviews (Rolf et al., 2024; Khedr et al., 2024).</w:t>
      </w:r>
    </w:p>
    <w:p w14:paraId="2E9862D3" w14:textId="77777777" w:rsidR="00064BA5" w:rsidRDefault="00064BA5">
      <w:pPr>
        <w:spacing w:line="360" w:lineRule="auto"/>
      </w:pPr>
    </w:p>
    <w:p w14:paraId="53A1CE91" w14:textId="77777777" w:rsidR="006116E8" w:rsidRPr="00244E67" w:rsidRDefault="00000000" w:rsidP="00244E67">
      <w:pPr>
        <w:pStyle w:val="Heading1"/>
        <w:rPr>
          <w:rFonts w:ascii="Times New Roman" w:hAnsi="Times New Roman" w:cs="Times New Roman"/>
          <w:color w:val="000000" w:themeColor="text1"/>
        </w:rPr>
      </w:pPr>
      <w:bookmarkStart w:id="7" w:name="_Toc211447607"/>
      <w:r w:rsidRPr="00244E67">
        <w:rPr>
          <w:rFonts w:ascii="Times New Roman" w:hAnsi="Times New Roman" w:cs="Times New Roman"/>
          <w:color w:val="000000" w:themeColor="text1"/>
        </w:rPr>
        <w:t>6. Ethical and Data Security Considerations</w:t>
      </w:r>
      <w:bookmarkEnd w:id="7"/>
    </w:p>
    <w:p w14:paraId="017E65B9" w14:textId="01B01BD1" w:rsidR="006116E8" w:rsidRDefault="00000000">
      <w:pPr>
        <w:spacing w:line="360" w:lineRule="auto"/>
      </w:pPr>
      <w:r>
        <w:t>GDPR compliance requires lawful basis, purpose limitation, data minimisation and transparency for personal data such as addresses, contact numbers and driver telematics. DHL UK should conduct DPIAs for the DW and predictive use cases, document data flows, and publish clear privacy notices. Data ownership and consent must be unambiguous, with customer data used strictly for operational purposes unless explicit consent extends usage (</w:t>
      </w:r>
      <w:r w:rsidR="00244E67" w:rsidRPr="00244E67">
        <w:t>Li et al., 2024</w:t>
      </w:r>
      <w:r>
        <w:t xml:space="preserve">; Pina, </w:t>
      </w:r>
      <w:r w:rsidR="008405AC">
        <w:t>Marcos,</w:t>
      </w:r>
      <w:r>
        <w:t xml:space="preserve"> and Sánchez, 2024). Access should follow role‑based controls with least‑privilege, and sensitive data should be encrypted at rest and in transit with strong key management. Employee analytics should avoid punitive surveillance; governance should emphasise fairness, explainability and proportionality, limiting feature sets to what is operationally necessary (</w:t>
      </w:r>
      <w:r w:rsidR="00244E67" w:rsidRPr="00244E67">
        <w:t>Li et al., 2024</w:t>
      </w:r>
      <w:r>
        <w:t>). Threat modelling must address internal misuse and external cyber risks, with multi‑factor authentication, network segmentation and monitoring for anomalous access (</w:t>
      </w:r>
      <w:r w:rsidR="00757EF8" w:rsidRPr="00757EF8">
        <w:t xml:space="preserve">Duan, </w:t>
      </w:r>
      <w:r w:rsidR="008405AC" w:rsidRPr="00757EF8">
        <w:lastRenderedPageBreak/>
        <w:t>Jiang,</w:t>
      </w:r>
      <w:r w:rsidR="00757EF8" w:rsidRPr="00757EF8">
        <w:t xml:space="preserve"> and Jain, 2022</w:t>
      </w:r>
      <w:r>
        <w:t>). Ongoing security awareness and incident response drills are recommended.</w:t>
      </w:r>
    </w:p>
    <w:p w14:paraId="691123E6" w14:textId="77777777" w:rsidR="006116E8" w:rsidRPr="00244E67" w:rsidRDefault="00000000" w:rsidP="00244E67">
      <w:pPr>
        <w:pStyle w:val="Heading1"/>
        <w:rPr>
          <w:rFonts w:ascii="Times New Roman" w:hAnsi="Times New Roman" w:cs="Times New Roman"/>
          <w:color w:val="000000" w:themeColor="text1"/>
        </w:rPr>
      </w:pPr>
      <w:bookmarkStart w:id="8" w:name="_Toc211447608"/>
      <w:r w:rsidRPr="00244E67">
        <w:rPr>
          <w:rFonts w:ascii="Times New Roman" w:hAnsi="Times New Roman" w:cs="Times New Roman"/>
          <w:color w:val="000000" w:themeColor="text1"/>
        </w:rPr>
        <w:t>Reporting and Dashboard Solutions</w:t>
      </w:r>
      <w:bookmarkEnd w:id="8"/>
    </w:p>
    <w:p w14:paraId="519B2983" w14:textId="07D44A71" w:rsidR="006116E8" w:rsidRDefault="00000000">
      <w:pPr>
        <w:spacing w:line="360" w:lineRule="auto"/>
      </w:pPr>
      <w:r>
        <w:t xml:space="preserve">Power BI and Tableau are suitable for governed self‑service dashboards tied to certified data marts, enabling rapid insight while maintaining control over KPIs and semantics (Koot, </w:t>
      </w:r>
      <w:r w:rsidR="008405AC">
        <w:t>Mes,</w:t>
      </w:r>
      <w:r>
        <w:t xml:space="preserve"> and Iacob, 2021; </w:t>
      </w:r>
      <w:r w:rsidR="00757EF8" w:rsidRPr="00757EF8">
        <w:t xml:space="preserve">Duan, </w:t>
      </w:r>
      <w:r w:rsidR="008405AC" w:rsidRPr="00757EF8">
        <w:t>Jiang,</w:t>
      </w:r>
      <w:r w:rsidR="00757EF8" w:rsidRPr="00757EF8">
        <w:t xml:space="preserve"> and Jain, 2022</w:t>
      </w:r>
      <w:r>
        <w:t xml:space="preserve">). For parcel operations, recommended KPIs include On‑Time Delivery Rate, First‑Attempt Success, Average Route Duration, Stops per Hour, Cost per Consignment, CO₂ per Parcel, Missed Scan Rate, Customer Complaints per 1,000 Parcels, and Fleet Utilisation. Near real‑time refresh supports exception‑based management where tiles alert when thresholds are breached, while executive scorecards summarise regional performance and trend risk. Logistics literature </w:t>
      </w:r>
      <w:r w:rsidR="00244E67">
        <w:t>evidence</w:t>
      </w:r>
      <w:r>
        <w:t xml:space="preserve"> benefits from </w:t>
      </w:r>
      <w:r w:rsidR="00244E67">
        <w:t>digitized</w:t>
      </w:r>
      <w:r>
        <w:t xml:space="preserve"> warehousing and dynamic routing when paired with control‑tower style visibility (Perotti et al., 2022; </w:t>
      </w:r>
      <w:r w:rsidR="00757EF8" w:rsidRPr="00757EF8">
        <w:t>Mohedano-Munoz et al., 2023</w:t>
      </w:r>
      <w:r>
        <w:t>; Bruni et al., 2023). Embedding model outputs such as delivery‑success probability bands and depot clusters enables targeted actions, closing the loop from analytics to decision to outcome (Melançon, Smith and Ganeshan, 2021; Yoon et al., 2024).</w:t>
      </w:r>
    </w:p>
    <w:p w14:paraId="08D160DC" w14:textId="77777777" w:rsidR="00244E67" w:rsidRDefault="00244E67">
      <w:pPr>
        <w:spacing w:line="360" w:lineRule="auto"/>
      </w:pPr>
    </w:p>
    <w:p w14:paraId="603A522B" w14:textId="77777777" w:rsidR="00244E67" w:rsidRDefault="00244E67">
      <w:pPr>
        <w:spacing w:line="360" w:lineRule="auto"/>
      </w:pPr>
    </w:p>
    <w:p w14:paraId="48946EAA" w14:textId="77777777" w:rsidR="006116E8" w:rsidRPr="00244E67" w:rsidRDefault="00000000" w:rsidP="00244E67">
      <w:pPr>
        <w:pStyle w:val="Heading1"/>
        <w:rPr>
          <w:rFonts w:ascii="Times New Roman" w:hAnsi="Times New Roman" w:cs="Times New Roman"/>
          <w:color w:val="000000" w:themeColor="text1"/>
        </w:rPr>
      </w:pPr>
      <w:bookmarkStart w:id="9" w:name="_Toc211447609"/>
      <w:r w:rsidRPr="00244E67">
        <w:rPr>
          <w:rFonts w:ascii="Times New Roman" w:hAnsi="Times New Roman" w:cs="Times New Roman"/>
          <w:color w:val="000000" w:themeColor="text1"/>
        </w:rPr>
        <w:t>Conclusion</w:t>
      </w:r>
      <w:bookmarkEnd w:id="9"/>
    </w:p>
    <w:p w14:paraId="01665511" w14:textId="66A439C4" w:rsidR="006116E8" w:rsidRDefault="00000000">
      <w:pPr>
        <w:spacing w:line="360" w:lineRule="auto"/>
      </w:pPr>
      <w:r>
        <w:t>The academic evidence base supports a DHL UK roadmap that centres on a conformed dimensional warehouse, real‑time data ingestion and pragmatic mining techniques operationalised through governed dashboards. Real‑time BI, cloud DW and AI‑enabled decision support consistently associate with higher decision quality and operational performance, while DM techniques such as classification and clustering address delivery success, customer value and depot performance directly (</w:t>
      </w:r>
      <w:r w:rsidR="00757EF8" w:rsidRPr="00757EF8">
        <w:t xml:space="preserve">Duan, </w:t>
      </w:r>
      <w:r w:rsidR="008405AC" w:rsidRPr="00757EF8">
        <w:t>Jiang,</w:t>
      </w:r>
      <w:r w:rsidR="00757EF8" w:rsidRPr="00757EF8">
        <w:t xml:space="preserve"> and Jain, 2022</w:t>
      </w:r>
      <w:r>
        <w:t xml:space="preserve">; </w:t>
      </w:r>
      <w:r w:rsidR="00757EF8" w:rsidRPr="00757EF8">
        <w:t>Mohedano-Munoz et al., 2023</w:t>
      </w:r>
      <w:r>
        <w:t>; Rolf et al., 2024). A secure, GDPR‑compliant architecture with DPIAs, role‑based access and encryption is essential to maintain trust (</w:t>
      </w:r>
      <w:r w:rsidR="00244E67" w:rsidRPr="00244E67">
        <w:t>Li et al., 2024</w:t>
      </w:r>
      <w:r>
        <w:t xml:space="preserve">; Pina, </w:t>
      </w:r>
      <w:r w:rsidR="008405AC">
        <w:t>Marcos,</w:t>
      </w:r>
      <w:r>
        <w:t xml:space="preserve"> and Sánchez, 2024). Priority recommendations are: build the core DW with conformed dimensions; pilot delivery‑success prediction and depot clustering; publish certified </w:t>
      </w:r>
      <w:r w:rsidRPr="00DB2490">
        <w:rPr>
          <w:rFonts w:cs="Times New Roman"/>
        </w:rPr>
        <w:t xml:space="preserve">marts to Power BI; and </w:t>
      </w:r>
      <w:r w:rsidRPr="00DB2490">
        <w:rPr>
          <w:rFonts w:cs="Times New Roman"/>
        </w:rPr>
        <w:lastRenderedPageBreak/>
        <w:t xml:space="preserve">institutionalise CRISP‑DM governance with monthly reviews. This positions DHL UK to move from reactive reporting to predictive, proactive control of parcel operations (Zhang, </w:t>
      </w:r>
      <w:r w:rsidR="008405AC" w:rsidRPr="00DB2490">
        <w:rPr>
          <w:rFonts w:cs="Times New Roman"/>
        </w:rPr>
        <w:t>Zhao,</w:t>
      </w:r>
      <w:r w:rsidRPr="00DB2490">
        <w:rPr>
          <w:rFonts w:cs="Times New Roman"/>
        </w:rPr>
        <w:t xml:space="preserve"> and Huo, 2020; </w:t>
      </w:r>
      <w:r w:rsidR="00387837" w:rsidRPr="00DB2490">
        <w:rPr>
          <w:rFonts w:cs="Times New Roman"/>
        </w:rPr>
        <w:t>Bag et al., 2021</w:t>
      </w:r>
      <w:r w:rsidRPr="00DB2490">
        <w:rPr>
          <w:rFonts w:cs="Times New Roman"/>
        </w:rPr>
        <w:t>)</w:t>
      </w:r>
      <w:r w:rsidR="00DB2490" w:rsidRPr="00DB2490">
        <w:rPr>
          <w:rFonts w:cs="Times New Roman"/>
        </w:rPr>
        <w:t xml:space="preserve">. </w:t>
      </w:r>
      <w:r w:rsidR="00DB2490" w:rsidRPr="00DB2490">
        <w:rPr>
          <w:rFonts w:cs="Times New Roman"/>
        </w:rPr>
        <w:t xml:space="preserve">As automation increases, decision-making around routing, </w:t>
      </w:r>
      <w:r w:rsidR="00DB2490">
        <w:rPr>
          <w:rFonts w:cs="Times New Roman"/>
        </w:rPr>
        <w:t>issues</w:t>
      </w:r>
      <w:r w:rsidR="00DB2490" w:rsidRPr="00DB2490">
        <w:rPr>
          <w:rFonts w:cs="Times New Roman"/>
        </w:rPr>
        <w:t xml:space="preserve"> </w:t>
      </w:r>
      <w:r w:rsidR="00DB2490">
        <w:rPr>
          <w:rFonts w:cs="Times New Roman"/>
        </w:rPr>
        <w:t>and staff disputes resolving</w:t>
      </w:r>
      <w:r w:rsidR="00DB2490" w:rsidRPr="00DB2490">
        <w:rPr>
          <w:rFonts w:cs="Times New Roman"/>
        </w:rPr>
        <w:t xml:space="preserve"> could be handled more efficiently by the system, reducing reliance on manual </w:t>
      </w:r>
      <w:r w:rsidR="00DB2490" w:rsidRPr="00DB2490">
        <w:rPr>
          <w:rFonts w:cs="Times New Roman"/>
        </w:rPr>
        <w:t>intervention.</w:t>
      </w:r>
    </w:p>
    <w:p w14:paraId="4DDA1077" w14:textId="77777777" w:rsidR="006116E8" w:rsidRDefault="00000000">
      <w:r>
        <w:br w:type="page"/>
      </w:r>
    </w:p>
    <w:p w14:paraId="7B9AA854" w14:textId="77777777" w:rsidR="00244E67" w:rsidRPr="00244E67" w:rsidRDefault="00244E67" w:rsidP="00244E67">
      <w:pPr>
        <w:pStyle w:val="Heading1"/>
        <w:rPr>
          <w:rFonts w:ascii="Times New Roman" w:hAnsi="Times New Roman" w:cs="Times New Roman"/>
          <w:color w:val="000000" w:themeColor="text1"/>
        </w:rPr>
      </w:pPr>
      <w:bookmarkStart w:id="10" w:name="_Toc211447610"/>
      <w:r w:rsidRPr="00244E67">
        <w:rPr>
          <w:rFonts w:ascii="Times New Roman" w:hAnsi="Times New Roman" w:cs="Times New Roman"/>
          <w:color w:val="000000" w:themeColor="text1"/>
        </w:rPr>
        <w:lastRenderedPageBreak/>
        <w:t>Reference list</w:t>
      </w:r>
      <w:bookmarkEnd w:id="10"/>
    </w:p>
    <w:p w14:paraId="773888D6"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Aljohani, A. (2023) ‘Predictive Analytics and Machine Learning for Real-Time Supply Chain Risk Mitigation and Agility’, </w:t>
      </w:r>
      <w:r>
        <w:rPr>
          <w:rFonts w:cs="Times New Roman"/>
          <w:i/>
          <w:iCs/>
          <w:szCs w:val="24"/>
        </w:rPr>
        <w:t>Sustainability</w:t>
      </w:r>
      <w:r>
        <w:rPr>
          <w:rFonts w:cs="Times New Roman"/>
          <w:szCs w:val="24"/>
        </w:rPr>
        <w:t xml:space="preserve">, 15(20). Available at: </w:t>
      </w:r>
      <w:hyperlink r:id="rId8" w:history="1">
        <w:r>
          <w:rPr>
            <w:rStyle w:val="Hyperlink"/>
            <w:rFonts w:cs="Times New Roman"/>
            <w:szCs w:val="24"/>
          </w:rPr>
          <w:t>https://doi.org/10.3390/su152015088</w:t>
        </w:r>
      </w:hyperlink>
      <w:r>
        <w:rPr>
          <w:rFonts w:cs="Times New Roman"/>
          <w:szCs w:val="24"/>
        </w:rPr>
        <w:t>.</w:t>
      </w:r>
    </w:p>
    <w:p w14:paraId="4EE6705A"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Bag, S. </w:t>
      </w:r>
      <w:r>
        <w:rPr>
          <w:rFonts w:cs="Times New Roman"/>
          <w:i/>
          <w:iCs/>
          <w:szCs w:val="24"/>
        </w:rPr>
        <w:t>et al.</w:t>
      </w:r>
      <w:r>
        <w:rPr>
          <w:rFonts w:cs="Times New Roman"/>
          <w:szCs w:val="24"/>
        </w:rPr>
        <w:t xml:space="preserve"> (2021) ‘Leveraging big data analytics capabilities in making reverse logistics decisions and improving remanufacturing performance’, </w:t>
      </w:r>
      <w:r>
        <w:rPr>
          <w:rFonts w:cs="Times New Roman"/>
          <w:i/>
          <w:iCs/>
          <w:szCs w:val="24"/>
        </w:rPr>
        <w:t>The International Journal of Logistics Management</w:t>
      </w:r>
      <w:r>
        <w:rPr>
          <w:rFonts w:cs="Times New Roman"/>
          <w:szCs w:val="24"/>
        </w:rPr>
        <w:t xml:space="preserve">, 32(3), pp. 742–765. Available at: </w:t>
      </w:r>
      <w:hyperlink r:id="rId9" w:history="1">
        <w:r>
          <w:rPr>
            <w:rStyle w:val="Hyperlink"/>
            <w:rFonts w:cs="Times New Roman"/>
            <w:szCs w:val="24"/>
          </w:rPr>
          <w:t>https://doi.org/10.1108/ijlm-06-2020-0237</w:t>
        </w:r>
      </w:hyperlink>
      <w:r>
        <w:rPr>
          <w:rFonts w:cs="Times New Roman"/>
          <w:szCs w:val="24"/>
        </w:rPr>
        <w:t>.</w:t>
      </w:r>
    </w:p>
    <w:p w14:paraId="79711B36"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Bruni, M.E. </w:t>
      </w:r>
      <w:r>
        <w:rPr>
          <w:rFonts w:cs="Times New Roman"/>
          <w:i/>
          <w:iCs/>
          <w:szCs w:val="24"/>
        </w:rPr>
        <w:t>et al.</w:t>
      </w:r>
      <w:r>
        <w:rPr>
          <w:rFonts w:cs="Times New Roman"/>
          <w:szCs w:val="24"/>
        </w:rPr>
        <w:t xml:space="preserve"> (2023) ‘POLITECNICO DI TORINO: a Machine Learning Optimization Approach for last-mile logistics’, Computers &amp; Operations Research’, </w:t>
      </w:r>
      <w:r>
        <w:rPr>
          <w:rFonts w:cs="Times New Roman"/>
          <w:i/>
          <w:iCs/>
          <w:szCs w:val="24"/>
        </w:rPr>
        <w:t>Computers &amp; Operations Research</w:t>
      </w:r>
      <w:r>
        <w:rPr>
          <w:rFonts w:cs="Times New Roman"/>
          <w:szCs w:val="24"/>
        </w:rPr>
        <w:t xml:space="preserve">, 155(106223), p. 106262. Available at: </w:t>
      </w:r>
      <w:hyperlink r:id="rId10" w:history="1">
        <w:r>
          <w:rPr>
            <w:rStyle w:val="Hyperlink"/>
            <w:rFonts w:cs="Times New Roman"/>
            <w:szCs w:val="24"/>
          </w:rPr>
          <w:t>https://doi.org/10.1016/j.cor.2023.106262</w:t>
        </w:r>
      </w:hyperlink>
      <w:r>
        <w:rPr>
          <w:rFonts w:cs="Times New Roman"/>
          <w:szCs w:val="24"/>
        </w:rPr>
        <w:t>.</w:t>
      </w:r>
    </w:p>
    <w:p w14:paraId="032DE3C0" w14:textId="2919E1EA"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Darbanian, F. </w:t>
      </w:r>
      <w:r>
        <w:rPr>
          <w:rFonts w:cs="Times New Roman"/>
          <w:i/>
          <w:iCs/>
          <w:szCs w:val="24"/>
        </w:rPr>
        <w:t>et al.</w:t>
      </w:r>
      <w:r>
        <w:rPr>
          <w:rFonts w:cs="Times New Roman"/>
          <w:szCs w:val="24"/>
        </w:rPr>
        <w:t xml:space="preserve"> (2024) ‘Data Analytics in Supply Chain Management: </w:t>
      </w:r>
      <w:r w:rsidR="008405AC">
        <w:rPr>
          <w:rFonts w:cs="Times New Roman"/>
          <w:szCs w:val="24"/>
        </w:rPr>
        <w:t>A</w:t>
      </w:r>
      <w:r>
        <w:rPr>
          <w:rFonts w:cs="Times New Roman"/>
          <w:szCs w:val="24"/>
        </w:rPr>
        <w:t xml:space="preserve"> State-of-the-Art Literature Review’, </w:t>
      </w:r>
      <w:r>
        <w:rPr>
          <w:rFonts w:cs="Times New Roman"/>
          <w:i/>
          <w:iCs/>
          <w:szCs w:val="24"/>
        </w:rPr>
        <w:t xml:space="preserve">Operations and Supply Chain </w:t>
      </w:r>
      <w:r w:rsidR="008405AC">
        <w:rPr>
          <w:rFonts w:cs="Times New Roman"/>
          <w:i/>
          <w:iCs/>
          <w:szCs w:val="24"/>
        </w:rPr>
        <w:t>Management:</w:t>
      </w:r>
      <w:r>
        <w:rPr>
          <w:rFonts w:cs="Times New Roman"/>
          <w:i/>
          <w:iCs/>
          <w:szCs w:val="24"/>
        </w:rPr>
        <w:t xml:space="preserve"> </w:t>
      </w:r>
      <w:r w:rsidR="008405AC">
        <w:rPr>
          <w:rFonts w:cs="Times New Roman"/>
          <w:i/>
          <w:iCs/>
          <w:szCs w:val="24"/>
        </w:rPr>
        <w:t>An</w:t>
      </w:r>
      <w:r>
        <w:rPr>
          <w:rFonts w:cs="Times New Roman"/>
          <w:i/>
          <w:iCs/>
          <w:szCs w:val="24"/>
        </w:rPr>
        <w:t xml:space="preserve"> International Journal</w:t>
      </w:r>
      <w:r>
        <w:rPr>
          <w:rFonts w:cs="Times New Roman"/>
          <w:szCs w:val="24"/>
        </w:rPr>
        <w:t xml:space="preserve">, 17(1), pp. 1–31. Available at: </w:t>
      </w:r>
      <w:hyperlink r:id="rId11" w:history="1">
        <w:r>
          <w:rPr>
            <w:rStyle w:val="Hyperlink"/>
            <w:rFonts w:cs="Times New Roman"/>
            <w:szCs w:val="24"/>
          </w:rPr>
          <w:t>https://doi.org/10.31387/oscm0560411</w:t>
        </w:r>
      </w:hyperlink>
      <w:r>
        <w:rPr>
          <w:rFonts w:cs="Times New Roman"/>
          <w:szCs w:val="24"/>
        </w:rPr>
        <w:t>.</w:t>
      </w:r>
    </w:p>
    <w:p w14:paraId="1286FD6B" w14:textId="33B5C32E"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Duan, R., Jiang, </w:t>
      </w:r>
      <w:r w:rsidR="008405AC">
        <w:rPr>
          <w:rFonts w:cs="Times New Roman"/>
          <w:szCs w:val="24"/>
        </w:rPr>
        <w:t>C.,</w:t>
      </w:r>
      <w:r>
        <w:rPr>
          <w:rFonts w:cs="Times New Roman"/>
          <w:szCs w:val="24"/>
        </w:rPr>
        <w:t xml:space="preserve"> and Jain, H.K. (2022) ‘Combining review-based collaborative filtering and matrix factorization: A solution to rating’s sparsity problem’, </w:t>
      </w:r>
      <w:r>
        <w:rPr>
          <w:rFonts w:cs="Times New Roman"/>
          <w:i/>
          <w:iCs/>
          <w:szCs w:val="24"/>
        </w:rPr>
        <w:t>Decision Support Systems</w:t>
      </w:r>
      <w:r>
        <w:rPr>
          <w:rFonts w:cs="Times New Roman"/>
          <w:szCs w:val="24"/>
        </w:rPr>
        <w:t xml:space="preserve">, 156(E), p. 113748. Available at: </w:t>
      </w:r>
      <w:hyperlink r:id="rId12" w:history="1">
        <w:r>
          <w:rPr>
            <w:rStyle w:val="Hyperlink"/>
            <w:rFonts w:cs="Times New Roman"/>
            <w:szCs w:val="24"/>
          </w:rPr>
          <w:t>https://doi.org/10.1016/j.dss.2022.113748</w:t>
        </w:r>
      </w:hyperlink>
      <w:r>
        <w:rPr>
          <w:rFonts w:cs="Times New Roman"/>
          <w:szCs w:val="24"/>
        </w:rPr>
        <w:t>.</w:t>
      </w:r>
    </w:p>
    <w:p w14:paraId="5FB49BFB"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Er Kara, M., Oktay Fırat, S.Ü. and Ghadge, A. (2018) ‘A data mining-based framework for supply chain risk management’, </w:t>
      </w:r>
      <w:r>
        <w:rPr>
          <w:rFonts w:cs="Times New Roman"/>
          <w:i/>
          <w:iCs/>
          <w:szCs w:val="24"/>
        </w:rPr>
        <w:t>Computers &amp; Industrial Engineering</w:t>
      </w:r>
      <w:r>
        <w:rPr>
          <w:rFonts w:cs="Times New Roman"/>
          <w:szCs w:val="24"/>
        </w:rPr>
        <w:t xml:space="preserve">, 136(113365). Available at: </w:t>
      </w:r>
      <w:hyperlink r:id="rId13" w:history="1">
        <w:r>
          <w:rPr>
            <w:rStyle w:val="Hyperlink"/>
            <w:rFonts w:cs="Times New Roman"/>
            <w:szCs w:val="24"/>
          </w:rPr>
          <w:t>https://doi.org/10.1016/j.cie.2018.12.017</w:t>
        </w:r>
      </w:hyperlink>
      <w:r>
        <w:rPr>
          <w:rFonts w:cs="Times New Roman"/>
          <w:szCs w:val="24"/>
        </w:rPr>
        <w:t>.</w:t>
      </w:r>
    </w:p>
    <w:p w14:paraId="2ED0E02D" w14:textId="5C72DC40"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Giuffrida, N. </w:t>
      </w:r>
      <w:r>
        <w:rPr>
          <w:rFonts w:cs="Times New Roman"/>
          <w:i/>
          <w:iCs/>
          <w:szCs w:val="24"/>
        </w:rPr>
        <w:t>et al.</w:t>
      </w:r>
      <w:r>
        <w:rPr>
          <w:rFonts w:cs="Times New Roman"/>
          <w:szCs w:val="24"/>
        </w:rPr>
        <w:t xml:space="preserve"> (2022) ‘Optimization and Machine Learning Applied to Last-Mile Logistics: </w:t>
      </w:r>
      <w:r w:rsidR="008405AC">
        <w:rPr>
          <w:rFonts w:cs="Times New Roman"/>
          <w:szCs w:val="24"/>
        </w:rPr>
        <w:t>A</w:t>
      </w:r>
      <w:r>
        <w:rPr>
          <w:rFonts w:cs="Times New Roman"/>
          <w:szCs w:val="24"/>
        </w:rPr>
        <w:t xml:space="preserve"> Review’, </w:t>
      </w:r>
      <w:r>
        <w:rPr>
          <w:rFonts w:cs="Times New Roman"/>
          <w:i/>
          <w:iCs/>
          <w:szCs w:val="24"/>
        </w:rPr>
        <w:t>Sustainability</w:t>
      </w:r>
      <w:r>
        <w:rPr>
          <w:rFonts w:cs="Times New Roman"/>
          <w:szCs w:val="24"/>
        </w:rPr>
        <w:t xml:space="preserve">, 14(9), p. 5329. Available at: </w:t>
      </w:r>
      <w:hyperlink r:id="rId14" w:history="1">
        <w:r>
          <w:rPr>
            <w:rStyle w:val="Hyperlink"/>
            <w:rFonts w:cs="Times New Roman"/>
            <w:szCs w:val="24"/>
          </w:rPr>
          <w:t>https://doi.org/10.3390/su14095329</w:t>
        </w:r>
      </w:hyperlink>
      <w:r>
        <w:rPr>
          <w:rFonts w:cs="Times New Roman"/>
          <w:szCs w:val="24"/>
        </w:rPr>
        <w:t>.</w:t>
      </w:r>
    </w:p>
    <w:p w14:paraId="1E34D8B8"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Guo, W. </w:t>
      </w:r>
      <w:r>
        <w:rPr>
          <w:rFonts w:cs="Times New Roman"/>
          <w:i/>
          <w:iCs/>
          <w:szCs w:val="24"/>
        </w:rPr>
        <w:t>et al.</w:t>
      </w:r>
      <w:r>
        <w:rPr>
          <w:rFonts w:cs="Times New Roman"/>
          <w:szCs w:val="24"/>
        </w:rPr>
        <w:t xml:space="preserve"> (2024) ‘Augmented Lagrangian relaxation-based coordinated approach for global synchromodal transport planning with multiple operators’, </w:t>
      </w:r>
      <w:r>
        <w:rPr>
          <w:rFonts w:cs="Times New Roman"/>
          <w:i/>
          <w:iCs/>
          <w:szCs w:val="24"/>
        </w:rPr>
        <w:t>Transportation Research Part E Logistics and Transportation Review</w:t>
      </w:r>
      <w:r>
        <w:rPr>
          <w:rFonts w:cs="Times New Roman"/>
          <w:szCs w:val="24"/>
        </w:rPr>
        <w:t xml:space="preserve">, 185(E), pp. 103535–103535. Available at: </w:t>
      </w:r>
      <w:hyperlink r:id="rId15" w:history="1">
        <w:r>
          <w:rPr>
            <w:rStyle w:val="Hyperlink"/>
            <w:rFonts w:cs="Times New Roman"/>
            <w:szCs w:val="24"/>
          </w:rPr>
          <w:t>https://doi.org/10.1016/j.tre.2024.103535</w:t>
        </w:r>
      </w:hyperlink>
      <w:r>
        <w:rPr>
          <w:rFonts w:cs="Times New Roman"/>
          <w:szCs w:val="24"/>
        </w:rPr>
        <w:t>.</w:t>
      </w:r>
    </w:p>
    <w:p w14:paraId="6C6AD16C"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Hassani, R., Desaulniers, G. and Elhallaoui, I. (2021) ‘Real-time bi-objective Personnel re-scheduling in the Retail Industry’, </w:t>
      </w:r>
      <w:r>
        <w:rPr>
          <w:rFonts w:cs="Times New Roman"/>
          <w:i/>
          <w:iCs/>
          <w:szCs w:val="24"/>
        </w:rPr>
        <w:t>European Journal of Operational Research</w:t>
      </w:r>
      <w:r>
        <w:rPr>
          <w:rFonts w:cs="Times New Roman"/>
          <w:szCs w:val="24"/>
        </w:rPr>
        <w:t>, 293(1), pp. 93–</w:t>
      </w:r>
      <w:r>
        <w:rPr>
          <w:rFonts w:cs="Times New Roman"/>
          <w:szCs w:val="24"/>
        </w:rPr>
        <w:lastRenderedPageBreak/>
        <w:t xml:space="preserve">108. Available at: </w:t>
      </w:r>
      <w:hyperlink r:id="rId16" w:history="1">
        <w:r>
          <w:rPr>
            <w:rStyle w:val="Hyperlink"/>
            <w:rFonts w:cs="Times New Roman"/>
            <w:szCs w:val="24"/>
          </w:rPr>
          <w:t>https://doi.org/10.1016/j.ejor.2020.12.013</w:t>
        </w:r>
      </w:hyperlink>
      <w:r>
        <w:rPr>
          <w:rFonts w:cs="Times New Roman"/>
          <w:szCs w:val="24"/>
        </w:rPr>
        <w:t>.</w:t>
      </w:r>
    </w:p>
    <w:p w14:paraId="58F1207B" w14:textId="4C606438"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Khedr, </w:t>
      </w:r>
      <w:r w:rsidR="008405AC">
        <w:rPr>
          <w:rFonts w:cs="Times New Roman"/>
          <w:szCs w:val="24"/>
        </w:rPr>
        <w:t>A.M.,</w:t>
      </w:r>
      <w:r>
        <w:rPr>
          <w:rFonts w:cs="Times New Roman"/>
          <w:szCs w:val="24"/>
        </w:rPr>
        <w:t xml:space="preserve"> and </w:t>
      </w:r>
      <w:r w:rsidR="008405AC">
        <w:rPr>
          <w:rFonts w:cs="Times New Roman"/>
          <w:szCs w:val="24"/>
        </w:rPr>
        <w:t>Sheeja,</w:t>
      </w:r>
      <w:r>
        <w:rPr>
          <w:rFonts w:cs="Times New Roman"/>
          <w:szCs w:val="24"/>
        </w:rPr>
        <w:t xml:space="preserve"> R.S. (2024) ‘Enhancing Supply Chain Management with Deep Learning and Machine Learning Techniques: </w:t>
      </w:r>
      <w:r w:rsidR="008405AC">
        <w:rPr>
          <w:rFonts w:cs="Times New Roman"/>
          <w:szCs w:val="24"/>
        </w:rPr>
        <w:t>A</w:t>
      </w:r>
      <w:r>
        <w:rPr>
          <w:rFonts w:cs="Times New Roman"/>
          <w:szCs w:val="24"/>
        </w:rPr>
        <w:t xml:space="preserve"> Review’, </w:t>
      </w:r>
      <w:r>
        <w:rPr>
          <w:rFonts w:cs="Times New Roman"/>
          <w:i/>
          <w:iCs/>
          <w:szCs w:val="24"/>
        </w:rPr>
        <w:t>Journal of Open Innovation Technology Market and Complexity</w:t>
      </w:r>
      <w:r>
        <w:rPr>
          <w:rFonts w:cs="Times New Roman"/>
          <w:szCs w:val="24"/>
        </w:rPr>
        <w:t xml:space="preserve">, 10(4), pp. 100379–100379. Available at: </w:t>
      </w:r>
      <w:hyperlink r:id="rId17" w:history="1">
        <w:r>
          <w:rPr>
            <w:rStyle w:val="Hyperlink"/>
            <w:rFonts w:cs="Times New Roman"/>
            <w:szCs w:val="24"/>
          </w:rPr>
          <w:t>https://www.sciencedirect.com/science/article/pii/S2199853124001732</w:t>
        </w:r>
      </w:hyperlink>
      <w:r>
        <w:rPr>
          <w:rFonts w:cs="Times New Roman"/>
          <w:szCs w:val="24"/>
        </w:rPr>
        <w:t>.</w:t>
      </w:r>
    </w:p>
    <w:p w14:paraId="3577FF74"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Koot, M., Mes, M.R.K. and Iacob, M.E. (2020) ‘A Systematic Literature Review of Supply Chain Decision Making Supported by the Internet of Things and Big Data Analytics’, </w:t>
      </w:r>
      <w:r>
        <w:rPr>
          <w:rFonts w:cs="Times New Roman"/>
          <w:i/>
          <w:iCs/>
          <w:szCs w:val="24"/>
        </w:rPr>
        <w:t>Computers &amp; Industrial Engineering</w:t>
      </w:r>
      <w:r>
        <w:rPr>
          <w:rFonts w:cs="Times New Roman"/>
          <w:szCs w:val="24"/>
        </w:rPr>
        <w:t xml:space="preserve">, 154(1), p. 107076. Available at: </w:t>
      </w:r>
      <w:hyperlink r:id="rId18" w:history="1">
        <w:r>
          <w:rPr>
            <w:rStyle w:val="Hyperlink"/>
            <w:rFonts w:cs="Times New Roman"/>
            <w:szCs w:val="24"/>
          </w:rPr>
          <w:t>https://doi.org/10.1016/j.cie.2020.107076</w:t>
        </w:r>
      </w:hyperlink>
      <w:r>
        <w:rPr>
          <w:rFonts w:cs="Times New Roman"/>
          <w:szCs w:val="24"/>
        </w:rPr>
        <w:t>.</w:t>
      </w:r>
    </w:p>
    <w:p w14:paraId="578FC6C7"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Lee, Z.-J. </w:t>
      </w:r>
      <w:r>
        <w:rPr>
          <w:rFonts w:cs="Times New Roman"/>
          <w:i/>
          <w:iCs/>
          <w:szCs w:val="24"/>
        </w:rPr>
        <w:t>et al.</w:t>
      </w:r>
      <w:r>
        <w:rPr>
          <w:rFonts w:cs="Times New Roman"/>
          <w:szCs w:val="24"/>
        </w:rPr>
        <w:t xml:space="preserve"> (2021) ‘Clustering and Classification Based on Distributed Automatic Feature Engineering for Customer Segmentation’, </w:t>
      </w:r>
      <w:r>
        <w:rPr>
          <w:rFonts w:cs="Times New Roman"/>
          <w:i/>
          <w:iCs/>
          <w:szCs w:val="24"/>
        </w:rPr>
        <w:t>Symmetry</w:t>
      </w:r>
      <w:r>
        <w:rPr>
          <w:rFonts w:cs="Times New Roman"/>
          <w:szCs w:val="24"/>
        </w:rPr>
        <w:t xml:space="preserve">, 13(9), p. 1557. Available at: </w:t>
      </w:r>
      <w:hyperlink r:id="rId19" w:history="1">
        <w:r>
          <w:rPr>
            <w:rStyle w:val="Hyperlink"/>
            <w:rFonts w:cs="Times New Roman"/>
            <w:szCs w:val="24"/>
          </w:rPr>
          <w:t>https://doi.org/10.3390/sym13091557</w:t>
        </w:r>
      </w:hyperlink>
      <w:r>
        <w:rPr>
          <w:rFonts w:cs="Times New Roman"/>
          <w:szCs w:val="24"/>
        </w:rPr>
        <w:t>.</w:t>
      </w:r>
    </w:p>
    <w:p w14:paraId="41C99EA1"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Li, X. </w:t>
      </w:r>
      <w:r>
        <w:rPr>
          <w:rFonts w:cs="Times New Roman"/>
          <w:i/>
          <w:iCs/>
          <w:szCs w:val="24"/>
        </w:rPr>
        <w:t>et al.</w:t>
      </w:r>
      <w:r>
        <w:rPr>
          <w:rFonts w:cs="Times New Roman"/>
          <w:szCs w:val="24"/>
        </w:rPr>
        <w:t xml:space="preserve"> (2024) </w:t>
      </w:r>
      <w:r>
        <w:rPr>
          <w:rFonts w:cs="Times New Roman"/>
          <w:i/>
          <w:iCs/>
          <w:szCs w:val="24"/>
        </w:rPr>
        <w:t>Data Governance and Data Management in Operations and Supply Chain: A Literature Review</w:t>
      </w:r>
      <w:r>
        <w:rPr>
          <w:rFonts w:cs="Times New Roman"/>
          <w:szCs w:val="24"/>
        </w:rPr>
        <w:t xml:space="preserve">, </w:t>
      </w:r>
      <w:r>
        <w:rPr>
          <w:rFonts w:cs="Times New Roman"/>
          <w:i/>
          <w:iCs/>
          <w:szCs w:val="24"/>
        </w:rPr>
        <w:t>arXiv.org</w:t>
      </w:r>
      <w:r>
        <w:rPr>
          <w:rFonts w:cs="Times New Roman"/>
          <w:szCs w:val="24"/>
        </w:rPr>
        <w:t xml:space="preserve">. Available at: </w:t>
      </w:r>
      <w:hyperlink r:id="rId20" w:history="1">
        <w:r>
          <w:rPr>
            <w:rStyle w:val="Hyperlink"/>
            <w:rFonts w:cs="Times New Roman"/>
            <w:szCs w:val="24"/>
          </w:rPr>
          <w:t>https://doi.org/10.48550/arXiv.2407.06199</w:t>
        </w:r>
      </w:hyperlink>
      <w:r>
        <w:rPr>
          <w:rFonts w:cs="Times New Roman"/>
          <w:szCs w:val="24"/>
        </w:rPr>
        <w:t>.</w:t>
      </w:r>
    </w:p>
    <w:p w14:paraId="6ED75443"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Melançon, G.G. </w:t>
      </w:r>
      <w:r>
        <w:rPr>
          <w:rFonts w:cs="Times New Roman"/>
          <w:i/>
          <w:iCs/>
          <w:szCs w:val="24"/>
        </w:rPr>
        <w:t>et al.</w:t>
      </w:r>
      <w:r>
        <w:rPr>
          <w:rFonts w:cs="Times New Roman"/>
          <w:szCs w:val="24"/>
        </w:rPr>
        <w:t xml:space="preserve"> (2021) ‘A Machine Learning-Based System for Predicting Service-Level Failures in Supply Chains’, </w:t>
      </w:r>
      <w:r>
        <w:rPr>
          <w:rFonts w:cs="Times New Roman"/>
          <w:i/>
          <w:iCs/>
          <w:szCs w:val="24"/>
        </w:rPr>
        <w:t>INFORMS Journal on Applied Analytics</w:t>
      </w:r>
      <w:r>
        <w:rPr>
          <w:rFonts w:cs="Times New Roman"/>
          <w:szCs w:val="24"/>
        </w:rPr>
        <w:t xml:space="preserve">, 51(3), pp. 200–212. Available at: </w:t>
      </w:r>
      <w:hyperlink r:id="rId21" w:history="1">
        <w:r>
          <w:rPr>
            <w:rStyle w:val="Hyperlink"/>
            <w:rFonts w:cs="Times New Roman"/>
            <w:szCs w:val="24"/>
          </w:rPr>
          <w:t>https://doi.org/10.1287/inte.2020.1055</w:t>
        </w:r>
      </w:hyperlink>
      <w:r>
        <w:rPr>
          <w:rFonts w:cs="Times New Roman"/>
          <w:szCs w:val="24"/>
        </w:rPr>
        <w:t>.</w:t>
      </w:r>
    </w:p>
    <w:p w14:paraId="55C87D02"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Merchán, D. </w:t>
      </w:r>
      <w:r>
        <w:rPr>
          <w:rFonts w:cs="Times New Roman"/>
          <w:i/>
          <w:iCs/>
          <w:szCs w:val="24"/>
        </w:rPr>
        <w:t>et al.</w:t>
      </w:r>
      <w:r>
        <w:rPr>
          <w:rFonts w:cs="Times New Roman"/>
          <w:szCs w:val="24"/>
        </w:rPr>
        <w:t xml:space="preserve"> (2022) ‘2021 Amazon Last Mile Routing Research Challenge: Data Set’, </w:t>
      </w:r>
      <w:r>
        <w:rPr>
          <w:rFonts w:cs="Times New Roman"/>
          <w:i/>
          <w:iCs/>
          <w:szCs w:val="24"/>
        </w:rPr>
        <w:t>Transportation Science</w:t>
      </w:r>
      <w:r>
        <w:rPr>
          <w:rFonts w:cs="Times New Roman"/>
          <w:szCs w:val="24"/>
        </w:rPr>
        <w:t xml:space="preserve">, 58(4). Available at: </w:t>
      </w:r>
      <w:hyperlink r:id="rId22" w:history="1">
        <w:r>
          <w:rPr>
            <w:rStyle w:val="Hyperlink"/>
            <w:rFonts w:cs="Times New Roman"/>
            <w:szCs w:val="24"/>
          </w:rPr>
          <w:t>https://doi.org/10.1287/trsc.2022.1173</w:t>
        </w:r>
      </w:hyperlink>
      <w:r>
        <w:rPr>
          <w:rFonts w:cs="Times New Roman"/>
          <w:szCs w:val="24"/>
        </w:rPr>
        <w:t>.</w:t>
      </w:r>
    </w:p>
    <w:p w14:paraId="07709A82"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Mohedano-Munoz, M.A. </w:t>
      </w:r>
      <w:r>
        <w:rPr>
          <w:rFonts w:cs="Times New Roman"/>
          <w:i/>
          <w:iCs/>
          <w:szCs w:val="24"/>
        </w:rPr>
        <w:t>et al.</w:t>
      </w:r>
      <w:r>
        <w:rPr>
          <w:rFonts w:cs="Times New Roman"/>
          <w:szCs w:val="24"/>
        </w:rPr>
        <w:t xml:space="preserve"> (2023) ‘A streaming data visualization framework for supporting decision-making in the Intensive Care Unit’, </w:t>
      </w:r>
      <w:r>
        <w:rPr>
          <w:rFonts w:cs="Times New Roman"/>
          <w:i/>
          <w:iCs/>
          <w:szCs w:val="24"/>
        </w:rPr>
        <w:t>Expert Systems with Applications</w:t>
      </w:r>
      <w:r>
        <w:rPr>
          <w:rFonts w:cs="Times New Roman"/>
          <w:szCs w:val="24"/>
        </w:rPr>
        <w:t xml:space="preserve">, 227(2), p. 120252. Available at: </w:t>
      </w:r>
      <w:hyperlink r:id="rId23" w:history="1">
        <w:r>
          <w:rPr>
            <w:rStyle w:val="Hyperlink"/>
            <w:rFonts w:cs="Times New Roman"/>
            <w:szCs w:val="24"/>
          </w:rPr>
          <w:t>https://doi.org/10.1016/j.eswa.2023.120252</w:t>
        </w:r>
      </w:hyperlink>
      <w:r>
        <w:rPr>
          <w:rFonts w:cs="Times New Roman"/>
          <w:szCs w:val="24"/>
        </w:rPr>
        <w:t>.</w:t>
      </w:r>
    </w:p>
    <w:p w14:paraId="05E42C78"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Morshedlou, N. </w:t>
      </w:r>
      <w:r>
        <w:rPr>
          <w:rFonts w:cs="Times New Roman"/>
          <w:i/>
          <w:iCs/>
          <w:szCs w:val="24"/>
        </w:rPr>
        <w:t>et al.</w:t>
      </w:r>
      <w:r>
        <w:rPr>
          <w:rFonts w:cs="Times New Roman"/>
          <w:szCs w:val="24"/>
        </w:rPr>
        <w:t xml:space="preserve"> (2021) ‘A heuristic approach to an interdependent restoration planning and crew routing problem’, </w:t>
      </w:r>
      <w:r>
        <w:rPr>
          <w:rFonts w:cs="Times New Roman"/>
          <w:i/>
          <w:iCs/>
          <w:szCs w:val="24"/>
        </w:rPr>
        <w:t>Computers &amp; Industrial Engineering</w:t>
      </w:r>
      <w:r>
        <w:rPr>
          <w:rFonts w:cs="Times New Roman"/>
          <w:szCs w:val="24"/>
        </w:rPr>
        <w:t xml:space="preserve">, 161(107626), p. 107626. Available at: </w:t>
      </w:r>
      <w:hyperlink r:id="rId24" w:history="1">
        <w:r>
          <w:rPr>
            <w:rStyle w:val="Hyperlink"/>
            <w:rFonts w:cs="Times New Roman"/>
            <w:szCs w:val="24"/>
          </w:rPr>
          <w:t>https://doi.org/10.1016/j.cie.2021.107626</w:t>
        </w:r>
      </w:hyperlink>
      <w:r>
        <w:rPr>
          <w:rFonts w:cs="Times New Roman"/>
          <w:szCs w:val="24"/>
        </w:rPr>
        <w:t>.</w:t>
      </w:r>
    </w:p>
    <w:p w14:paraId="1D8AB6C3"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Perotti, S. </w:t>
      </w:r>
      <w:r>
        <w:rPr>
          <w:rFonts w:cs="Times New Roman"/>
          <w:i/>
          <w:iCs/>
          <w:szCs w:val="24"/>
        </w:rPr>
        <w:t>et al.</w:t>
      </w:r>
      <w:r>
        <w:rPr>
          <w:rFonts w:cs="Times New Roman"/>
          <w:szCs w:val="24"/>
        </w:rPr>
        <w:t xml:space="preserve"> (2022) ‘Logistics 4.0 in warehousing: a conceptual framework of influencing </w:t>
      </w:r>
      <w:r>
        <w:rPr>
          <w:rFonts w:cs="Times New Roman"/>
          <w:szCs w:val="24"/>
        </w:rPr>
        <w:lastRenderedPageBreak/>
        <w:t xml:space="preserve">factors, benefits and barriers’, </w:t>
      </w:r>
      <w:r>
        <w:rPr>
          <w:rFonts w:cs="Times New Roman"/>
          <w:i/>
          <w:iCs/>
          <w:szCs w:val="24"/>
        </w:rPr>
        <w:t>The International Journal of Logistics Management</w:t>
      </w:r>
      <w:r>
        <w:rPr>
          <w:rFonts w:cs="Times New Roman"/>
          <w:szCs w:val="24"/>
        </w:rPr>
        <w:t xml:space="preserve">, 33(5), pp. 193–220. Available at: </w:t>
      </w:r>
      <w:hyperlink r:id="rId25" w:history="1">
        <w:r>
          <w:rPr>
            <w:rStyle w:val="Hyperlink"/>
            <w:rFonts w:cs="Times New Roman"/>
            <w:szCs w:val="24"/>
          </w:rPr>
          <w:t>https://doi.org/10.1108/ijlm-02-2022-0068</w:t>
        </w:r>
      </w:hyperlink>
      <w:r>
        <w:rPr>
          <w:rFonts w:cs="Times New Roman"/>
          <w:szCs w:val="24"/>
        </w:rPr>
        <w:t>.</w:t>
      </w:r>
    </w:p>
    <w:p w14:paraId="6D920F09"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Pina, E. </w:t>
      </w:r>
      <w:r>
        <w:rPr>
          <w:rFonts w:cs="Times New Roman"/>
          <w:i/>
          <w:iCs/>
          <w:szCs w:val="24"/>
        </w:rPr>
        <w:t>et al.</w:t>
      </w:r>
      <w:r>
        <w:rPr>
          <w:rFonts w:cs="Times New Roman"/>
          <w:szCs w:val="24"/>
        </w:rPr>
        <w:t xml:space="preserve"> (2024) ‘Data Privacy and Ethical Considerations in Database Management’, </w:t>
      </w:r>
      <w:r>
        <w:rPr>
          <w:rFonts w:cs="Times New Roman"/>
          <w:i/>
          <w:iCs/>
          <w:szCs w:val="24"/>
        </w:rPr>
        <w:t>Journal of Cybersecurity and Privacy</w:t>
      </w:r>
      <w:r>
        <w:rPr>
          <w:rFonts w:cs="Times New Roman"/>
          <w:szCs w:val="24"/>
        </w:rPr>
        <w:t xml:space="preserve">, 4(3), pp. 494–517. Available at: </w:t>
      </w:r>
      <w:hyperlink r:id="rId26" w:history="1">
        <w:r>
          <w:rPr>
            <w:rStyle w:val="Hyperlink"/>
            <w:rFonts w:cs="Times New Roman"/>
            <w:szCs w:val="24"/>
          </w:rPr>
          <w:t>https://doi.org/10.3390/jcp4030024</w:t>
        </w:r>
      </w:hyperlink>
      <w:r>
        <w:rPr>
          <w:rFonts w:cs="Times New Roman"/>
          <w:szCs w:val="24"/>
        </w:rPr>
        <w:t>.</w:t>
      </w:r>
    </w:p>
    <w:p w14:paraId="1757AEF4"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Rolf, B. </w:t>
      </w:r>
      <w:r>
        <w:rPr>
          <w:rFonts w:cs="Times New Roman"/>
          <w:i/>
          <w:iCs/>
          <w:szCs w:val="24"/>
        </w:rPr>
        <w:t>et al.</w:t>
      </w:r>
      <w:r>
        <w:rPr>
          <w:rFonts w:cs="Times New Roman"/>
          <w:szCs w:val="24"/>
        </w:rPr>
        <w:t xml:space="preserve"> (2024) ‘A Review on Unsupervised Learning Algorithms and Applications in Supply Chain Management’, </w:t>
      </w:r>
      <w:r>
        <w:rPr>
          <w:rFonts w:cs="Times New Roman"/>
          <w:i/>
          <w:iCs/>
          <w:szCs w:val="24"/>
        </w:rPr>
        <w:t>International Journal of Production Research</w:t>
      </w:r>
      <w:r>
        <w:rPr>
          <w:rFonts w:cs="Times New Roman"/>
          <w:szCs w:val="24"/>
        </w:rPr>
        <w:t xml:space="preserve">, 63(5), pp. 1–51. Available at: </w:t>
      </w:r>
      <w:hyperlink r:id="rId27" w:history="1">
        <w:r>
          <w:rPr>
            <w:rStyle w:val="Hyperlink"/>
            <w:rFonts w:cs="Times New Roman"/>
            <w:szCs w:val="24"/>
          </w:rPr>
          <w:t>https://doi.org/10.1080/00207543.2024.2390968</w:t>
        </w:r>
      </w:hyperlink>
      <w:r>
        <w:rPr>
          <w:rFonts w:cs="Times New Roman"/>
          <w:szCs w:val="24"/>
        </w:rPr>
        <w:t>.</w:t>
      </w:r>
    </w:p>
    <w:p w14:paraId="19DF82A9"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Sina Mohri, S. </w:t>
      </w:r>
      <w:r>
        <w:rPr>
          <w:rFonts w:cs="Times New Roman"/>
          <w:i/>
          <w:iCs/>
          <w:szCs w:val="24"/>
        </w:rPr>
        <w:t>et al.</w:t>
      </w:r>
      <w:r>
        <w:rPr>
          <w:rFonts w:cs="Times New Roman"/>
          <w:szCs w:val="24"/>
        </w:rPr>
        <w:t xml:space="preserve"> (2024) ‘Contextualizing alternative delivery points in last mile delivery’, </w:t>
      </w:r>
      <w:r>
        <w:rPr>
          <w:rFonts w:cs="Times New Roman"/>
          <w:i/>
          <w:iCs/>
          <w:szCs w:val="24"/>
        </w:rPr>
        <w:t>Transportation Research Part E: Logistics and Transportation Review</w:t>
      </w:r>
      <w:r>
        <w:rPr>
          <w:rFonts w:cs="Times New Roman"/>
          <w:szCs w:val="24"/>
        </w:rPr>
        <w:t xml:space="preserve">, 192(E), p. 103787. Available at: </w:t>
      </w:r>
      <w:hyperlink r:id="rId28" w:history="1">
        <w:r>
          <w:rPr>
            <w:rStyle w:val="Hyperlink"/>
            <w:rFonts w:cs="Times New Roman"/>
            <w:szCs w:val="24"/>
          </w:rPr>
          <w:t>https://doi.org/10.1016/j.tre.2024.103787</w:t>
        </w:r>
      </w:hyperlink>
      <w:r>
        <w:rPr>
          <w:rFonts w:cs="Times New Roman"/>
          <w:szCs w:val="24"/>
        </w:rPr>
        <w:t>.</w:t>
      </w:r>
    </w:p>
    <w:p w14:paraId="2EA453D4"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Tian, Z. and Zhang, G. (2021) ‘Multi-echelon Fulfillment Warehouse Rent and Production Allocation for Online Direct Selling’, </w:t>
      </w:r>
      <w:r>
        <w:rPr>
          <w:rFonts w:cs="Times New Roman"/>
          <w:i/>
          <w:iCs/>
          <w:szCs w:val="24"/>
        </w:rPr>
        <w:t>Annals of Operations Research</w:t>
      </w:r>
      <w:r>
        <w:rPr>
          <w:rFonts w:cs="Times New Roman"/>
          <w:szCs w:val="24"/>
        </w:rPr>
        <w:t xml:space="preserve">, 304(1-2), pp. 427–451. Available at: </w:t>
      </w:r>
      <w:hyperlink r:id="rId29" w:history="1">
        <w:r>
          <w:rPr>
            <w:rStyle w:val="Hyperlink"/>
            <w:rFonts w:cs="Times New Roman"/>
            <w:szCs w:val="24"/>
          </w:rPr>
          <w:t>https://doi.org/10.1007/s10479-021-04202-0</w:t>
        </w:r>
      </w:hyperlink>
      <w:r>
        <w:rPr>
          <w:rFonts w:cs="Times New Roman"/>
          <w:szCs w:val="24"/>
        </w:rPr>
        <w:t>.</w:t>
      </w:r>
    </w:p>
    <w:p w14:paraId="7130BBF6" w14:textId="209774A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Tiwari, M.K. </w:t>
      </w:r>
      <w:r>
        <w:rPr>
          <w:rFonts w:cs="Times New Roman"/>
          <w:i/>
          <w:iCs/>
          <w:szCs w:val="24"/>
        </w:rPr>
        <w:t>et al.</w:t>
      </w:r>
      <w:r>
        <w:rPr>
          <w:rFonts w:cs="Times New Roman"/>
          <w:szCs w:val="24"/>
        </w:rPr>
        <w:t xml:space="preserve"> (2024) ‘Supply Chain </w:t>
      </w:r>
      <w:r w:rsidR="008405AC">
        <w:rPr>
          <w:rFonts w:cs="Times New Roman"/>
          <w:szCs w:val="24"/>
        </w:rPr>
        <w:t>Digitization</w:t>
      </w:r>
      <w:r>
        <w:rPr>
          <w:rFonts w:cs="Times New Roman"/>
          <w:szCs w:val="24"/>
        </w:rPr>
        <w:t xml:space="preserve"> and Management’, </w:t>
      </w:r>
      <w:r>
        <w:rPr>
          <w:rFonts w:cs="Times New Roman"/>
          <w:i/>
          <w:iCs/>
          <w:szCs w:val="24"/>
        </w:rPr>
        <w:t>International Journal of Production Research</w:t>
      </w:r>
      <w:r>
        <w:rPr>
          <w:rFonts w:cs="Times New Roman"/>
          <w:szCs w:val="24"/>
        </w:rPr>
        <w:t xml:space="preserve">, 62(8), pp. 2918–2926. Available at: </w:t>
      </w:r>
      <w:hyperlink r:id="rId30" w:history="1">
        <w:r>
          <w:rPr>
            <w:rStyle w:val="Hyperlink"/>
            <w:rFonts w:cs="Times New Roman"/>
            <w:szCs w:val="24"/>
          </w:rPr>
          <w:t>https://doi.org/10.1080/00207543.2024.2316476</w:t>
        </w:r>
      </w:hyperlink>
      <w:r>
        <w:rPr>
          <w:rFonts w:cs="Times New Roman"/>
          <w:szCs w:val="24"/>
        </w:rPr>
        <w:t>.</w:t>
      </w:r>
    </w:p>
    <w:p w14:paraId="75A7C54C" w14:textId="77777777"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Wei, Y., Nan, H. and Wei, G. (2020) ‘The Impact of Employee Welfare on Innovation performance: Evidence from China’s Manufacturing Corporations’, </w:t>
      </w:r>
      <w:r>
        <w:rPr>
          <w:rFonts w:cs="Times New Roman"/>
          <w:i/>
          <w:iCs/>
          <w:szCs w:val="24"/>
        </w:rPr>
        <w:t>International Journal of Production Economics</w:t>
      </w:r>
      <w:r>
        <w:rPr>
          <w:rFonts w:cs="Times New Roman"/>
          <w:szCs w:val="24"/>
        </w:rPr>
        <w:t xml:space="preserve">, 228(107753), p. 107753. Available at: </w:t>
      </w:r>
      <w:hyperlink r:id="rId31" w:history="1">
        <w:r>
          <w:rPr>
            <w:rStyle w:val="Hyperlink"/>
            <w:rFonts w:cs="Times New Roman"/>
            <w:szCs w:val="24"/>
          </w:rPr>
          <w:t>https://doi.org/10.1016/j.ijpe.2020.107753</w:t>
        </w:r>
      </w:hyperlink>
      <w:r>
        <w:rPr>
          <w:rFonts w:cs="Times New Roman"/>
          <w:szCs w:val="24"/>
        </w:rPr>
        <w:t>.</w:t>
      </w:r>
    </w:p>
    <w:p w14:paraId="4048FB68" w14:textId="05725D4C" w:rsidR="00244E67" w:rsidRDefault="00244E67" w:rsidP="00244E67">
      <w:pPr>
        <w:widowControl w:val="0"/>
        <w:autoSpaceDE w:val="0"/>
        <w:autoSpaceDN w:val="0"/>
        <w:adjustRightInd w:val="0"/>
        <w:spacing w:after="240" w:line="360" w:lineRule="auto"/>
        <w:rPr>
          <w:rFonts w:cs="Times New Roman"/>
          <w:szCs w:val="24"/>
        </w:rPr>
      </w:pPr>
      <w:r>
        <w:rPr>
          <w:rFonts w:cs="Times New Roman"/>
          <w:szCs w:val="24"/>
        </w:rPr>
        <w:t xml:space="preserve">Zhu, Q., Krikke, H. and Caniëls, M.C.J. (2021) ‘The Effects of Different Supply Chain Integration Strategies on Disruption Recovery: </w:t>
      </w:r>
      <w:r w:rsidR="008405AC">
        <w:rPr>
          <w:rFonts w:cs="Times New Roman"/>
          <w:szCs w:val="24"/>
        </w:rPr>
        <w:t>A</w:t>
      </w:r>
      <w:r>
        <w:rPr>
          <w:rFonts w:cs="Times New Roman"/>
          <w:szCs w:val="24"/>
        </w:rPr>
        <w:t xml:space="preserve"> System Dynamics Study on the Cheese Industry’, </w:t>
      </w:r>
      <w:r>
        <w:rPr>
          <w:rFonts w:cs="Times New Roman"/>
          <w:i/>
          <w:iCs/>
          <w:szCs w:val="24"/>
        </w:rPr>
        <w:t>Logistics</w:t>
      </w:r>
      <w:r>
        <w:rPr>
          <w:rFonts w:cs="Times New Roman"/>
          <w:szCs w:val="24"/>
        </w:rPr>
        <w:t xml:space="preserve">, 5(2), p. 19. Available at: </w:t>
      </w:r>
      <w:hyperlink r:id="rId32" w:history="1">
        <w:r>
          <w:rPr>
            <w:rStyle w:val="Hyperlink"/>
            <w:rFonts w:cs="Times New Roman"/>
            <w:szCs w:val="24"/>
          </w:rPr>
          <w:t>https://doi.org/10.3390/logistics5020019</w:t>
        </w:r>
      </w:hyperlink>
      <w:r>
        <w:rPr>
          <w:rFonts w:cs="Times New Roman"/>
          <w:szCs w:val="24"/>
        </w:rPr>
        <w:t>.</w:t>
      </w:r>
    </w:p>
    <w:p w14:paraId="44B1AA5A" w14:textId="06BC29C2" w:rsidR="006116E8" w:rsidRDefault="006116E8" w:rsidP="00244E67">
      <w:pPr>
        <w:spacing w:line="360" w:lineRule="auto"/>
      </w:pPr>
    </w:p>
    <w:sectPr w:rsidR="006116E8" w:rsidSect="004C3FEF">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4CEB0C" w14:textId="77777777" w:rsidR="002C3963" w:rsidRDefault="002C3963" w:rsidP="00244E67">
      <w:pPr>
        <w:spacing w:after="0" w:line="240" w:lineRule="auto"/>
      </w:pPr>
      <w:r>
        <w:separator/>
      </w:r>
    </w:p>
  </w:endnote>
  <w:endnote w:type="continuationSeparator" w:id="0">
    <w:p w14:paraId="4C6526F5" w14:textId="77777777" w:rsidR="002C3963" w:rsidRDefault="002C3963" w:rsidP="00244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E104F4" w14:textId="77777777" w:rsidR="00244E67" w:rsidRDefault="00244E67">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5F2A436D" w14:textId="77777777" w:rsidR="00244E67" w:rsidRDefault="00244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D1731" w14:textId="77777777" w:rsidR="002C3963" w:rsidRDefault="002C3963" w:rsidP="00244E67">
      <w:pPr>
        <w:spacing w:after="0" w:line="240" w:lineRule="auto"/>
      </w:pPr>
      <w:r>
        <w:separator/>
      </w:r>
    </w:p>
  </w:footnote>
  <w:footnote w:type="continuationSeparator" w:id="0">
    <w:p w14:paraId="05BC4CB1" w14:textId="77777777" w:rsidR="002C3963" w:rsidRDefault="002C3963" w:rsidP="00244E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92714910">
    <w:abstractNumId w:val="8"/>
  </w:num>
  <w:num w:numId="2" w16cid:durableId="875387148">
    <w:abstractNumId w:val="6"/>
  </w:num>
  <w:num w:numId="3" w16cid:durableId="111437727">
    <w:abstractNumId w:val="5"/>
  </w:num>
  <w:num w:numId="4" w16cid:durableId="2037542367">
    <w:abstractNumId w:val="4"/>
  </w:num>
  <w:num w:numId="5" w16cid:durableId="1255356534">
    <w:abstractNumId w:val="7"/>
  </w:num>
  <w:num w:numId="6" w16cid:durableId="581990652">
    <w:abstractNumId w:val="3"/>
  </w:num>
  <w:num w:numId="7" w16cid:durableId="917592217">
    <w:abstractNumId w:val="2"/>
  </w:num>
  <w:num w:numId="8" w16cid:durableId="1648825441">
    <w:abstractNumId w:val="1"/>
  </w:num>
  <w:num w:numId="9" w16cid:durableId="59444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4BA5"/>
    <w:rsid w:val="00130700"/>
    <w:rsid w:val="0015074B"/>
    <w:rsid w:val="00244E67"/>
    <w:rsid w:val="0029639D"/>
    <w:rsid w:val="002C3963"/>
    <w:rsid w:val="00326F90"/>
    <w:rsid w:val="00387837"/>
    <w:rsid w:val="00452815"/>
    <w:rsid w:val="004C3D19"/>
    <w:rsid w:val="004C3FEF"/>
    <w:rsid w:val="006116E8"/>
    <w:rsid w:val="00757EF8"/>
    <w:rsid w:val="008405AC"/>
    <w:rsid w:val="0088786A"/>
    <w:rsid w:val="00AA1D8D"/>
    <w:rsid w:val="00B47730"/>
    <w:rsid w:val="00B629D2"/>
    <w:rsid w:val="00CB0664"/>
    <w:rsid w:val="00DB249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010B3C"/>
  <w14:defaultImageDpi w14:val="300"/>
  <w15:docId w15:val="{D93D550A-DA27-4629-BDED-96EC77480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88786A"/>
    <w:rPr>
      <w:color w:val="0000FF" w:themeColor="hyperlink"/>
      <w:u w:val="single"/>
    </w:rPr>
  </w:style>
  <w:style w:type="character" w:styleId="UnresolvedMention">
    <w:name w:val="Unresolved Mention"/>
    <w:basedOn w:val="DefaultParagraphFont"/>
    <w:uiPriority w:val="99"/>
    <w:semiHidden/>
    <w:unhideWhenUsed/>
    <w:rsid w:val="0088786A"/>
    <w:rPr>
      <w:color w:val="605E5C"/>
      <w:shd w:val="clear" w:color="auto" w:fill="E1DFDD"/>
    </w:rPr>
  </w:style>
  <w:style w:type="character" w:styleId="FollowedHyperlink">
    <w:name w:val="FollowedHyperlink"/>
    <w:basedOn w:val="DefaultParagraphFont"/>
    <w:uiPriority w:val="99"/>
    <w:semiHidden/>
    <w:unhideWhenUsed/>
    <w:rsid w:val="00387837"/>
    <w:rPr>
      <w:color w:val="800080" w:themeColor="followedHyperlink"/>
      <w:u w:val="single"/>
    </w:rPr>
  </w:style>
  <w:style w:type="paragraph" w:styleId="TOC1">
    <w:name w:val="toc 1"/>
    <w:basedOn w:val="Normal"/>
    <w:next w:val="Normal"/>
    <w:autoRedefine/>
    <w:uiPriority w:val="39"/>
    <w:unhideWhenUsed/>
    <w:rsid w:val="00244E6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5842512">
      <w:bodyDiv w:val="1"/>
      <w:marLeft w:val="0"/>
      <w:marRight w:val="0"/>
      <w:marTop w:val="0"/>
      <w:marBottom w:val="0"/>
      <w:divBdr>
        <w:top w:val="none" w:sz="0" w:space="0" w:color="auto"/>
        <w:left w:val="none" w:sz="0" w:space="0" w:color="auto"/>
        <w:bottom w:val="none" w:sz="0" w:space="0" w:color="auto"/>
        <w:right w:val="none" w:sz="0" w:space="0" w:color="auto"/>
      </w:divBdr>
    </w:div>
    <w:div w:id="13286770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cie.2018.12.017" TargetMode="External"/><Relationship Id="rId18" Type="http://schemas.openxmlformats.org/officeDocument/2006/relationships/hyperlink" Target="https://doi.org/10.1016/j.cie.2020.107076" TargetMode="External"/><Relationship Id="rId26" Type="http://schemas.openxmlformats.org/officeDocument/2006/relationships/hyperlink" Target="https://doi.org/10.3390/jcp4030024" TargetMode="External"/><Relationship Id="rId3" Type="http://schemas.openxmlformats.org/officeDocument/2006/relationships/styles" Target="styles.xml"/><Relationship Id="rId21" Type="http://schemas.openxmlformats.org/officeDocument/2006/relationships/hyperlink" Target="https://doi.org/10.1287/inte.2020.1055"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dss.2022.113748" TargetMode="External"/><Relationship Id="rId17" Type="http://schemas.openxmlformats.org/officeDocument/2006/relationships/hyperlink" Target="https://www.sciencedirect.com/science/article/pii/S2199853124001732" TargetMode="External"/><Relationship Id="rId25" Type="http://schemas.openxmlformats.org/officeDocument/2006/relationships/hyperlink" Target="https://doi.org/10.1108/ijlm-02-2022-0068"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ejor.2020.12.013" TargetMode="External"/><Relationship Id="rId20" Type="http://schemas.openxmlformats.org/officeDocument/2006/relationships/hyperlink" Target="https://doi.org/10.48550/arXiv.2407.06199" TargetMode="External"/><Relationship Id="rId29" Type="http://schemas.openxmlformats.org/officeDocument/2006/relationships/hyperlink" Target="https://doi.org/10.1007/s10479-021-042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1387/oscm0560411" TargetMode="External"/><Relationship Id="rId24" Type="http://schemas.openxmlformats.org/officeDocument/2006/relationships/hyperlink" Target="https://doi.org/10.1016/j.cie.2021.107626" TargetMode="External"/><Relationship Id="rId32" Type="http://schemas.openxmlformats.org/officeDocument/2006/relationships/hyperlink" Target="https://doi.org/10.3390/logistics5020019" TargetMode="External"/><Relationship Id="rId5" Type="http://schemas.openxmlformats.org/officeDocument/2006/relationships/webSettings" Target="webSettings.xml"/><Relationship Id="rId15" Type="http://schemas.openxmlformats.org/officeDocument/2006/relationships/hyperlink" Target="https://doi.org/10.1016/j.tre.2024.103535" TargetMode="External"/><Relationship Id="rId23" Type="http://schemas.openxmlformats.org/officeDocument/2006/relationships/hyperlink" Target="https://doi.org/10.1016/j.eswa.2023.120252" TargetMode="External"/><Relationship Id="rId28" Type="http://schemas.openxmlformats.org/officeDocument/2006/relationships/hyperlink" Target="https://doi.org/10.1016/j.tre.2024.103787" TargetMode="External"/><Relationship Id="rId10" Type="http://schemas.openxmlformats.org/officeDocument/2006/relationships/hyperlink" Target="https://doi.org/10.1016/j.cor.2023.106262" TargetMode="External"/><Relationship Id="rId19" Type="http://schemas.openxmlformats.org/officeDocument/2006/relationships/hyperlink" Target="https://doi.org/10.3390/sym13091557" TargetMode="External"/><Relationship Id="rId31" Type="http://schemas.openxmlformats.org/officeDocument/2006/relationships/hyperlink" Target="https://doi.org/10.1016/j.ijpe.2020.107753" TargetMode="External"/><Relationship Id="rId4" Type="http://schemas.openxmlformats.org/officeDocument/2006/relationships/settings" Target="settings.xml"/><Relationship Id="rId9" Type="http://schemas.openxmlformats.org/officeDocument/2006/relationships/hyperlink" Target="https://doi.org/10.1108/ijlm-06-2020-0237" TargetMode="External"/><Relationship Id="rId14" Type="http://schemas.openxmlformats.org/officeDocument/2006/relationships/hyperlink" Target="https://doi.org/10.3390/su14095329" TargetMode="External"/><Relationship Id="rId22" Type="http://schemas.openxmlformats.org/officeDocument/2006/relationships/hyperlink" Target="https://doi.org/10.1287/trsc.2022.1173" TargetMode="External"/><Relationship Id="rId27" Type="http://schemas.openxmlformats.org/officeDocument/2006/relationships/hyperlink" Target="https://doi.org/10.1080/00207543.2024.2390968" TargetMode="External"/><Relationship Id="rId30" Type="http://schemas.openxmlformats.org/officeDocument/2006/relationships/hyperlink" Target="https://doi.org/10.1080/00207543.2024.2316476" TargetMode="External"/><Relationship Id="rId35" Type="http://schemas.openxmlformats.org/officeDocument/2006/relationships/theme" Target="theme/theme1.xml"/><Relationship Id="rId8" Type="http://schemas.openxmlformats.org/officeDocument/2006/relationships/hyperlink" Target="https://doi.org/10.3390/su1520150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3037</TotalTime>
  <Pages>12</Pages>
  <Words>3567</Words>
  <Characters>20335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23855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Corneliu Bogdan Dan (2310378)</cp:lastModifiedBy>
  <cp:revision>4</cp:revision>
  <dcterms:created xsi:type="dcterms:W3CDTF">2013-12-23T23:15:00Z</dcterms:created>
  <dcterms:modified xsi:type="dcterms:W3CDTF">2025-10-15T18:07:00Z</dcterms:modified>
  <cp:category/>
</cp:coreProperties>
</file>