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806465599"/>
        <w:docPartObj>
          <w:docPartGallery w:val="Cover Pages"/>
          <w:docPartUnique/>
        </w:docPartObj>
      </w:sdtPr>
      <w:sdtEndPr>
        <w:rPr>
          <w:rFonts w:ascii="Arial" w:hAnsi="Arial" w:cs="Arial"/>
        </w:rPr>
      </w:sdtEndPr>
      <w:sdtContent>
        <w:p w14:paraId="4301F713" w14:textId="77777777" w:rsidR="00C779A2" w:rsidRDefault="00C779A2">
          <w:pPr>
            <w:pStyle w:val="NoSpacing"/>
          </w:pPr>
          <w:r>
            <w:rPr>
              <w:noProof/>
              <w:lang w:val="en-GB" w:eastAsia="en-GB"/>
            </w:rPr>
            <mc:AlternateContent>
              <mc:Choice Requires="wpg">
                <w:drawing>
                  <wp:anchor distT="0" distB="0" distL="114300" distR="114300" simplePos="0" relativeHeight="251659264" behindDoc="1" locked="0" layoutInCell="1" allowOverlap="1" wp14:anchorId="73A9B854" wp14:editId="511166E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15T00:00:00Z">
                                      <w:dateFormat w:val="M/d/yyyy"/>
                                      <w:lid w:val="en-US"/>
                                      <w:storeMappedDataAs w:val="dateTime"/>
                                      <w:calendar w:val="gregorian"/>
                                    </w:date>
                                  </w:sdtPr>
                                  <w:sdtEndPr/>
                                  <w:sdtContent>
                                    <w:p w14:paraId="2FA754D1" w14:textId="410D2A26" w:rsidR="00C779A2" w:rsidRDefault="009145E9">
                                      <w:pPr>
                                        <w:pStyle w:val="NoSpacing"/>
                                        <w:jc w:val="right"/>
                                        <w:rPr>
                                          <w:color w:val="FFFFFF" w:themeColor="background1"/>
                                          <w:sz w:val="28"/>
                                          <w:szCs w:val="28"/>
                                        </w:rPr>
                                      </w:pPr>
                                      <w:r>
                                        <w:rPr>
                                          <w:color w:val="FFFFFF" w:themeColor="background1"/>
                                          <w:sz w:val="28"/>
                                          <w:szCs w:val="28"/>
                                        </w:rPr>
                                        <w:t>4/15/2026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A9B85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15T00:00:00Z">
                                <w:dateFormat w:val="M/d/yyyy"/>
                                <w:lid w:val="en-US"/>
                                <w:storeMappedDataAs w:val="dateTime"/>
                                <w:calendar w:val="gregorian"/>
                              </w:date>
                            </w:sdtPr>
                            <w:sdtEndPr/>
                            <w:sdtContent>
                              <w:p w14:paraId="2FA754D1" w14:textId="410D2A26" w:rsidR="00C779A2" w:rsidRDefault="009145E9">
                                <w:pPr>
                                  <w:pStyle w:val="NoSpacing"/>
                                  <w:jc w:val="right"/>
                                  <w:rPr>
                                    <w:color w:val="FFFFFF" w:themeColor="background1"/>
                                    <w:sz w:val="28"/>
                                    <w:szCs w:val="28"/>
                                  </w:rPr>
                                </w:pPr>
                                <w:r>
                                  <w:rPr>
                                    <w:color w:val="FFFFFF" w:themeColor="background1"/>
                                    <w:sz w:val="28"/>
                                    <w:szCs w:val="28"/>
                                  </w:rPr>
                                  <w:t>4/15/2026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23A6680B" wp14:editId="41F22E9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FFFAC4" w14:textId="77777777" w:rsidR="00C779A2" w:rsidRPr="00C779A2" w:rsidRDefault="008345C6">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b/>
                                        <w:color w:val="262626" w:themeColor="text1" w:themeTint="D9"/>
                                        <w:sz w:val="72"/>
                                        <w:szCs w:val="72"/>
                                      </w:rPr>
                                      <w:t>Network and Cyber Security Essentials</w:t>
                                    </w:r>
                                  </w:sdtContent>
                                </w:sdt>
                              </w:p>
                              <w:p w14:paraId="68440B1D" w14:textId="77777777" w:rsidR="00C779A2" w:rsidRDefault="008345C6">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A6680B"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25FFFAC4" w14:textId="77777777" w:rsidR="00C779A2" w:rsidRPr="00C779A2" w:rsidRDefault="008345C6">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b/>
                                  <w:color w:val="262626" w:themeColor="text1" w:themeTint="D9"/>
                                  <w:sz w:val="72"/>
                                  <w:szCs w:val="72"/>
                                </w:rPr>
                                <w:t>Network and Cyber Security Essentials</w:t>
                              </w:r>
                            </w:sdtContent>
                          </w:sdt>
                        </w:p>
                        <w:p w14:paraId="68440B1D" w14:textId="77777777" w:rsidR="00C779A2" w:rsidRDefault="008345C6">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p>
                      </w:txbxContent>
                    </v:textbox>
                    <w10:wrap anchorx="page" anchory="page"/>
                  </v:shape>
                </w:pict>
              </mc:Fallback>
            </mc:AlternateContent>
          </w:r>
        </w:p>
        <w:p w14:paraId="3D70637A" w14:textId="77777777" w:rsidR="00C779A2" w:rsidRDefault="006A40DA">
          <w:pPr>
            <w:rPr>
              <w:rFonts w:ascii="Arial" w:hAnsi="Arial" w:cs="Arial"/>
            </w:rPr>
          </w:pPr>
          <w:r>
            <w:rPr>
              <w:rFonts w:ascii="Arial" w:hAnsi="Arial" w:cs="Arial"/>
              <w:noProof/>
              <w:lang w:eastAsia="en-GB"/>
            </w:rPr>
            <mc:AlternateContent>
              <mc:Choice Requires="wps">
                <w:drawing>
                  <wp:anchor distT="45720" distB="45720" distL="114300" distR="114300" simplePos="0" relativeHeight="251667456" behindDoc="0" locked="0" layoutInCell="1" allowOverlap="1" wp14:anchorId="02F1FA00" wp14:editId="18108CBF">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51E3C167" w14:textId="77777777" w:rsidR="006A40DA" w:rsidRPr="006A40DA" w:rsidRDefault="006A40DA">
                                <w:pPr>
                                  <w:rPr>
                                    <w:sz w:val="28"/>
                                    <w:szCs w:val="28"/>
                                  </w:rPr>
                                </w:pPr>
                                <w:r>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1FA00" id="Text Box 2" o:spid="_x0000_s1056" type="#_x0000_t202" style="position:absolute;margin-left:229.5pt;margin-top:642.8pt;width:268.5pt;height:3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bTGFAIAACYEAAAOAAAAZHJzL2Uyb0RvYy54bWysU1+P0zAMf0fiO0R5Z+12G9yqdadjxxDS&#10;8Uc6+ABpmq4RaRycbO349Djpbjcd8ILIQ2THzs/2z/bqZugMOyj0GmzJp5OcM2Ul1NruSv7t6/bV&#10;NWc+CFsLA1aV/Kg8v1m/fLHqXaFm0IKpFTICsb7oXcnbEFyRZV62qhN+Ak5ZMjaAnQik4i6rUfSE&#10;3plsluevsx6wdghSeU+vd6ORrxN+0ygZPjeNV4GZklNuId2Y7ire2Xolih0K12p5SkP8Qxad0JaC&#10;nqHuRBBsj/o3qE5LBA9NmEjoMmgaLVWqgaqZ5s+qeWiFU6kWIse7M03+/8HKT4cH9wVZGN7CQA1M&#10;RXh3D/K7ZxY2rbA7dYsIfatETYGnkbKsd744fY1U+8JHkKr/CDU1WewDJKChwS6yQnUyQqcGHM+k&#10;qyEwSY9X83y5XJBJkm2+XFzlqSuZKB5/O/ThvYKORaHkSE1N6OJw70PMRhSPLjGYB6PrrTYmKbir&#10;NgbZQdAAbNNJBTxzM5b1JV8uZouRgL9C5On8CaLTgSbZ6K7k12cnUUTa3tk6zVkQ2owypWzsicdI&#10;3UhiGKqB6brksxgg0lpBfSRiEcbBpUUjoQX8yVlPQ1ty/2MvUHFmPlhqznI6n8cpT8p88WZGCl5a&#10;qkuLsJKgSh44G8VNSJsRebNwS01sdOL3KZNTyjSMifbT4sRpv9ST19N6r38BAAD//wMAUEsDBBQA&#10;BgAIAAAAIQAjo2zc4QAAAA0BAAAPAAAAZHJzL2Rvd25yZXYueG1sTI/BTsMwEETvSPyDtUhcEHVo&#10;WpOEOBVCAsENCoKrG7tJhL0OtpuGv2c5wXFnRrNv6s3sLJtMiINHCVeLDJjB1usBOwlvr/eXBbCY&#10;FGplPRoJ3ybCpjk9qVWl/RFfzLRNHaMSjJWS0Kc0VpzHtjdOxYUfDZK398GpRGfouA7qSOXO8mWW&#10;Ce7UgPShV6O56037uT04CcXqcfqIT/nzeyv2tkwX19PDV5Dy/Gy+vQGWzJz+wvCLT+jQENPOH1BH&#10;ZiWs1iVtSWQsi7UARpGyFCTtSMpFLoA3Nf+/ovkBAAD//wMAUEsBAi0AFAAGAAgAAAAhALaDOJL+&#10;AAAA4QEAABMAAAAAAAAAAAAAAAAAAAAAAFtDb250ZW50X1R5cGVzXS54bWxQSwECLQAUAAYACAAA&#10;ACEAOP0h/9YAAACUAQAACwAAAAAAAAAAAAAAAAAvAQAAX3JlbHMvLnJlbHNQSwECLQAUAAYACAAA&#10;ACEAXNW0xhQCAAAmBAAADgAAAAAAAAAAAAAAAAAuAgAAZHJzL2Uyb0RvYy54bWxQSwECLQAUAAYA&#10;CAAAACEAI6Ns3OEAAAANAQAADwAAAAAAAAAAAAAAAABuBAAAZHJzL2Rvd25yZXYueG1sUEsFBgAA&#10;AAAEAAQA8wAAAHwFAAAAAA==&#10;">
                    <v:textbox>
                      <w:txbxContent>
                        <w:p w14:paraId="51E3C167" w14:textId="77777777" w:rsidR="006A40DA" w:rsidRPr="006A40DA" w:rsidRDefault="006A40DA">
                          <w:pPr>
                            <w:rPr>
                              <w:sz w:val="28"/>
                              <w:szCs w:val="28"/>
                            </w:rPr>
                          </w:pPr>
                          <w:r>
                            <w:rPr>
                              <w:sz w:val="28"/>
                              <w:szCs w:val="28"/>
                            </w:rPr>
                            <w:t>Lecturer’s Name: Dr Kwame Assa-Agyei</w:t>
                          </w:r>
                        </w:p>
                      </w:txbxContent>
                    </v:textbox>
                    <w10:wrap type="square"/>
                  </v:shape>
                </w:pict>
              </mc:Fallback>
            </mc:AlternateContent>
          </w:r>
          <w:r>
            <w:rPr>
              <w:rFonts w:ascii="Arial" w:hAnsi="Arial" w:cs="Arial"/>
              <w:noProof/>
              <w:lang w:eastAsia="en-GB"/>
            </w:rPr>
            <mc:AlternateContent>
              <mc:Choice Requires="wps">
                <w:drawing>
                  <wp:anchor distT="91440" distB="91440" distL="114300" distR="114300" simplePos="0" relativeHeight="251665408" behindDoc="0" locked="0" layoutInCell="1" allowOverlap="1" wp14:anchorId="4DF43E73" wp14:editId="2E0CA210">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15D3970D" w14:textId="408E8F98" w:rsidR="00C779A2" w:rsidRPr="009145E9"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9145E9">
                                  <w:rPr>
                                    <w:i/>
                                    <w:iCs/>
                                    <w:color w:val="5B9BD5" w:themeColor="accent1"/>
                                    <w:sz w:val="24"/>
                                    <w:szCs w:val="24"/>
                                    <w:lang w:val="uk-UA"/>
                                  </w:rPr>
                                  <w:t xml:space="preserve"> </w:t>
                                </w:r>
                                <w:r w:rsidR="009145E9">
                                  <w:rPr>
                                    <w:i/>
                                    <w:iCs/>
                                    <w:color w:val="5B9BD5" w:themeColor="accent1"/>
                                    <w:sz w:val="24"/>
                                    <w:szCs w:val="24"/>
                                  </w:rPr>
                                  <w:t>Danylo Chuiko</w:t>
                                </w:r>
                              </w:p>
                              <w:p w14:paraId="71568518" w14:textId="5B7BA000"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9145E9">
                                  <w:rPr>
                                    <w:i/>
                                    <w:iCs/>
                                    <w:color w:val="5B9BD5" w:themeColor="accent1"/>
                                    <w:sz w:val="24"/>
                                    <w:szCs w:val="24"/>
                                  </w:rPr>
                                  <w:t xml:space="preserve"> 2346141</w:t>
                                </w:r>
                              </w:p>
                              <w:p w14:paraId="1F3CCC7A"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F43E73" id="_x0000_s1057" type="#_x0000_t202" style="position:absolute;margin-left:236.05pt;margin-top:501pt;width:287.25pt;height:86.25pt;z-index:251665408;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IL/AEAANUDAAAOAAAAZHJzL2Uyb0RvYy54bWysU8tu2zAQvBfoPxC815IdO7EFy0GaNEWB&#10;9AGk/QCaoiyiJJdd0pbSr8+SchyjvRXVgeBqucOd2eH6erCGHRQGDa7m00nJmXISGu12Nf/x/f7d&#10;krMQhWuEAadq/qQCv968fbPufaVm0IFpFDICcaHqfc27GH1VFEF2yoowAa8cJVtAKyKFuCsaFD2h&#10;W1PMyvKy6AEbjyBVCPT3bkzyTcZvWyXj17YNKjJTc+ot5hXzuk1rsVmLaofCd1oe2xD/0IUV2tGl&#10;J6g7EQXbo/4LymqJEKCNEwm2gLbVUmUOxGZa/sHmsRNeZS4kTvAnmcL/g5VfDo/+G7I4vIeBBphJ&#10;BP8A8mdgDm474XbqBhH6TomGLp4myYreh+pYmqQOVUgg2/4zNDRksY+QgYYWbVKFeDJCpwE8nURX&#10;Q2SSfl5czpfl1YIzSblpuVpcUJDuENVLuccQPyqwLG1qjjTVDC8ODyGOR1+OpNsc3Gtj8mSNY33N&#10;V4vZIhecZayOZDyjbc2XZfpGKySWH1yTi6PQZtxTL8YdaSemI+c4bAemG6KQapMKW2ieSAeE0Wf0&#10;LmjTAf7mrCeP1Tz82gtUnJlPjrRcTefzZMoczBdXMwrwPLM9zwgnCarmkbNxexuzkUfKN6R5q7Ma&#10;r50cWybvZD2PPk/mPI/zqdfXuHkGAAD//wMAUEsDBBQABgAIAAAAIQCQIR/32wAAAAoBAAAPAAAA&#10;ZHJzL2Rvd25yZXYueG1sTE9BTsMwELwj8QdrkbjRdasGSohTIRBXEAUqcXPjbRIRr6PYbcLv2Z7o&#10;bXZmNDtTrCffqSMNsQ1sYD7ToIir4FquDXx+vNysQMVk2dkuMBn4pQjr8vKisLkLI7/TcZNqJSEc&#10;c2ugSanPEWPVkLdxFnpi0fZh8DbJOdToBjtKuO9wofUtetuyfGhsT08NVT+bgzfw9br/3i71W/3s&#10;s34Mk0b292jM9dX0+AAq0ZT+zXCqL9WhlE67cGAXVWdAhiRhtV4IEj27W2agdkLNTwjLAs8nlH8A&#10;AAD//wMAUEsBAi0AFAAGAAgAAAAhALaDOJL+AAAA4QEAABMAAAAAAAAAAAAAAAAAAAAAAFtDb250&#10;ZW50X1R5cGVzXS54bWxQSwECLQAUAAYACAAAACEAOP0h/9YAAACUAQAACwAAAAAAAAAAAAAAAAAv&#10;AQAAX3JlbHMvLnJlbHNQSwECLQAUAAYACAAAACEAlvTiC/wBAADVAwAADgAAAAAAAAAAAAAAAAAu&#10;AgAAZHJzL2Uyb0RvYy54bWxQSwECLQAUAAYACAAAACEAkCEf99sAAAAKAQAADwAAAAAAAAAAAAAA&#10;AABWBAAAZHJzL2Rvd25yZXYueG1sUEsFBgAAAAAEAAQA8wAAAF4FAAAAAA==&#10;" filled="f" stroked="f">
                    <v:textbox>
                      <w:txbxContent>
                        <w:p w14:paraId="15D3970D" w14:textId="408E8F98" w:rsidR="00C779A2" w:rsidRPr="009145E9"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9145E9">
                            <w:rPr>
                              <w:i/>
                              <w:iCs/>
                              <w:color w:val="5B9BD5" w:themeColor="accent1"/>
                              <w:sz w:val="24"/>
                              <w:szCs w:val="24"/>
                              <w:lang w:val="uk-UA"/>
                            </w:rPr>
                            <w:t xml:space="preserve"> </w:t>
                          </w:r>
                          <w:r w:rsidR="009145E9">
                            <w:rPr>
                              <w:i/>
                              <w:iCs/>
                              <w:color w:val="5B9BD5" w:themeColor="accent1"/>
                              <w:sz w:val="24"/>
                              <w:szCs w:val="24"/>
                            </w:rPr>
                            <w:t>Danylo Chuiko</w:t>
                          </w:r>
                        </w:p>
                        <w:p w14:paraId="71568518" w14:textId="5B7BA000"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9145E9">
                            <w:rPr>
                              <w:i/>
                              <w:iCs/>
                              <w:color w:val="5B9BD5" w:themeColor="accent1"/>
                              <w:sz w:val="24"/>
                              <w:szCs w:val="24"/>
                            </w:rPr>
                            <w:t xml:space="preserve"> 2346141</w:t>
                          </w:r>
                        </w:p>
                        <w:p w14:paraId="1F3CCC7A"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Pr>
              <w:rFonts w:ascii="Arial" w:hAnsi="Arial" w:cs="Arial"/>
              <w:noProof/>
              <w:lang w:eastAsia="en-GB"/>
            </w:rPr>
            <w:drawing>
              <wp:anchor distT="0" distB="0" distL="114300" distR="114300" simplePos="0" relativeHeight="251663360" behindDoc="0" locked="0" layoutInCell="1" allowOverlap="1" wp14:anchorId="35B202F3" wp14:editId="0927F487">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  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Pr>
              <w:rFonts w:ascii="Arial" w:hAnsi="Arial" w:cs="Arial"/>
            </w:rPr>
            <w:br w:type="page"/>
          </w:r>
        </w:p>
      </w:sdtContent>
    </w:sdt>
    <w:p w14:paraId="1BA5156A" w14:textId="77777777" w:rsidR="00C779A2" w:rsidRDefault="00C779A2">
      <w:pPr>
        <w:pStyle w:val="TOCHeading"/>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27335209" w14:textId="77777777" w:rsidR="00C779A2" w:rsidRPr="00C779A2" w:rsidRDefault="00C779A2" w:rsidP="00C779A2">
          <w:pPr>
            <w:rPr>
              <w:rFonts w:ascii="Arial" w:hAnsi="Arial" w:cs="Arial"/>
            </w:rPr>
          </w:pPr>
          <w:r>
            <w:rPr>
              <w:rFonts w:ascii="Arial" w:hAnsi="Arial" w:cs="Arial"/>
              <w:sz w:val="36"/>
              <w:szCs w:val="36"/>
            </w:rPr>
            <w:t>Table of Contents</w:t>
          </w:r>
        </w:p>
        <w:p w14:paraId="76DEE487" w14:textId="56A2F151" w:rsidR="008E7726" w:rsidRDefault="00C779A2">
          <w:pPr>
            <w:pStyle w:val="TOC1"/>
            <w:tabs>
              <w:tab w:val="right" w:leader="dot" w:pos="9016"/>
            </w:tabs>
            <w:rPr>
              <w:rFonts w:eastAsiaTheme="minorEastAsia"/>
              <w:noProof/>
              <w:kern w:val="2"/>
              <w:sz w:val="24"/>
              <w:szCs w:val="24"/>
              <w:lang w:eastAsia="zh-CN"/>
              <w14:ligatures w14:val="standardContextual"/>
            </w:rPr>
          </w:pPr>
          <w:r>
            <w:rPr>
              <w:rFonts w:ascii="Arial" w:hAnsi="Arial" w:cs="Arial"/>
            </w:rPr>
            <w:t xml:space="preserve">  </w:t>
          </w:r>
          <w:hyperlink w:anchor="_Toc223699678" w:history="1">
            <w:r>
              <w:rPr>
                <w:rStyle w:val="Hyperlink"/>
                <w:noProof/>
              </w:rPr>
              <w:t>Cybersecurity Policy Development for HealthPlus Analytics</w:t>
            </w:r>
            <w:r>
              <w:rPr>
                <w:noProof/>
                <w:webHidden/>
              </w:rPr>
              <w:tab/>
            </w:r>
            <w:r>
              <w:rPr>
                <w:noProof/>
                <w:webHidden/>
              </w:rPr>
              <w:fldChar w:fldCharType="begin"/>
            </w:r>
            <w:r>
              <w:rPr>
                <w:noProof/>
                <w:webHidden/>
              </w:rPr>
              <w:instrText xml:space="preserve"> PAGEREF _Toc223699678 \h </w:instrText>
            </w:r>
            <w:r>
              <w:rPr>
                <w:noProof/>
                <w:webHidden/>
              </w:rPr>
            </w:r>
            <w:r>
              <w:rPr>
                <w:noProof/>
                <w:webHidden/>
              </w:rPr>
              <w:fldChar w:fldCharType="separate"/>
            </w:r>
            <w:r>
              <w:rPr>
                <w:noProof/>
                <w:webHidden/>
              </w:rPr>
              <w:t>1</w:t>
            </w:r>
            <w:r>
              <w:rPr>
                <w:noProof/>
                <w:webHidden/>
              </w:rPr>
              <w:fldChar w:fldCharType="end"/>
            </w:r>
          </w:hyperlink>
        </w:p>
        <w:p w14:paraId="5FF21743" w14:textId="77777777" w:rsidR="008E7726" w:rsidRDefault="008E7726">
          <w:pPr>
            <w:pStyle w:val="TOC1"/>
            <w:tabs>
              <w:tab w:val="right" w:leader="dot" w:pos="9016"/>
            </w:tabs>
            <w:rPr>
              <w:rFonts w:eastAsiaTheme="minorEastAsia"/>
              <w:noProof/>
              <w:kern w:val="2"/>
              <w:sz w:val="24"/>
              <w:szCs w:val="24"/>
              <w:lang w:eastAsia="zh-CN"/>
              <w14:ligatures w14:val="standardContextual"/>
            </w:rPr>
          </w:pPr>
          <w:hyperlink w:anchor="_Toc223699679" w:history="1">
            <w:r>
              <w:rPr>
                <w:rStyle w:val="Hyperlink"/>
                <w:noProof/>
              </w:rPr>
              <w:t>Abstract</w:t>
            </w:r>
            <w:r>
              <w:rPr>
                <w:noProof/>
                <w:webHidden/>
              </w:rPr>
              <w:tab/>
            </w:r>
            <w:r>
              <w:rPr>
                <w:noProof/>
                <w:webHidden/>
              </w:rPr>
              <w:fldChar w:fldCharType="begin"/>
            </w:r>
            <w:r>
              <w:rPr>
                <w:noProof/>
                <w:webHidden/>
              </w:rPr>
              <w:instrText xml:space="preserve"> PAGEREF _Toc223699679 \h </w:instrText>
            </w:r>
            <w:r>
              <w:rPr>
                <w:noProof/>
                <w:webHidden/>
              </w:rPr>
            </w:r>
            <w:r>
              <w:rPr>
                <w:noProof/>
                <w:webHidden/>
              </w:rPr>
              <w:fldChar w:fldCharType="separate"/>
            </w:r>
            <w:r>
              <w:rPr>
                <w:noProof/>
                <w:webHidden/>
              </w:rPr>
              <w:t>1</w:t>
            </w:r>
            <w:r>
              <w:rPr>
                <w:noProof/>
                <w:webHidden/>
              </w:rPr>
              <w:fldChar w:fldCharType="end"/>
            </w:r>
          </w:hyperlink>
        </w:p>
        <w:p w14:paraId="657347DE" w14:textId="77777777" w:rsidR="008E7726" w:rsidRDefault="008E7726">
          <w:pPr>
            <w:pStyle w:val="TOC1"/>
            <w:tabs>
              <w:tab w:val="right" w:leader="dot" w:pos="9016"/>
            </w:tabs>
            <w:rPr>
              <w:rFonts w:eastAsiaTheme="minorEastAsia"/>
              <w:noProof/>
              <w:kern w:val="2"/>
              <w:sz w:val="24"/>
              <w:szCs w:val="24"/>
              <w:lang w:eastAsia="zh-CN"/>
              <w14:ligatures w14:val="standardContextual"/>
            </w:rPr>
          </w:pPr>
          <w:hyperlink w:anchor="_Toc223699680" w:history="1">
            <w:r>
              <w:rPr>
                <w:rStyle w:val="Hyperlink"/>
                <w:noProof/>
              </w:rPr>
              <w:t>Introduction</w:t>
            </w:r>
            <w:r>
              <w:rPr>
                <w:noProof/>
                <w:webHidden/>
              </w:rPr>
              <w:tab/>
            </w:r>
            <w:r>
              <w:rPr>
                <w:noProof/>
                <w:webHidden/>
              </w:rPr>
              <w:fldChar w:fldCharType="begin"/>
            </w:r>
            <w:r>
              <w:rPr>
                <w:noProof/>
                <w:webHidden/>
              </w:rPr>
              <w:instrText xml:space="preserve"> PAGEREF _Toc223699680 \h </w:instrText>
            </w:r>
            <w:r>
              <w:rPr>
                <w:noProof/>
                <w:webHidden/>
              </w:rPr>
            </w:r>
            <w:r>
              <w:rPr>
                <w:noProof/>
                <w:webHidden/>
              </w:rPr>
              <w:fldChar w:fldCharType="separate"/>
            </w:r>
            <w:r>
              <w:rPr>
                <w:noProof/>
                <w:webHidden/>
              </w:rPr>
              <w:t>1</w:t>
            </w:r>
            <w:r>
              <w:rPr>
                <w:noProof/>
                <w:webHidden/>
              </w:rPr>
              <w:fldChar w:fldCharType="end"/>
            </w:r>
          </w:hyperlink>
        </w:p>
        <w:p w14:paraId="12990A62" w14:textId="77777777" w:rsidR="008E7726" w:rsidRDefault="008E7726">
          <w:pPr>
            <w:pStyle w:val="TOC1"/>
            <w:tabs>
              <w:tab w:val="right" w:leader="dot" w:pos="9016"/>
            </w:tabs>
            <w:rPr>
              <w:rFonts w:eastAsiaTheme="minorEastAsia"/>
              <w:noProof/>
              <w:kern w:val="2"/>
              <w:sz w:val="24"/>
              <w:szCs w:val="24"/>
              <w:lang w:eastAsia="zh-CN"/>
              <w14:ligatures w14:val="standardContextual"/>
            </w:rPr>
          </w:pPr>
          <w:hyperlink w:anchor="_Toc223699681" w:history="1">
            <w:r>
              <w:rPr>
                <w:rStyle w:val="Hyperlink"/>
                <w:noProof/>
              </w:rPr>
              <w:t>Identification of Modern Threats</w:t>
            </w:r>
            <w:r>
              <w:rPr>
                <w:noProof/>
                <w:webHidden/>
              </w:rPr>
              <w:tab/>
            </w:r>
            <w:r>
              <w:rPr>
                <w:noProof/>
                <w:webHidden/>
              </w:rPr>
              <w:fldChar w:fldCharType="begin"/>
            </w:r>
            <w:r>
              <w:rPr>
                <w:noProof/>
                <w:webHidden/>
              </w:rPr>
              <w:instrText xml:space="preserve"> PAGEREF _Toc223699681 \h </w:instrText>
            </w:r>
            <w:r>
              <w:rPr>
                <w:noProof/>
                <w:webHidden/>
              </w:rPr>
            </w:r>
            <w:r>
              <w:rPr>
                <w:noProof/>
                <w:webHidden/>
              </w:rPr>
              <w:fldChar w:fldCharType="separate"/>
            </w:r>
            <w:r>
              <w:rPr>
                <w:noProof/>
                <w:webHidden/>
              </w:rPr>
              <w:t>1</w:t>
            </w:r>
            <w:r>
              <w:rPr>
                <w:noProof/>
                <w:webHidden/>
              </w:rPr>
              <w:fldChar w:fldCharType="end"/>
            </w:r>
          </w:hyperlink>
        </w:p>
        <w:p w14:paraId="14301950" w14:textId="77777777" w:rsidR="008E7726" w:rsidRDefault="008E7726">
          <w:pPr>
            <w:pStyle w:val="TOC1"/>
            <w:tabs>
              <w:tab w:val="right" w:leader="dot" w:pos="9016"/>
            </w:tabs>
            <w:rPr>
              <w:rFonts w:eastAsiaTheme="minorEastAsia"/>
              <w:noProof/>
              <w:kern w:val="2"/>
              <w:sz w:val="24"/>
              <w:szCs w:val="24"/>
              <w:lang w:eastAsia="zh-CN"/>
              <w14:ligatures w14:val="standardContextual"/>
            </w:rPr>
          </w:pPr>
          <w:hyperlink w:anchor="_Toc223699682" w:history="1">
            <w:r>
              <w:rPr>
                <w:rStyle w:val="Hyperlink"/>
                <w:noProof/>
              </w:rPr>
              <w:t>Modern Security Policies</w:t>
            </w:r>
            <w:r>
              <w:rPr>
                <w:noProof/>
                <w:webHidden/>
              </w:rPr>
              <w:tab/>
            </w:r>
            <w:r>
              <w:rPr>
                <w:noProof/>
                <w:webHidden/>
              </w:rPr>
              <w:fldChar w:fldCharType="begin"/>
            </w:r>
            <w:r>
              <w:rPr>
                <w:noProof/>
                <w:webHidden/>
              </w:rPr>
              <w:instrText xml:space="preserve"> PAGEREF _Toc223699682 \h </w:instrText>
            </w:r>
            <w:r>
              <w:rPr>
                <w:noProof/>
                <w:webHidden/>
              </w:rPr>
            </w:r>
            <w:r>
              <w:rPr>
                <w:noProof/>
                <w:webHidden/>
              </w:rPr>
              <w:fldChar w:fldCharType="separate"/>
            </w:r>
            <w:r>
              <w:rPr>
                <w:noProof/>
                <w:webHidden/>
              </w:rPr>
              <w:t>2</w:t>
            </w:r>
            <w:r>
              <w:rPr>
                <w:noProof/>
                <w:webHidden/>
              </w:rPr>
              <w:fldChar w:fldCharType="end"/>
            </w:r>
          </w:hyperlink>
        </w:p>
        <w:p w14:paraId="1447BF06" w14:textId="77777777" w:rsidR="008E7726" w:rsidRDefault="008E7726">
          <w:pPr>
            <w:pStyle w:val="TOC1"/>
            <w:tabs>
              <w:tab w:val="right" w:leader="dot" w:pos="9016"/>
            </w:tabs>
            <w:rPr>
              <w:rFonts w:eastAsiaTheme="minorEastAsia"/>
              <w:noProof/>
              <w:kern w:val="2"/>
              <w:sz w:val="24"/>
              <w:szCs w:val="24"/>
              <w:lang w:eastAsia="zh-CN"/>
              <w14:ligatures w14:val="standardContextual"/>
            </w:rPr>
          </w:pPr>
          <w:hyperlink w:anchor="_Toc223699683" w:history="1">
            <w:r>
              <w:rPr>
                <w:rStyle w:val="Hyperlink"/>
                <w:noProof/>
              </w:rPr>
              <w:t>Technical Mitigation Measures</w:t>
            </w:r>
            <w:r>
              <w:rPr>
                <w:noProof/>
                <w:webHidden/>
              </w:rPr>
              <w:tab/>
            </w:r>
            <w:r>
              <w:rPr>
                <w:noProof/>
                <w:webHidden/>
              </w:rPr>
              <w:fldChar w:fldCharType="begin"/>
            </w:r>
            <w:r>
              <w:rPr>
                <w:noProof/>
                <w:webHidden/>
              </w:rPr>
              <w:instrText xml:space="preserve"> PAGEREF _Toc223699683 \h </w:instrText>
            </w:r>
            <w:r>
              <w:rPr>
                <w:noProof/>
                <w:webHidden/>
              </w:rPr>
            </w:r>
            <w:r>
              <w:rPr>
                <w:noProof/>
                <w:webHidden/>
              </w:rPr>
              <w:fldChar w:fldCharType="separate"/>
            </w:r>
            <w:r>
              <w:rPr>
                <w:noProof/>
                <w:webHidden/>
              </w:rPr>
              <w:t>2</w:t>
            </w:r>
            <w:r>
              <w:rPr>
                <w:noProof/>
                <w:webHidden/>
              </w:rPr>
              <w:fldChar w:fldCharType="end"/>
            </w:r>
          </w:hyperlink>
        </w:p>
      </w:sdtContent>
    </w:sdt>
    <w:p w14:paraId="1F77FC0F" w14:textId="77777777" w:rsidR="00505209" w:rsidRDefault="008345C6">
      <w:pPr>
        <w:spacing w:after="120"/>
        <w:rPr>
          <w:rFonts w:ascii="Arial" w:hAnsi="Arial" w:cs="Arial"/>
        </w:rPr>
      </w:pPr>
      <w:r>
        <w:rPr>
          <w:rFonts w:ascii="Arial" w:hAnsi="Arial" w:cs="Arial"/>
        </w:rPr>
        <w:t>Technical controls translate security policies into operational defences. The following measures directly address the threats identified in Section 3.</w:t>
      </w:r>
    </w:p>
    <w:p w14:paraId="590D8BBD" w14:textId="77777777" w:rsidR="00505209" w:rsidRPr="009B3359" w:rsidRDefault="008345C6">
      <w:pPr>
        <w:spacing w:after="120"/>
        <w:rPr>
          <w:rFonts w:ascii="Arial" w:hAnsi="Arial" w:cs="Arial"/>
          <w:lang w:val="uk-UA"/>
        </w:rPr>
      </w:pPr>
      <w:r>
        <w:rPr>
          <w:rFonts w:ascii="Arial" w:hAnsi="Arial" w:cs="Arial"/>
          <w:b/>
        </w:rPr>
        <w:t>Multi-Factor Authentication (MFA)</w:t>
      </w:r>
    </w:p>
    <w:p w14:paraId="77B6A5A7" w14:textId="77777777" w:rsidR="00505209" w:rsidRDefault="008345C6">
      <w:pPr>
        <w:spacing w:after="120"/>
        <w:rPr>
          <w:rFonts w:ascii="Arial" w:hAnsi="Arial" w:cs="Arial"/>
        </w:rPr>
      </w:pPr>
      <w:r>
        <w:rPr>
          <w:rFonts w:ascii="Arial" w:hAnsi="Arial" w:cs="Arial"/>
        </w:rPr>
        <w:t>MFA shall be deployed across all cloud platforms, VPN access, and remote desktop services using authenticator applications (e.g., Microsoft Authenticator) or hardware tokens. MFA significantly reduces the risk of credential-based attacks: Microsoft (2023) reports that MFA blocks over 99.9% of automated account compromise attempts.</w:t>
      </w:r>
    </w:p>
    <w:p w14:paraId="34FDE943" w14:textId="77777777" w:rsidR="00505209" w:rsidRDefault="008345C6">
      <w:pPr>
        <w:spacing w:after="120"/>
        <w:rPr>
          <w:rFonts w:ascii="Arial" w:hAnsi="Arial" w:cs="Arial"/>
        </w:rPr>
      </w:pPr>
      <w:r>
        <w:rPr>
          <w:rFonts w:ascii="Arial" w:hAnsi="Arial" w:cs="Arial"/>
          <w:b/>
        </w:rPr>
        <w:t>Endpoint Detection and Response (EDR)</w:t>
      </w:r>
    </w:p>
    <w:p w14:paraId="0BEA70E8" w14:textId="77777777" w:rsidR="00505209" w:rsidRDefault="008345C6">
      <w:pPr>
        <w:spacing w:after="120"/>
        <w:rPr>
          <w:rFonts w:ascii="Arial" w:hAnsi="Arial" w:cs="Arial"/>
        </w:rPr>
      </w:pPr>
      <w:r>
        <w:rPr>
          <w:rFonts w:ascii="Arial" w:hAnsi="Arial" w:cs="Arial"/>
        </w:rPr>
        <w:t>EDR solutions (e.g., CrowdStrike Falcon, Microsoft Defender for Endpoint) shall be deployed on all corporate and enrolled personal devices. EDR provides real-time behavioural monitoring, detecting anomalous activity indicative of malware, ransomware, or lateral movement. Unlike traditional antivirus, EDR can identify and contain threats before full system compromise.</w:t>
      </w:r>
    </w:p>
    <w:p w14:paraId="3BFA2549" w14:textId="77777777" w:rsidR="00505209" w:rsidRDefault="008345C6">
      <w:pPr>
        <w:spacing w:after="120"/>
        <w:rPr>
          <w:rFonts w:ascii="Arial" w:hAnsi="Arial" w:cs="Arial"/>
        </w:rPr>
      </w:pPr>
      <w:r>
        <w:rPr>
          <w:rFonts w:ascii="Arial" w:hAnsi="Arial" w:cs="Arial"/>
          <w:b/>
        </w:rPr>
        <w:t>Network Segmentation and Zero Trust Architecture</w:t>
      </w:r>
    </w:p>
    <w:p w14:paraId="0675336C" w14:textId="77777777" w:rsidR="00505209" w:rsidRDefault="008345C6">
      <w:pPr>
        <w:spacing w:after="120"/>
        <w:rPr>
          <w:rFonts w:ascii="Arial" w:hAnsi="Arial" w:cs="Arial"/>
        </w:rPr>
      </w:pPr>
      <w:r>
        <w:rPr>
          <w:rFonts w:ascii="Arial" w:hAnsi="Arial" w:cs="Arial"/>
        </w:rPr>
        <w:t>HPA’s network shall be segmented to isolate patient data environments from general corporate systems. A Zero Trust Architecture (ZTA) shall be adopted, operating on the principle of “never trust, always verify.” Every access request, whether internal or external, shall be authenticated and authorised before being granted. This directly mitigates lateral movement in the event of a breach (NIST, 2020).</w:t>
      </w:r>
    </w:p>
    <w:p w14:paraId="594257CD" w14:textId="77777777" w:rsidR="00505209" w:rsidRDefault="008345C6">
      <w:pPr>
        <w:spacing w:after="120"/>
        <w:rPr>
          <w:rFonts w:ascii="Arial" w:hAnsi="Arial" w:cs="Arial"/>
        </w:rPr>
      </w:pPr>
      <w:r>
        <w:rPr>
          <w:rFonts w:ascii="Arial" w:hAnsi="Arial" w:cs="Arial"/>
          <w:b/>
        </w:rPr>
        <w:t>Cloud Security Posture Management (CSPM)</w:t>
      </w:r>
    </w:p>
    <w:p w14:paraId="612F3BB2" w14:textId="77777777" w:rsidR="00505209" w:rsidRDefault="008345C6">
      <w:pPr>
        <w:spacing w:after="120"/>
        <w:rPr>
          <w:rFonts w:ascii="Arial" w:hAnsi="Arial" w:cs="Arial"/>
        </w:rPr>
      </w:pPr>
      <w:r>
        <w:rPr>
          <w:rFonts w:ascii="Arial" w:hAnsi="Arial" w:cs="Arial"/>
        </w:rPr>
        <w:t>A CSPM tool (e.g., Microsoft Defender for Cloud, Prisma Cloud) shall continuously audit HPA’s cloud environments for misconfigurations, excessive permissions, and compliance deviations. Automated remediation shall be enabled where appropriate, with alerts escalated to the security team for manual review.</w:t>
      </w:r>
    </w:p>
    <w:p w14:paraId="6C120EE7" w14:textId="77777777" w:rsidR="00505209" w:rsidRDefault="008345C6">
      <w:pPr>
        <w:spacing w:after="120"/>
        <w:rPr>
          <w:rFonts w:ascii="Arial" w:hAnsi="Arial" w:cs="Arial"/>
        </w:rPr>
      </w:pPr>
      <w:r>
        <w:rPr>
          <w:rFonts w:ascii="Arial" w:hAnsi="Arial" w:cs="Arial"/>
          <w:b/>
        </w:rPr>
        <w:t>Data Encryption</w:t>
      </w:r>
    </w:p>
    <w:p w14:paraId="0BD29BB2" w14:textId="77777777" w:rsidR="00505209" w:rsidRDefault="008345C6">
      <w:pPr>
        <w:spacing w:after="120"/>
        <w:rPr>
          <w:rFonts w:ascii="Arial" w:hAnsi="Arial" w:cs="Arial"/>
        </w:rPr>
      </w:pPr>
      <w:r>
        <w:rPr>
          <w:rFonts w:ascii="Arial" w:hAnsi="Arial" w:cs="Arial"/>
        </w:rPr>
        <w:t>All patient data at rest shall be encrypted using AES-256 encryption. Data in transit shall be protected using TLS 1.3. Encryption keys shall be managed through a dedicated Key Management System (KMS) with access strictly controlled and audited. Full-disk encryption (e.g., BitLocker) shall be enforced on all endpoints.</w:t>
      </w:r>
    </w:p>
    <w:p w14:paraId="29ABC52C" w14:textId="77777777" w:rsidR="00505209" w:rsidRDefault="008345C6">
      <w:pPr>
        <w:spacing w:after="120"/>
        <w:rPr>
          <w:rFonts w:ascii="Arial" w:hAnsi="Arial" w:cs="Arial"/>
        </w:rPr>
      </w:pPr>
      <w:r>
        <w:rPr>
          <w:rFonts w:ascii="Arial" w:hAnsi="Arial" w:cs="Arial"/>
          <w:b/>
        </w:rPr>
        <w:t>Backup and Disaster Recovery</w:t>
      </w:r>
    </w:p>
    <w:p w14:paraId="3DB7E3BB" w14:textId="77777777" w:rsidR="00505209" w:rsidRDefault="008345C6">
      <w:pPr>
        <w:spacing w:after="120"/>
        <w:rPr>
          <w:rFonts w:ascii="Arial" w:hAnsi="Arial" w:cs="Arial"/>
        </w:rPr>
      </w:pPr>
      <w:r>
        <w:rPr>
          <w:rFonts w:ascii="Arial" w:hAnsi="Arial" w:cs="Arial"/>
        </w:rPr>
        <w:t xml:space="preserve">HPA shall implement a 3-2-1 backup strategy: three copies of data, stored on two different media types, with one copy off-site or in an isolated cloud environment. Backups shall be </w:t>
      </w:r>
      <w:r>
        <w:rPr>
          <w:rFonts w:ascii="Arial" w:hAnsi="Arial" w:cs="Arial"/>
        </w:rPr>
        <w:lastRenderedPageBreak/>
        <w:t>tested quarterly for integrity and restoration capability. This directly mitigates the impact of ransomware by enabling recovery without paying ransoms.</w:t>
      </w:r>
    </w:p>
    <w:p w14:paraId="52A83FFE" w14:textId="77777777" w:rsidR="00505209" w:rsidRDefault="008345C6">
      <w:pPr>
        <w:spacing w:after="120"/>
        <w:rPr>
          <w:rFonts w:ascii="Arial" w:hAnsi="Arial" w:cs="Arial"/>
        </w:rPr>
      </w:pPr>
      <w:r>
        <w:rPr>
          <w:rFonts w:ascii="Arial" w:hAnsi="Arial" w:cs="Arial"/>
          <w:b/>
        </w:rPr>
        <w:t>Vulnerability Management</w:t>
      </w:r>
    </w:p>
    <w:p w14:paraId="1BABE2EB" w14:textId="77777777" w:rsidR="00505209" w:rsidRDefault="008345C6">
      <w:pPr>
        <w:spacing w:after="120"/>
        <w:rPr>
          <w:rFonts w:ascii="Arial" w:hAnsi="Arial" w:cs="Arial"/>
        </w:rPr>
      </w:pPr>
      <w:r>
        <w:rPr>
          <w:rFonts w:ascii="Arial" w:hAnsi="Arial" w:cs="Arial"/>
        </w:rPr>
        <w:t>Regular vulnerability scans shall be conducted using tools such as Qualys or Nessus. Annual penetration testing shall be commissioned from an accredited third party, with findings tracked to remediation. All critical and high-severity vulnerabilities shall be remediated within defined SLAs.</w:t>
      </w:r>
    </w:p>
    <w:p w14:paraId="2C2D1D93" w14:textId="77777777" w:rsidR="00C779A2" w:rsidRDefault="00C779A2" w:rsidP="00C779A2">
      <w:pPr>
        <w:pStyle w:val="Heading1"/>
        <w:sectPr w:rsidR="00C779A2" w:rsidSect="00C779A2">
          <w:pgSz w:w="11906" w:h="16838"/>
          <w:pgMar w:top="1440" w:right="1440" w:bottom="1440" w:left="1440" w:header="708" w:footer="708" w:gutter="0"/>
          <w:pgNumType w:start="0"/>
          <w:cols w:space="708"/>
          <w:titlePg/>
          <w:docGrid w:linePitch="360"/>
        </w:sectPr>
      </w:pPr>
    </w:p>
    <w:p w14:paraId="59D45FD3" w14:textId="77777777" w:rsidR="00C779A2" w:rsidRDefault="00C779A2" w:rsidP="00C779A2">
      <w:pPr>
        <w:pStyle w:val="Heading1"/>
      </w:pPr>
      <w:bookmarkStart w:id="0" w:name="_Toc223699678"/>
      <w:r>
        <w:t>Cybersecurity Policy Development for HealthPlus Analytics</w:t>
      </w:r>
      <w:bookmarkEnd w:id="0"/>
    </w:p>
    <w:p w14:paraId="436D102C" w14:textId="77777777" w:rsidR="00C779A2" w:rsidRDefault="00C779A2" w:rsidP="003F2B3E">
      <w:pPr>
        <w:spacing w:after="0"/>
        <w:rPr>
          <w:rFonts w:ascii="Arial" w:hAnsi="Arial" w:cs="Arial"/>
        </w:rPr>
      </w:pPr>
    </w:p>
    <w:p w14:paraId="4A123EC0" w14:textId="77777777" w:rsidR="003F2B3E" w:rsidRDefault="003F2B3E" w:rsidP="00C779A2">
      <w:pPr>
        <w:pStyle w:val="Heading1"/>
      </w:pPr>
      <w:bookmarkStart w:id="1" w:name="_Toc223699679"/>
      <w:r>
        <w:t>Abstract</w:t>
      </w:r>
      <w:bookmarkEnd w:id="1"/>
    </w:p>
    <w:p w14:paraId="38FE32A1" w14:textId="77777777" w:rsidR="00505209" w:rsidRDefault="008345C6">
      <w:pPr>
        <w:spacing w:after="120"/>
        <w:rPr>
          <w:rFonts w:ascii="Arial" w:hAnsi="Arial" w:cs="Arial"/>
        </w:rPr>
      </w:pPr>
      <w:r>
        <w:rPr>
          <w:rFonts w:ascii="Arial" w:hAnsi="Arial" w:cs="Arial"/>
        </w:rPr>
        <w:t>This report presents a comprehensive cybersecurity and data governance framework for HealthPlus Analytics (HPA), a UK-based healthcare technology company processing sensitive patient data. Following recent incidents including unauthorised cloud access and a ransomware attack, HPA faces critical threats to patient confidentiality, data integrity, and service availability. Drawing upon ISO 27001, the NIST Cybersecurity Framework, the CIA Triad, and UK GDPR requirements, this report identifies internal and ext</w:t>
      </w:r>
      <w:r>
        <w:rPr>
          <w:rFonts w:ascii="Arial" w:hAnsi="Arial" w:cs="Arial"/>
        </w:rPr>
        <w:t>ernal threats, proposes clear security policies, outlines technical mitigation measures, establishes an incident response plan, and defines a staff training programme. The recommendations aim to strengthen HPA’s defence posture, ensure regulatory compliance, and foster an enduring culture of security awareness across all levels of the organisation.</w:t>
      </w:r>
    </w:p>
    <w:p w14:paraId="0AE90D07" w14:textId="77777777" w:rsidR="003F2B3E" w:rsidRDefault="003F2B3E" w:rsidP="00C779A2">
      <w:pPr>
        <w:pStyle w:val="Heading1"/>
      </w:pPr>
      <w:bookmarkStart w:id="2" w:name="_Toc223699680"/>
      <w:r>
        <w:t>Introduction</w:t>
      </w:r>
      <w:bookmarkEnd w:id="2"/>
    </w:p>
    <w:p w14:paraId="29A58469" w14:textId="77777777" w:rsidR="00505209" w:rsidRDefault="008345C6">
      <w:pPr>
        <w:spacing w:after="120"/>
        <w:rPr>
          <w:rFonts w:ascii="Arial" w:hAnsi="Arial" w:cs="Arial"/>
        </w:rPr>
      </w:pPr>
      <w:r>
        <w:rPr>
          <w:rFonts w:ascii="Arial" w:hAnsi="Arial" w:cs="Arial"/>
        </w:rPr>
        <w:t>The healthcare technology sector is one of the most targeted industries for cyberattacks, largely due to the high value of patient data on illicit markets and the critical nature of healthcare operations (NHS England, 2023). HealthPlus Analytics (HPA) processes and stores sensitive patient information for hospitals and clinics across the United Kingdom, making it a prime target for both opportunistic and advanced persistent threat actors.</w:t>
      </w:r>
    </w:p>
    <w:p w14:paraId="4DD572D5" w14:textId="77777777" w:rsidR="00505209" w:rsidRDefault="008345C6">
      <w:pPr>
        <w:spacing w:after="120"/>
        <w:rPr>
          <w:rFonts w:ascii="Arial" w:hAnsi="Arial" w:cs="Arial"/>
        </w:rPr>
      </w:pPr>
      <w:r>
        <w:rPr>
          <w:rFonts w:ascii="Arial" w:hAnsi="Arial" w:cs="Arial"/>
        </w:rPr>
        <w:t>Recent incidents at HPA — including unauthorised access to cloud-stored patient data and a ransomware attack on analytics servers — have exposed critical vulnerabilities in the company’s security posture. These events risk not only patient confidentiality but also regulatory penalties under the UK General Data Protection Regulation (UK GDPR) and NHS Digital Security Standards (NHS DSS), as well as significant reputational harm.</w:t>
      </w:r>
    </w:p>
    <w:p w14:paraId="10A3222F" w14:textId="77777777" w:rsidR="00505209" w:rsidRDefault="008345C6">
      <w:pPr>
        <w:spacing w:after="120"/>
        <w:rPr>
          <w:rFonts w:ascii="Arial" w:hAnsi="Arial" w:cs="Arial"/>
        </w:rPr>
      </w:pPr>
      <w:r>
        <w:rPr>
          <w:rFonts w:ascii="Arial" w:hAnsi="Arial" w:cs="Arial"/>
        </w:rPr>
        <w:t>This report has been commissioned by the HPA Board of Directors to develop a structured cybersecurity framework addressing five key areas: threat identification, security policy development, technical mitigation, monitoring and incident response, and staff training and awareness. The framework is grounded in internationally recognised standards including ISO 27001, the NIST Cybersecurity Framework (CSF), and the CIA Triad — Confidentiality, Integrity, and Availability — to ensure both practical applicabilit</w:t>
      </w:r>
      <w:r>
        <w:rPr>
          <w:rFonts w:ascii="Arial" w:hAnsi="Arial" w:cs="Arial"/>
        </w:rPr>
        <w:t>y and regulatory alignment.</w:t>
      </w:r>
    </w:p>
    <w:p w14:paraId="5D631F84" w14:textId="77777777" w:rsidR="003F2B3E" w:rsidRDefault="00C779A2" w:rsidP="00C779A2">
      <w:pPr>
        <w:pStyle w:val="Heading1"/>
      </w:pPr>
      <w:bookmarkStart w:id="3" w:name="_Toc223699681"/>
      <w:r>
        <w:t>Identification of Modern Threats</w:t>
      </w:r>
      <w:bookmarkEnd w:id="3"/>
    </w:p>
    <w:p w14:paraId="3EBCFEDE" w14:textId="77777777" w:rsidR="00505209" w:rsidRDefault="008345C6">
      <w:pPr>
        <w:spacing w:after="120"/>
        <w:rPr>
          <w:rFonts w:ascii="Arial" w:hAnsi="Arial" w:cs="Arial"/>
        </w:rPr>
      </w:pPr>
      <w:r>
        <w:rPr>
          <w:rFonts w:ascii="Arial" w:hAnsi="Arial" w:cs="Arial"/>
        </w:rPr>
        <w:t>Effective cybersecurity begins with a thorough understanding of the threat landscape. For HPA, threats can be categorised as external or internal, each carrying distinct risks to the CIA Triad.</w:t>
      </w:r>
    </w:p>
    <w:p w14:paraId="738A6469" w14:textId="77777777" w:rsidR="00505209" w:rsidRDefault="008345C6">
      <w:pPr>
        <w:spacing w:after="120"/>
        <w:rPr>
          <w:rFonts w:ascii="Arial" w:hAnsi="Arial" w:cs="Arial"/>
        </w:rPr>
      </w:pPr>
      <w:r>
        <w:rPr>
          <w:rFonts w:ascii="Arial" w:hAnsi="Arial" w:cs="Arial"/>
          <w:b/>
        </w:rPr>
        <w:t>External Threats</w:t>
      </w:r>
    </w:p>
    <w:p w14:paraId="1F3B0137" w14:textId="77777777" w:rsidR="00505209" w:rsidRDefault="008345C6">
      <w:pPr>
        <w:spacing w:after="120"/>
        <w:rPr>
          <w:rFonts w:ascii="Arial" w:hAnsi="Arial" w:cs="Arial"/>
        </w:rPr>
      </w:pPr>
      <w:r>
        <w:rPr>
          <w:rFonts w:ascii="Arial" w:hAnsi="Arial" w:cs="Arial"/>
        </w:rPr>
        <w:lastRenderedPageBreak/>
        <w:t>Ransomware and Malware: HPA has already experienced a ransomware attack, consistent with a global trend. In 2023, the NHS reported over 200 significant cybersecurity incidents, with ransomware being the leading cause of service disruption (NHS England, 2023). Ransomware encrypts critical data and demands payment for restoration, directly threatening Availability. The WannaCry attack of 2017, which crippled NHS systems across the UK, remains a cautionary example (National Audit Office, 2018).</w:t>
      </w:r>
    </w:p>
    <w:p w14:paraId="35AA5234" w14:textId="77777777" w:rsidR="00505209" w:rsidRDefault="008345C6">
      <w:pPr>
        <w:spacing w:after="120"/>
        <w:rPr>
          <w:rFonts w:ascii="Arial" w:hAnsi="Arial" w:cs="Arial"/>
        </w:rPr>
      </w:pPr>
      <w:r>
        <w:rPr>
          <w:rFonts w:ascii="Arial" w:hAnsi="Arial" w:cs="Arial"/>
        </w:rPr>
        <w:t>Phishing and Social Engineering: Phishing emails remain the most common entry point for attackers. Employees may be deceived into revealing credentials or installing malware. Spear-phishing attacks, which target specific individuals using personalised information, are increasingly sophisticated and difficult to detect (NCSC, 2024).</w:t>
      </w:r>
    </w:p>
    <w:p w14:paraId="622069B5" w14:textId="77777777" w:rsidR="00505209" w:rsidRDefault="008345C6">
      <w:pPr>
        <w:spacing w:after="120"/>
        <w:rPr>
          <w:rFonts w:ascii="Arial" w:hAnsi="Arial" w:cs="Arial"/>
        </w:rPr>
      </w:pPr>
      <w:r>
        <w:rPr>
          <w:rFonts w:ascii="Arial" w:hAnsi="Arial" w:cs="Arial"/>
        </w:rPr>
        <w:t>Cloud Security Vulnerabilities: HPA’s reliance on cloud storage introduces risks such as misconfigured access controls, insecure APIs, and third-party breaches. The 2023 MOVEit data breach, which affected multiple UK healthcare organisations, demonstrated how cloud-based file transfer tools can become vectors for mass data exfiltration (ICO, 2023).</w:t>
      </w:r>
    </w:p>
    <w:p w14:paraId="10843646" w14:textId="77777777" w:rsidR="00505209" w:rsidRDefault="008345C6">
      <w:pPr>
        <w:spacing w:after="120"/>
        <w:rPr>
          <w:rFonts w:ascii="Arial" w:hAnsi="Arial" w:cs="Arial"/>
        </w:rPr>
      </w:pPr>
      <w:r>
        <w:rPr>
          <w:rFonts w:ascii="Arial" w:hAnsi="Arial" w:cs="Arial"/>
        </w:rPr>
        <w:t>Advanced Persistent Threats (APTs): Nation-state actors and organised cybercriminal groups may target healthcare data for espionage or financial gain. APTs often remain undetected for extended periods, silently exfiltrating data while evading conventional defences.</w:t>
      </w:r>
    </w:p>
    <w:p w14:paraId="3B22D606" w14:textId="77777777" w:rsidR="00505209" w:rsidRDefault="008345C6">
      <w:pPr>
        <w:spacing w:after="120"/>
        <w:rPr>
          <w:rFonts w:ascii="Arial" w:hAnsi="Arial" w:cs="Arial"/>
        </w:rPr>
      </w:pPr>
      <w:r>
        <w:rPr>
          <w:rFonts w:ascii="Arial" w:hAnsi="Arial" w:cs="Arial"/>
          <w:b/>
        </w:rPr>
        <w:t>Internal Threats</w:t>
      </w:r>
    </w:p>
    <w:p w14:paraId="42797FAB" w14:textId="77777777" w:rsidR="00505209" w:rsidRDefault="008345C6">
      <w:pPr>
        <w:spacing w:after="120"/>
        <w:rPr>
          <w:rFonts w:ascii="Arial" w:hAnsi="Arial" w:cs="Arial"/>
        </w:rPr>
      </w:pPr>
      <w:r>
        <w:rPr>
          <w:rFonts w:ascii="Arial" w:hAnsi="Arial" w:cs="Arial"/>
        </w:rPr>
        <w:t>Insider Threats: Disgruntled or negligent employees pose a significant risk. An insider with legitimate access may intentionally exfiltrate patient data or inadvertently expose systems through poor security hygiene, such as using weak passwords or accessing systems via unsecured personal devices (CISA, 2023).</w:t>
      </w:r>
    </w:p>
    <w:p w14:paraId="4A2394A5" w14:textId="77777777" w:rsidR="00505209" w:rsidRDefault="008345C6">
      <w:pPr>
        <w:spacing w:after="120"/>
        <w:rPr>
          <w:rFonts w:ascii="Arial" w:hAnsi="Arial" w:cs="Arial"/>
        </w:rPr>
      </w:pPr>
      <w:r>
        <w:rPr>
          <w:rFonts w:ascii="Arial" w:hAnsi="Arial" w:cs="Arial"/>
        </w:rPr>
        <w:t>Bring Your Own Device (BYOD) Risks: The shift to hybrid and remote working means staff frequently access HPA systems via personal laptops, tablets, and smartphones. These devices may lack enterprise-grade security controls, creating vulnerabilities that attackers can exploit.</w:t>
      </w:r>
    </w:p>
    <w:p w14:paraId="520A4965" w14:textId="77777777" w:rsidR="00505209" w:rsidRDefault="008345C6">
      <w:pPr>
        <w:spacing w:after="120"/>
        <w:rPr>
          <w:rFonts w:ascii="Arial" w:hAnsi="Arial" w:cs="Arial"/>
        </w:rPr>
      </w:pPr>
      <w:r>
        <w:rPr>
          <w:rFonts w:ascii="Arial" w:hAnsi="Arial" w:cs="Arial"/>
        </w:rPr>
        <w:t>Privilege Misuse and Excessive Access Rights: Without robust access management, employees may retain permissions beyond their job requirements, increasing the potential damage of both insider misuse and external account compromise.</w:t>
      </w:r>
    </w:p>
    <w:p w14:paraId="6FAE7E28" w14:textId="0ACACE90" w:rsidR="00505209" w:rsidRDefault="008345C6">
      <w:pPr>
        <w:spacing w:after="120"/>
        <w:rPr>
          <w:rFonts w:ascii="Arial" w:hAnsi="Arial" w:cs="Arial"/>
        </w:rPr>
      </w:pPr>
      <w:r>
        <w:rPr>
          <w:rFonts w:ascii="Arial" w:hAnsi="Arial" w:cs="Arial"/>
        </w:rPr>
        <w:t>Supply Chain Attacks: Third-party vendors and contractors with access to HPA’s systems may inadvertently introduce vulnerabilities. The SolarWinds attack of 2020 illustrated how supply chain compromises can have devastating downstream consequences for organisations that trust their suppliers implicitly (FireEye, 2020).</w:t>
      </w:r>
      <w:sdt>
        <w:sdtPr>
          <w:rPr>
            <w:rFonts w:ascii="Arial" w:hAnsi="Arial" w:cs="Arial"/>
          </w:rPr>
          <w:id w:val="-1462098031"/>
          <w:citation/>
        </w:sdtPr>
        <w:sdtContent>
          <w:r w:rsidR="00F56CE8">
            <w:rPr>
              <w:rFonts w:ascii="Arial" w:hAnsi="Arial" w:cs="Arial"/>
            </w:rPr>
            <w:fldChar w:fldCharType="begin"/>
          </w:r>
          <w:r w:rsidR="00F56CE8">
            <w:rPr>
              <w:rFonts w:ascii="Arial" w:hAnsi="Arial" w:cs="Arial"/>
              <w:lang w:val="uk-UA"/>
            </w:rPr>
            <w:instrText xml:space="preserve"> CITATION Fir20 \l 1058 </w:instrText>
          </w:r>
          <w:r w:rsidR="00F56CE8">
            <w:rPr>
              <w:rFonts w:ascii="Arial" w:hAnsi="Arial" w:cs="Arial"/>
            </w:rPr>
            <w:fldChar w:fldCharType="separate"/>
          </w:r>
          <w:r w:rsidR="00F56CE8">
            <w:rPr>
              <w:rFonts w:ascii="Arial" w:hAnsi="Arial" w:cs="Arial"/>
              <w:noProof/>
              <w:lang w:val="uk-UA"/>
            </w:rPr>
            <w:t xml:space="preserve"> </w:t>
          </w:r>
          <w:r w:rsidR="00F56CE8" w:rsidRPr="00F56CE8">
            <w:rPr>
              <w:rFonts w:ascii="Arial" w:hAnsi="Arial" w:cs="Arial"/>
              <w:noProof/>
              <w:lang w:val="uk-UA"/>
            </w:rPr>
            <w:t>[1]</w:t>
          </w:r>
          <w:r w:rsidR="00F56CE8">
            <w:rPr>
              <w:rFonts w:ascii="Arial" w:hAnsi="Arial" w:cs="Arial"/>
            </w:rPr>
            <w:fldChar w:fldCharType="end"/>
          </w:r>
        </w:sdtContent>
      </w:sdt>
    </w:p>
    <w:p w14:paraId="142AB5E7" w14:textId="77777777" w:rsidR="003F2B3E" w:rsidRDefault="003F2B3E" w:rsidP="00C779A2">
      <w:pPr>
        <w:pStyle w:val="Heading1"/>
      </w:pPr>
      <w:bookmarkStart w:id="4" w:name="_Toc223699682"/>
      <w:r>
        <w:t>Modern Security Policies</w:t>
      </w:r>
      <w:bookmarkEnd w:id="4"/>
      <w:r>
        <w:t xml:space="preserve"> </w:t>
      </w:r>
    </w:p>
    <w:p w14:paraId="45910BA6" w14:textId="77777777" w:rsidR="00505209" w:rsidRDefault="008345C6">
      <w:pPr>
        <w:spacing w:after="120"/>
        <w:rPr>
          <w:rFonts w:ascii="Arial" w:hAnsi="Arial" w:cs="Arial"/>
        </w:rPr>
      </w:pPr>
      <w:r>
        <w:rPr>
          <w:rFonts w:ascii="Arial" w:hAnsi="Arial" w:cs="Arial"/>
        </w:rPr>
        <w:t>Security policies provide the governance foundation for HPA’s cybersecurity programme. The following policies are aligned with ISO 27001 Annex A controls, UK GDPR, and NHS Digital Security Standards.</w:t>
      </w:r>
    </w:p>
    <w:p w14:paraId="6878CA00" w14:textId="77777777" w:rsidR="00505209" w:rsidRDefault="008345C6">
      <w:pPr>
        <w:spacing w:after="120"/>
        <w:rPr>
          <w:rFonts w:ascii="Arial" w:hAnsi="Arial" w:cs="Arial"/>
        </w:rPr>
      </w:pPr>
      <w:r>
        <w:rPr>
          <w:rFonts w:ascii="Arial" w:hAnsi="Arial" w:cs="Arial"/>
          <w:b/>
        </w:rPr>
        <w:t>1. Acceptable Use Policy (AUP)</w:t>
      </w:r>
    </w:p>
    <w:p w14:paraId="7CEA5503" w14:textId="77777777" w:rsidR="00505209" w:rsidRDefault="008345C6">
      <w:pPr>
        <w:spacing w:after="120"/>
        <w:rPr>
          <w:rFonts w:ascii="Arial" w:hAnsi="Arial" w:cs="Arial"/>
        </w:rPr>
      </w:pPr>
      <w:r>
        <w:rPr>
          <w:rFonts w:ascii="Arial" w:hAnsi="Arial" w:cs="Arial"/>
        </w:rPr>
        <w:t>All employees must use HPA systems solely for legitimate business purposes. Personal devices used to access corporate systems must be enrolled in the Mobile Device Management (MDM) system and comply with minimum security standards, including encryption, up-to-date operating systems, and screen lock. Violations will result in disciplinary action.</w:t>
      </w:r>
    </w:p>
    <w:p w14:paraId="44CC4D53" w14:textId="77777777" w:rsidR="00505209" w:rsidRDefault="008345C6">
      <w:pPr>
        <w:spacing w:after="120"/>
        <w:rPr>
          <w:rFonts w:ascii="Arial" w:hAnsi="Arial" w:cs="Arial"/>
        </w:rPr>
      </w:pPr>
      <w:r>
        <w:rPr>
          <w:rFonts w:ascii="Arial" w:hAnsi="Arial" w:cs="Arial"/>
          <w:b/>
        </w:rPr>
        <w:lastRenderedPageBreak/>
        <w:t>2. Access Control Policy</w:t>
      </w:r>
    </w:p>
    <w:p w14:paraId="6CBF3F18" w14:textId="77777777" w:rsidR="00505209" w:rsidRDefault="008345C6">
      <w:pPr>
        <w:spacing w:after="120"/>
        <w:rPr>
          <w:rFonts w:ascii="Arial" w:hAnsi="Arial" w:cs="Arial"/>
        </w:rPr>
      </w:pPr>
      <w:r>
        <w:rPr>
          <w:rFonts w:ascii="Arial" w:hAnsi="Arial" w:cs="Arial"/>
        </w:rPr>
        <w:t>HPA shall implement the principle of least privilege: users are granted only the minimum access necessary to perform their duties. Role-Based Access Control (RBAC) shall be enforced across all systems. Multi-Factor Authentication (MFA) is mandatory for all remote access and cloud platform logins. Access rights shall be reviewed quarterly and revoked immediately upon employee departure.</w:t>
      </w:r>
    </w:p>
    <w:p w14:paraId="7FE462AB" w14:textId="77777777" w:rsidR="00505209" w:rsidRDefault="008345C6">
      <w:pPr>
        <w:spacing w:after="120"/>
        <w:rPr>
          <w:rFonts w:ascii="Arial" w:hAnsi="Arial" w:cs="Arial"/>
        </w:rPr>
      </w:pPr>
      <w:r>
        <w:rPr>
          <w:rFonts w:ascii="Arial" w:hAnsi="Arial" w:cs="Arial"/>
          <w:b/>
        </w:rPr>
        <w:t>3. Data Classification and Handling Policy</w:t>
      </w:r>
    </w:p>
    <w:p w14:paraId="77AA2A23" w14:textId="77777777" w:rsidR="00505209" w:rsidRDefault="008345C6">
      <w:pPr>
        <w:spacing w:after="120"/>
        <w:rPr>
          <w:rFonts w:ascii="Arial" w:hAnsi="Arial" w:cs="Arial"/>
        </w:rPr>
      </w:pPr>
      <w:r>
        <w:rPr>
          <w:rFonts w:ascii="Arial" w:hAnsi="Arial" w:cs="Arial"/>
        </w:rPr>
        <w:t>All data processed by HPA shall be classified into four tiers: Public, Internal, Confidential, and Restricted. Patient health records constitute Restricted data and must be encrypted at rest and in transit using AES-256 and TLS 1.3 respectively. Data shall not be transmitted via unencrypted channels such as standard email without secure gateway controls.</w:t>
      </w:r>
    </w:p>
    <w:p w14:paraId="561F6FD5" w14:textId="77777777" w:rsidR="00505209" w:rsidRDefault="008345C6">
      <w:pPr>
        <w:spacing w:after="120"/>
        <w:rPr>
          <w:rFonts w:ascii="Arial" w:hAnsi="Arial" w:cs="Arial"/>
        </w:rPr>
      </w:pPr>
      <w:r>
        <w:rPr>
          <w:rFonts w:ascii="Arial" w:hAnsi="Arial" w:cs="Arial"/>
          <w:b/>
        </w:rPr>
        <w:t>4. Incident Response Policy</w:t>
      </w:r>
    </w:p>
    <w:p w14:paraId="0F12269C" w14:textId="77777777" w:rsidR="00505209" w:rsidRDefault="008345C6">
      <w:pPr>
        <w:spacing w:after="120"/>
        <w:rPr>
          <w:rFonts w:ascii="Arial" w:hAnsi="Arial" w:cs="Arial"/>
        </w:rPr>
      </w:pPr>
      <w:r>
        <w:rPr>
          <w:rFonts w:ascii="Arial" w:hAnsi="Arial" w:cs="Arial"/>
        </w:rPr>
        <w:t>HPA shall maintain a documented Incident Response Plan (IRP) reviewed annually. All staff must report suspected security incidents to the IT Security team within one hour of discovery. The IRP shall comply with UK GDPR Article 33 requirements, mandating notification to the Information Commissioner’s Office (ICO) within 72 hours of a confirmed personal data breach.</w:t>
      </w:r>
    </w:p>
    <w:p w14:paraId="465FD52F" w14:textId="77777777" w:rsidR="00505209" w:rsidRDefault="008345C6">
      <w:pPr>
        <w:spacing w:after="120"/>
        <w:rPr>
          <w:rFonts w:ascii="Arial" w:hAnsi="Arial" w:cs="Arial"/>
        </w:rPr>
      </w:pPr>
      <w:r>
        <w:rPr>
          <w:rFonts w:ascii="Arial" w:hAnsi="Arial" w:cs="Arial"/>
          <w:b/>
        </w:rPr>
        <w:t>5. Patch Management Policy</w:t>
      </w:r>
    </w:p>
    <w:p w14:paraId="658253D9" w14:textId="77777777" w:rsidR="00505209" w:rsidRDefault="008345C6">
      <w:pPr>
        <w:spacing w:after="120"/>
        <w:rPr>
          <w:rFonts w:ascii="Arial" w:hAnsi="Arial" w:cs="Arial"/>
        </w:rPr>
      </w:pPr>
      <w:r>
        <w:rPr>
          <w:rFonts w:ascii="Arial" w:hAnsi="Arial" w:cs="Arial"/>
        </w:rPr>
        <w:t>Critical security patches must be applied within 48 hours of release. Non-critical patches shall be deployed within 30 days. All systems shall be inventoried and monitored to ensure compliance. Unsupported or end-of-life software must be decommissioned or isolated from the network.</w:t>
      </w:r>
    </w:p>
    <w:p w14:paraId="53D79BA0" w14:textId="77777777" w:rsidR="00505209" w:rsidRDefault="008345C6">
      <w:pPr>
        <w:spacing w:after="120"/>
        <w:rPr>
          <w:rFonts w:ascii="Arial" w:hAnsi="Arial" w:cs="Arial"/>
        </w:rPr>
      </w:pPr>
      <w:r>
        <w:rPr>
          <w:rFonts w:ascii="Arial" w:hAnsi="Arial" w:cs="Arial"/>
          <w:b/>
        </w:rPr>
        <w:t>6. Remote Work and BYOD Policy</w:t>
      </w:r>
    </w:p>
    <w:p w14:paraId="117A2344" w14:textId="77777777" w:rsidR="00505209" w:rsidRDefault="008345C6">
      <w:pPr>
        <w:spacing w:after="120"/>
        <w:rPr>
          <w:rFonts w:ascii="Arial" w:hAnsi="Arial" w:cs="Arial"/>
        </w:rPr>
      </w:pPr>
      <w:r>
        <w:rPr>
          <w:rFonts w:ascii="Arial" w:hAnsi="Arial" w:cs="Arial"/>
        </w:rPr>
        <w:t>Employees working remotely must connect via an approved Virtual Private Network (VPN). Personal devices accessing HPA data must be registered, encrypted, and subject to remote wipe capability. HPA shall provide corporate-owned devices for roles involving access to Restricted data.</w:t>
      </w:r>
    </w:p>
    <w:p w14:paraId="15A7AEE3" w14:textId="77777777" w:rsidR="003F2B3E" w:rsidRDefault="003F2B3E" w:rsidP="00C779A2">
      <w:pPr>
        <w:pStyle w:val="Heading1"/>
      </w:pPr>
      <w:bookmarkStart w:id="5" w:name="_Toc223699683"/>
      <w:r>
        <w:t>Technical Mitigation Measures</w:t>
      </w:r>
      <w:bookmarkEnd w:id="5"/>
      <w:r>
        <w:t xml:space="preserve"> </w:t>
      </w:r>
    </w:p>
    <w:p w14:paraId="5CED035E" w14:textId="77777777" w:rsidR="00505209" w:rsidRDefault="008345C6">
      <w:pPr>
        <w:spacing w:after="120"/>
        <w:rPr>
          <w:rFonts w:ascii="Arial" w:hAnsi="Arial" w:cs="Arial"/>
        </w:rPr>
      </w:pPr>
      <w:r>
        <w:rPr>
          <w:rFonts w:ascii="Arial" w:hAnsi="Arial" w:cs="Arial"/>
        </w:rPr>
        <w:t>Technical controls translate security policies into operational defences. The following measures directly address the threats identified in Section 3.</w:t>
      </w:r>
    </w:p>
    <w:p w14:paraId="0BA7233D" w14:textId="77777777" w:rsidR="00505209" w:rsidRDefault="008345C6">
      <w:pPr>
        <w:spacing w:after="80"/>
        <w:rPr>
          <w:rFonts w:ascii="Arial" w:hAnsi="Arial" w:cs="Arial"/>
        </w:rPr>
      </w:pPr>
      <w:r>
        <w:rPr>
          <w:rFonts w:ascii="Arial" w:hAnsi="Arial" w:cs="Arial"/>
          <w:b/>
        </w:rPr>
        <w:t>Multi-Factor Authentication (MFA)</w:t>
      </w:r>
    </w:p>
    <w:p w14:paraId="25FF98D4" w14:textId="77777777" w:rsidR="00505209" w:rsidRDefault="008345C6">
      <w:pPr>
        <w:spacing w:after="120"/>
        <w:rPr>
          <w:rFonts w:ascii="Arial" w:hAnsi="Arial" w:cs="Arial"/>
        </w:rPr>
      </w:pPr>
      <w:r>
        <w:rPr>
          <w:rFonts w:ascii="Arial" w:hAnsi="Arial" w:cs="Arial"/>
        </w:rPr>
        <w:t>MFA shall be deployed across all cloud platforms, VPN access, and remote desktop services using authenticator applications (e.g., Microsoft Authenticator) or hardware tokens. MFA significantly reduces the risk of credential-based attacks: Microsoft (2023) reports that MFA blocks over 99.9% of automated account compromise attempts.</w:t>
      </w:r>
    </w:p>
    <w:p w14:paraId="5996C34C" w14:textId="77777777" w:rsidR="00505209" w:rsidRDefault="008345C6">
      <w:pPr>
        <w:spacing w:after="80"/>
        <w:rPr>
          <w:rFonts w:ascii="Arial" w:hAnsi="Arial" w:cs="Arial"/>
        </w:rPr>
      </w:pPr>
      <w:r>
        <w:rPr>
          <w:rFonts w:ascii="Arial" w:hAnsi="Arial" w:cs="Arial"/>
          <w:b/>
        </w:rPr>
        <w:t>Endpoint Detection and Response (EDR)</w:t>
      </w:r>
    </w:p>
    <w:p w14:paraId="07CF22FD" w14:textId="77777777" w:rsidR="00505209" w:rsidRDefault="008345C6">
      <w:pPr>
        <w:spacing w:after="120"/>
        <w:rPr>
          <w:rFonts w:ascii="Arial" w:hAnsi="Arial" w:cs="Arial"/>
        </w:rPr>
      </w:pPr>
      <w:r>
        <w:rPr>
          <w:rFonts w:ascii="Arial" w:hAnsi="Arial" w:cs="Arial"/>
        </w:rPr>
        <w:t>EDR solutions (e.g., CrowdStrike Falcon, Microsoft Defender for Endpoint) shall be deployed on all corporate and enrolled personal devices. EDR provides real-time behavioural monitoring, detecting anomalous activity indicative of malware, ransomware, or lateral movement. Unlike traditional antivirus, EDR can identify and contain threats before full system compromise.</w:t>
      </w:r>
    </w:p>
    <w:p w14:paraId="307DF85C" w14:textId="77777777" w:rsidR="00505209" w:rsidRDefault="008345C6">
      <w:pPr>
        <w:spacing w:after="80"/>
        <w:rPr>
          <w:rFonts w:ascii="Arial" w:hAnsi="Arial" w:cs="Arial"/>
        </w:rPr>
      </w:pPr>
      <w:r>
        <w:rPr>
          <w:rFonts w:ascii="Arial" w:hAnsi="Arial" w:cs="Arial"/>
          <w:b/>
        </w:rPr>
        <w:t>Network Segmentation and Zero Trust Architecture</w:t>
      </w:r>
    </w:p>
    <w:p w14:paraId="6BADC0F4" w14:textId="77777777" w:rsidR="00505209" w:rsidRDefault="008345C6">
      <w:pPr>
        <w:spacing w:after="120"/>
        <w:rPr>
          <w:rFonts w:ascii="Arial" w:hAnsi="Arial" w:cs="Arial"/>
        </w:rPr>
      </w:pPr>
      <w:r>
        <w:rPr>
          <w:rFonts w:ascii="Arial" w:hAnsi="Arial" w:cs="Arial"/>
        </w:rPr>
        <w:lastRenderedPageBreak/>
        <w:t>HPA’s network shall be segmented to isolate patient data environments from general corporate systems. A Zero Trust Architecture (ZTA) shall be adopted, operating on the principle of “never trust, always verify.” Every access request, whether internal or external, shall be authenticated and authorised before being granted. This directly mitigates lateral movement in the event of a breach (NIST, 2020).</w:t>
      </w:r>
    </w:p>
    <w:p w14:paraId="03D04130" w14:textId="77777777" w:rsidR="00505209" w:rsidRDefault="008345C6">
      <w:pPr>
        <w:spacing w:after="80"/>
        <w:rPr>
          <w:rFonts w:ascii="Arial" w:hAnsi="Arial" w:cs="Arial"/>
        </w:rPr>
      </w:pPr>
      <w:r>
        <w:rPr>
          <w:rFonts w:ascii="Arial" w:hAnsi="Arial" w:cs="Arial"/>
          <w:b/>
        </w:rPr>
        <w:t>Cloud Security Posture Management (CSPM)</w:t>
      </w:r>
    </w:p>
    <w:p w14:paraId="67617B51" w14:textId="77777777" w:rsidR="00505209" w:rsidRDefault="008345C6">
      <w:pPr>
        <w:spacing w:after="120"/>
        <w:rPr>
          <w:rFonts w:ascii="Arial" w:hAnsi="Arial" w:cs="Arial"/>
        </w:rPr>
      </w:pPr>
      <w:r>
        <w:rPr>
          <w:rFonts w:ascii="Arial" w:hAnsi="Arial" w:cs="Arial"/>
        </w:rPr>
        <w:t>A CSPM tool (e.g., Microsoft Defender for Cloud, Prisma Cloud) shall continuously audit HPA’s cloud environments for misconfigurations, excessive permissions, and compliance deviations. Automated remediation shall be enabled where appropriate, with alerts escalated to the security team for manual review.</w:t>
      </w:r>
    </w:p>
    <w:p w14:paraId="21C4CB10" w14:textId="77777777" w:rsidR="00505209" w:rsidRDefault="008345C6">
      <w:pPr>
        <w:spacing w:after="80"/>
        <w:rPr>
          <w:rFonts w:ascii="Arial" w:hAnsi="Arial" w:cs="Arial"/>
        </w:rPr>
      </w:pPr>
      <w:r>
        <w:rPr>
          <w:rFonts w:ascii="Arial" w:hAnsi="Arial" w:cs="Arial"/>
          <w:b/>
        </w:rPr>
        <w:t>Data Encryption</w:t>
      </w:r>
    </w:p>
    <w:p w14:paraId="15AEE93A" w14:textId="77777777" w:rsidR="00505209" w:rsidRDefault="008345C6">
      <w:pPr>
        <w:spacing w:after="120"/>
        <w:rPr>
          <w:rFonts w:ascii="Arial" w:hAnsi="Arial" w:cs="Arial"/>
        </w:rPr>
      </w:pPr>
      <w:r>
        <w:rPr>
          <w:rFonts w:ascii="Arial" w:hAnsi="Arial" w:cs="Arial"/>
        </w:rPr>
        <w:t>All patient data at rest shall be encrypted using AES-256 encryption. Data in transit shall be protected using TLS 1.3. Encryption keys shall be managed through a dedicated Key Management System (KMS) with access strictly controlled and audited. Full-disk encryption (e.g., BitLocker) shall be enforced on all endpoints.</w:t>
      </w:r>
    </w:p>
    <w:p w14:paraId="72360353" w14:textId="77777777" w:rsidR="00505209" w:rsidRDefault="008345C6">
      <w:pPr>
        <w:spacing w:after="80"/>
        <w:rPr>
          <w:rFonts w:ascii="Arial" w:hAnsi="Arial" w:cs="Arial"/>
        </w:rPr>
      </w:pPr>
      <w:r>
        <w:rPr>
          <w:rFonts w:ascii="Arial" w:hAnsi="Arial" w:cs="Arial"/>
          <w:b/>
        </w:rPr>
        <w:t>Backup and Disaster Recovery</w:t>
      </w:r>
    </w:p>
    <w:p w14:paraId="1D2A7C45" w14:textId="77777777" w:rsidR="00505209" w:rsidRDefault="008345C6">
      <w:pPr>
        <w:spacing w:after="120"/>
        <w:rPr>
          <w:rFonts w:ascii="Arial" w:hAnsi="Arial" w:cs="Arial"/>
        </w:rPr>
      </w:pPr>
      <w:r>
        <w:rPr>
          <w:rFonts w:ascii="Arial" w:hAnsi="Arial" w:cs="Arial"/>
        </w:rPr>
        <w:t>HPA shall implement a 3-2-1 backup strategy: three copies of data, stored on two different media types, with one copy off-site or in an isolated cloud environment. Backups shall be tested quarterly for integrity and restoration capability. This directly mitigates the impact of ransomware by enabling recovery without paying ransoms.</w:t>
      </w:r>
    </w:p>
    <w:p w14:paraId="01EE12F3" w14:textId="77777777" w:rsidR="00505209" w:rsidRDefault="008345C6">
      <w:pPr>
        <w:spacing w:after="80"/>
        <w:rPr>
          <w:rFonts w:ascii="Arial" w:hAnsi="Arial" w:cs="Arial"/>
        </w:rPr>
      </w:pPr>
      <w:r>
        <w:rPr>
          <w:rFonts w:ascii="Arial" w:hAnsi="Arial" w:cs="Arial"/>
          <w:b/>
        </w:rPr>
        <w:t>Vulnerability Management</w:t>
      </w:r>
    </w:p>
    <w:p w14:paraId="2559AA61" w14:textId="3DB28EC0" w:rsidR="00505209" w:rsidRDefault="008345C6">
      <w:pPr>
        <w:spacing w:after="120"/>
        <w:rPr>
          <w:rFonts w:ascii="Arial" w:hAnsi="Arial" w:cs="Arial"/>
        </w:rPr>
      </w:pPr>
      <w:r>
        <w:rPr>
          <w:rFonts w:ascii="Arial" w:hAnsi="Arial" w:cs="Arial"/>
        </w:rPr>
        <w:t>Regular vulnerability scans shall be conducted using tools such as Qualys or Nessus. Annual penetration testing shall be commissioned from an accredited third party, with findings tracked to remediation. All critical and high-severity vulnerabilities shall be remediated within defined SLAs.</w:t>
      </w:r>
      <w:sdt>
        <w:sdtPr>
          <w:rPr>
            <w:rFonts w:ascii="Arial" w:hAnsi="Arial" w:cs="Arial"/>
          </w:rPr>
          <w:id w:val="-890030336"/>
          <w:citation/>
        </w:sdtPr>
        <w:sdtContent>
          <w:r w:rsidR="00F56CE8">
            <w:rPr>
              <w:rFonts w:ascii="Arial" w:hAnsi="Arial" w:cs="Arial"/>
            </w:rPr>
            <w:fldChar w:fldCharType="begin"/>
          </w:r>
          <w:r w:rsidR="00F56CE8">
            <w:rPr>
              <w:rFonts w:ascii="Arial" w:hAnsi="Arial" w:cs="Arial"/>
              <w:lang w:val="uk-UA"/>
            </w:rPr>
            <w:instrText xml:space="preserve"> CITATION Cyb25 \l 1058 </w:instrText>
          </w:r>
          <w:r w:rsidR="00F56CE8">
            <w:rPr>
              <w:rFonts w:ascii="Arial" w:hAnsi="Arial" w:cs="Arial"/>
            </w:rPr>
            <w:fldChar w:fldCharType="separate"/>
          </w:r>
          <w:r w:rsidR="00F56CE8">
            <w:rPr>
              <w:rFonts w:ascii="Arial" w:hAnsi="Arial" w:cs="Arial"/>
              <w:noProof/>
              <w:lang w:val="uk-UA"/>
            </w:rPr>
            <w:t xml:space="preserve"> </w:t>
          </w:r>
          <w:r w:rsidR="00F56CE8" w:rsidRPr="00F56CE8">
            <w:rPr>
              <w:rFonts w:ascii="Arial" w:hAnsi="Arial" w:cs="Arial"/>
              <w:noProof/>
              <w:lang w:val="uk-UA"/>
            </w:rPr>
            <w:t>[2]</w:t>
          </w:r>
          <w:r w:rsidR="00F56CE8">
            <w:rPr>
              <w:rFonts w:ascii="Arial" w:hAnsi="Arial" w:cs="Arial"/>
            </w:rPr>
            <w:fldChar w:fldCharType="end"/>
          </w:r>
        </w:sdtContent>
      </w:sdt>
    </w:p>
    <w:p w14:paraId="7BEA0442" w14:textId="77777777" w:rsidR="003F2B3E" w:rsidRDefault="003F2B3E" w:rsidP="00C779A2">
      <w:pPr>
        <w:pStyle w:val="Heading1"/>
      </w:pPr>
      <w:bookmarkStart w:id="6" w:name="_Toc223699684"/>
      <w:r>
        <w:t>Proactive Monitoring and Incident Response</w:t>
      </w:r>
      <w:bookmarkEnd w:id="6"/>
      <w:r>
        <w:t xml:space="preserve"> </w:t>
      </w:r>
    </w:p>
    <w:p w14:paraId="5BB25195" w14:textId="77777777" w:rsidR="00505209" w:rsidRDefault="008345C6">
      <w:pPr>
        <w:spacing w:after="120"/>
        <w:rPr>
          <w:rFonts w:ascii="Arial" w:hAnsi="Arial" w:cs="Arial"/>
        </w:rPr>
      </w:pPr>
      <w:r>
        <w:rPr>
          <w:rFonts w:ascii="Arial" w:hAnsi="Arial" w:cs="Arial"/>
        </w:rPr>
        <w:t>Continuous monitoring and a structured incident response capability are essential to detect, contain, and recover from security incidents effectively.</w:t>
      </w:r>
    </w:p>
    <w:p w14:paraId="62F0B9D6" w14:textId="77777777" w:rsidR="00505209" w:rsidRDefault="008345C6">
      <w:pPr>
        <w:spacing w:after="120"/>
        <w:rPr>
          <w:rFonts w:ascii="Arial" w:hAnsi="Arial" w:cs="Arial"/>
        </w:rPr>
      </w:pPr>
      <w:r>
        <w:rPr>
          <w:rFonts w:ascii="Arial" w:hAnsi="Arial" w:cs="Arial"/>
          <w:b/>
        </w:rPr>
        <w:t>Security Information and Event Management (SIEM)</w:t>
      </w:r>
    </w:p>
    <w:p w14:paraId="4816387C" w14:textId="77777777" w:rsidR="00505209" w:rsidRDefault="008345C6">
      <w:pPr>
        <w:spacing w:after="120"/>
        <w:rPr>
          <w:rFonts w:ascii="Arial" w:hAnsi="Arial" w:cs="Arial"/>
        </w:rPr>
      </w:pPr>
      <w:r>
        <w:rPr>
          <w:rFonts w:ascii="Arial" w:hAnsi="Arial" w:cs="Arial"/>
        </w:rPr>
        <w:t>A SIEM platform (e.g., Microsoft Sentinel, Splunk) shall aggregate and correlate logs from all critical systems: firewalls, endpoints, cloud platforms, identity systems, and applications. Automated alerts shall be configured for high-priority threat indicators such as multiple failed login attempts, unusual data transfer volumes, or access from unexpected geographies.</w:t>
      </w:r>
    </w:p>
    <w:p w14:paraId="1781BC8C" w14:textId="77777777" w:rsidR="00505209" w:rsidRDefault="008345C6">
      <w:pPr>
        <w:spacing w:after="120"/>
        <w:rPr>
          <w:rFonts w:ascii="Arial" w:hAnsi="Arial" w:cs="Arial"/>
        </w:rPr>
      </w:pPr>
      <w:r>
        <w:rPr>
          <w:rFonts w:ascii="Arial" w:hAnsi="Arial" w:cs="Arial"/>
          <w:b/>
        </w:rPr>
        <w:t>Security Operations Centre (SOC)</w:t>
      </w:r>
    </w:p>
    <w:p w14:paraId="672B15FB" w14:textId="77777777" w:rsidR="00505209" w:rsidRDefault="008345C6">
      <w:pPr>
        <w:spacing w:after="120"/>
        <w:rPr>
          <w:rFonts w:ascii="Arial" w:hAnsi="Arial" w:cs="Arial"/>
        </w:rPr>
      </w:pPr>
      <w:r>
        <w:rPr>
          <w:rFonts w:ascii="Arial" w:hAnsi="Arial" w:cs="Arial"/>
        </w:rPr>
        <w:t>HPA shall establish a Security Operations Centre function, either in-house or through a managed SOC provider, to provide 24/7 monitoring of security alerts. SOC analysts shall triage alerts, investigate incidents, and coordinate response activities in accordance with the Incident Response Plan.</w:t>
      </w:r>
    </w:p>
    <w:p w14:paraId="7AF73731" w14:textId="77777777" w:rsidR="00505209" w:rsidRDefault="008345C6">
      <w:pPr>
        <w:spacing w:after="120"/>
        <w:rPr>
          <w:rFonts w:ascii="Arial" w:hAnsi="Arial" w:cs="Arial"/>
        </w:rPr>
      </w:pPr>
      <w:r>
        <w:rPr>
          <w:rFonts w:ascii="Arial" w:hAnsi="Arial" w:cs="Arial"/>
          <w:b/>
        </w:rPr>
        <w:t>Incident Response Workflow</w:t>
      </w:r>
    </w:p>
    <w:p w14:paraId="790D3A0C" w14:textId="77777777" w:rsidR="00505209" w:rsidRDefault="008345C6">
      <w:pPr>
        <w:spacing w:after="120"/>
        <w:rPr>
          <w:rFonts w:ascii="Arial" w:hAnsi="Arial" w:cs="Arial"/>
        </w:rPr>
      </w:pPr>
      <w:r>
        <w:rPr>
          <w:rFonts w:ascii="Arial" w:hAnsi="Arial" w:cs="Arial"/>
        </w:rPr>
        <w:t>The following five-phase incident response process, aligned with the NIST Incident Response Lifecycle, shall govern HPA’s response to security events:</w:t>
      </w:r>
    </w:p>
    <w:p w14:paraId="0B78EA41" w14:textId="77777777" w:rsidR="00505209" w:rsidRDefault="008345C6">
      <w:pPr>
        <w:numPr>
          <w:ilvl w:val="0"/>
          <w:numId w:val="1"/>
        </w:numPr>
        <w:spacing w:after="80"/>
      </w:pPr>
      <w:r>
        <w:rPr>
          <w:rFonts w:ascii="Arial" w:hAnsi="Arial" w:cs="Arial"/>
        </w:rPr>
        <w:t>Phase 1 — Preparation: Maintain documented IRP, assign response roles, conduct tabletop exercises annually, and ensure communication channels are established.</w:t>
      </w:r>
    </w:p>
    <w:p w14:paraId="38BF77E3" w14:textId="77777777" w:rsidR="00505209" w:rsidRDefault="008345C6">
      <w:pPr>
        <w:numPr>
          <w:ilvl w:val="0"/>
          <w:numId w:val="1"/>
        </w:numPr>
        <w:spacing w:after="80"/>
      </w:pPr>
      <w:r>
        <w:rPr>
          <w:rFonts w:ascii="Arial" w:hAnsi="Arial" w:cs="Arial"/>
        </w:rPr>
        <w:lastRenderedPageBreak/>
        <w:t>Phase 2 — Detection and Analysis: SIEM alerts trigger triage by SOC analysts. Incidents are classified by severity (Critical, High, Medium, Low). Evidence is collected and preserved for forensic investigation.</w:t>
      </w:r>
    </w:p>
    <w:p w14:paraId="246702C1" w14:textId="77777777" w:rsidR="00505209" w:rsidRDefault="008345C6">
      <w:pPr>
        <w:numPr>
          <w:ilvl w:val="0"/>
          <w:numId w:val="1"/>
        </w:numPr>
        <w:spacing w:after="80"/>
      </w:pPr>
      <w:r>
        <w:rPr>
          <w:rFonts w:ascii="Arial" w:hAnsi="Arial" w:cs="Arial"/>
        </w:rPr>
        <w:t>Phase 3 — Containment: Affected systems are isolated from the network to prevent further spread. Accounts suspected of compromise are locked pending investigation.</w:t>
      </w:r>
    </w:p>
    <w:p w14:paraId="1EE15DF0" w14:textId="77777777" w:rsidR="00505209" w:rsidRDefault="008345C6">
      <w:pPr>
        <w:numPr>
          <w:ilvl w:val="0"/>
          <w:numId w:val="1"/>
        </w:numPr>
        <w:spacing w:after="80"/>
      </w:pPr>
      <w:r>
        <w:rPr>
          <w:rFonts w:ascii="Arial" w:hAnsi="Arial" w:cs="Arial"/>
        </w:rPr>
        <w:t>Phase 4 — Eradication and Recovery: Malware is removed, vulnerabilities are patched, and clean backups are restored. Systems are returned to operational status following validation.</w:t>
      </w:r>
    </w:p>
    <w:p w14:paraId="46DD8007" w14:textId="77777777" w:rsidR="00505209" w:rsidRDefault="008345C6">
      <w:pPr>
        <w:numPr>
          <w:ilvl w:val="0"/>
          <w:numId w:val="1"/>
        </w:numPr>
        <w:spacing w:after="80"/>
      </w:pPr>
      <w:r>
        <w:rPr>
          <w:rFonts w:ascii="Arial" w:hAnsi="Arial" w:cs="Arial"/>
        </w:rPr>
        <w:t>Phase 5 — Post-Incident Review: A lessons learned review is conducted within two weeks of incident resolution. Findings inform policy and control updates.</w:t>
      </w:r>
    </w:p>
    <w:p w14:paraId="3A855D17" w14:textId="77777777" w:rsidR="00505209" w:rsidRDefault="008345C6">
      <w:pPr>
        <w:spacing w:after="120"/>
        <w:rPr>
          <w:rFonts w:ascii="Arial" w:hAnsi="Arial" w:cs="Arial"/>
        </w:rPr>
      </w:pPr>
      <w:r>
        <w:rPr>
          <w:rFonts w:ascii="Arial" w:hAnsi="Arial" w:cs="Arial"/>
          <w:b/>
        </w:rPr>
        <w:t>Regulatory Reporting</w:t>
      </w:r>
    </w:p>
    <w:p w14:paraId="29511F50" w14:textId="7C120A28" w:rsidR="00505209" w:rsidRDefault="008345C6">
      <w:pPr>
        <w:spacing w:after="120"/>
        <w:rPr>
          <w:rFonts w:ascii="Arial" w:hAnsi="Arial" w:cs="Arial"/>
        </w:rPr>
      </w:pPr>
      <w:r>
        <w:rPr>
          <w:rFonts w:ascii="Arial" w:hAnsi="Arial" w:cs="Arial"/>
        </w:rPr>
        <w:t>In the event of a personal data breach, HPA’s Data Protection Officer (DPO) shall notify the ICO within 72 hours as required by UK GDPR Article 33. Where the breach is likely to result in high risk to individuals, affected data subjects shall also be notified without undue delay per Article 34.</w:t>
      </w:r>
      <w:sdt>
        <w:sdtPr>
          <w:rPr>
            <w:rFonts w:ascii="Arial" w:hAnsi="Arial" w:cs="Arial"/>
          </w:rPr>
          <w:id w:val="1241598870"/>
          <w:citation/>
        </w:sdtPr>
        <w:sdtContent>
          <w:r w:rsidR="00F56CE8">
            <w:rPr>
              <w:rFonts w:ascii="Arial" w:hAnsi="Arial" w:cs="Arial"/>
            </w:rPr>
            <w:fldChar w:fldCharType="begin"/>
          </w:r>
          <w:r w:rsidR="00F56CE8">
            <w:rPr>
              <w:rFonts w:ascii="Arial" w:hAnsi="Arial" w:cs="Arial"/>
              <w:lang w:val="uk-UA"/>
            </w:rPr>
            <w:instrText xml:space="preserve"> CITATION Mic23 \l 1058 </w:instrText>
          </w:r>
          <w:r w:rsidR="00F56CE8">
            <w:rPr>
              <w:rFonts w:ascii="Arial" w:hAnsi="Arial" w:cs="Arial"/>
            </w:rPr>
            <w:fldChar w:fldCharType="separate"/>
          </w:r>
          <w:r w:rsidR="00F56CE8">
            <w:rPr>
              <w:rFonts w:ascii="Arial" w:hAnsi="Arial" w:cs="Arial"/>
              <w:noProof/>
              <w:lang w:val="uk-UA"/>
            </w:rPr>
            <w:t xml:space="preserve"> </w:t>
          </w:r>
          <w:r w:rsidR="00F56CE8" w:rsidRPr="00F56CE8">
            <w:rPr>
              <w:rFonts w:ascii="Arial" w:hAnsi="Arial" w:cs="Arial"/>
              <w:noProof/>
              <w:lang w:val="uk-UA"/>
            </w:rPr>
            <w:t>[3]</w:t>
          </w:r>
          <w:r w:rsidR="00F56CE8">
            <w:rPr>
              <w:rFonts w:ascii="Arial" w:hAnsi="Arial" w:cs="Arial"/>
            </w:rPr>
            <w:fldChar w:fldCharType="end"/>
          </w:r>
        </w:sdtContent>
      </w:sdt>
    </w:p>
    <w:p w14:paraId="282AFF61" w14:textId="77777777" w:rsidR="003F2B3E" w:rsidRDefault="003F2B3E" w:rsidP="00C779A2">
      <w:pPr>
        <w:pStyle w:val="Heading1"/>
      </w:pPr>
      <w:bookmarkStart w:id="7" w:name="_Toc223699685"/>
      <w:r>
        <w:t>Continuous Training and Awareness</w:t>
      </w:r>
      <w:bookmarkEnd w:id="7"/>
    </w:p>
    <w:p w14:paraId="1493F260" w14:textId="77777777" w:rsidR="00505209" w:rsidRDefault="008345C6">
      <w:pPr>
        <w:spacing w:after="120"/>
        <w:rPr>
          <w:rFonts w:ascii="Arial" w:hAnsi="Arial" w:cs="Arial"/>
        </w:rPr>
      </w:pPr>
      <w:r>
        <w:rPr>
          <w:rFonts w:ascii="Arial" w:hAnsi="Arial" w:cs="Arial"/>
        </w:rPr>
        <w:t>Technology controls alone are insufficient without a security-conscious workforce. Research consistently shows that human error remains the leading cause of data breaches (Verizon, 2024). HPA shall implement a structured, ongoing training programme to build security awareness at every level of the organisation.</w:t>
      </w:r>
    </w:p>
    <w:p w14:paraId="0AC600F4" w14:textId="77777777" w:rsidR="00505209" w:rsidRDefault="008345C6">
      <w:pPr>
        <w:spacing w:after="120"/>
        <w:rPr>
          <w:rFonts w:ascii="Arial" w:hAnsi="Arial" w:cs="Arial"/>
        </w:rPr>
      </w:pPr>
      <w:r>
        <w:rPr>
          <w:rFonts w:ascii="Arial" w:hAnsi="Arial" w:cs="Arial"/>
          <w:b/>
        </w:rPr>
        <w:t>Mandatory Security Induction Training</w:t>
      </w:r>
    </w:p>
    <w:p w14:paraId="691F4D55" w14:textId="77777777" w:rsidR="00505209" w:rsidRDefault="008345C6">
      <w:pPr>
        <w:spacing w:after="120"/>
        <w:rPr>
          <w:rFonts w:ascii="Arial" w:hAnsi="Arial" w:cs="Arial"/>
        </w:rPr>
      </w:pPr>
      <w:r>
        <w:rPr>
          <w:rFonts w:ascii="Arial" w:hAnsi="Arial" w:cs="Arial"/>
        </w:rPr>
        <w:t>All new employees, contractors, and third-party partners with system access must complete a mandatory security induction within their first week. This covers HPA’s security policies, data handling requirements, acceptable use rules, and how to report security incidents.</w:t>
      </w:r>
    </w:p>
    <w:p w14:paraId="70E694A9" w14:textId="77777777" w:rsidR="00505209" w:rsidRDefault="008345C6">
      <w:pPr>
        <w:spacing w:after="120"/>
        <w:rPr>
          <w:rFonts w:ascii="Arial" w:hAnsi="Arial" w:cs="Arial"/>
        </w:rPr>
      </w:pPr>
      <w:r>
        <w:rPr>
          <w:rFonts w:ascii="Arial" w:hAnsi="Arial" w:cs="Arial"/>
          <w:b/>
        </w:rPr>
        <w:t>Annual Refresher Training</w:t>
      </w:r>
    </w:p>
    <w:p w14:paraId="58E20EFB" w14:textId="77777777" w:rsidR="00505209" w:rsidRDefault="008345C6">
      <w:pPr>
        <w:spacing w:after="120"/>
        <w:rPr>
          <w:rFonts w:ascii="Arial" w:hAnsi="Arial" w:cs="Arial"/>
        </w:rPr>
      </w:pPr>
      <w:r>
        <w:rPr>
          <w:rFonts w:ascii="Arial" w:hAnsi="Arial" w:cs="Arial"/>
        </w:rPr>
        <w:t>All staff must complete annual refresher training aligned with the NHS Data Security and Protection Toolkit requirements. Training shall be delivered via an e-learning platform (e.g., KnowBe4, Mimecast Awareness Training) enabling completion tracking and automated reminders.</w:t>
      </w:r>
    </w:p>
    <w:p w14:paraId="73658920" w14:textId="77777777" w:rsidR="00505209" w:rsidRDefault="008345C6">
      <w:pPr>
        <w:spacing w:after="120"/>
        <w:rPr>
          <w:rFonts w:ascii="Arial" w:hAnsi="Arial" w:cs="Arial"/>
        </w:rPr>
      </w:pPr>
      <w:r>
        <w:rPr>
          <w:rFonts w:ascii="Arial" w:hAnsi="Arial" w:cs="Arial"/>
          <w:b/>
        </w:rPr>
        <w:t>Phishing Simulation Exercises</w:t>
      </w:r>
    </w:p>
    <w:p w14:paraId="194A7794" w14:textId="4F5AEF3D" w:rsidR="00505209" w:rsidRDefault="008345C6">
      <w:pPr>
        <w:spacing w:after="120"/>
        <w:rPr>
          <w:rFonts w:ascii="Arial" w:hAnsi="Arial" w:cs="Arial"/>
        </w:rPr>
      </w:pPr>
      <w:r>
        <w:rPr>
          <w:rFonts w:ascii="Arial" w:hAnsi="Arial" w:cs="Arial"/>
        </w:rPr>
        <w:t>Monthly simulated phishing campaigns shall be conducted using platforms such as KnowBe4 or Proofpoint Security Awareness Training. Staff who fail simulations are automatically enrolled in targeted remedial training. Campaign results are reported to senior management quarterly to track improvement trends.</w:t>
      </w:r>
      <w:sdt>
        <w:sdtPr>
          <w:rPr>
            <w:rFonts w:ascii="Arial" w:hAnsi="Arial" w:cs="Arial"/>
          </w:rPr>
          <w:id w:val="-2084434663"/>
          <w:citation/>
        </w:sdtPr>
        <w:sdtContent>
          <w:r w:rsidR="00F56CE8">
            <w:rPr>
              <w:rFonts w:ascii="Arial" w:hAnsi="Arial" w:cs="Arial"/>
            </w:rPr>
            <w:fldChar w:fldCharType="begin"/>
          </w:r>
          <w:r w:rsidR="00F56CE8">
            <w:rPr>
              <w:rFonts w:ascii="Arial" w:hAnsi="Arial" w:cs="Arial"/>
              <w:lang w:val="uk-UA"/>
            </w:rPr>
            <w:instrText xml:space="preserve"> CITATION Inf23 \l 1058 </w:instrText>
          </w:r>
          <w:r w:rsidR="00F56CE8">
            <w:rPr>
              <w:rFonts w:ascii="Arial" w:hAnsi="Arial" w:cs="Arial"/>
            </w:rPr>
            <w:fldChar w:fldCharType="separate"/>
          </w:r>
          <w:r w:rsidR="00F56CE8">
            <w:rPr>
              <w:rFonts w:ascii="Arial" w:hAnsi="Arial" w:cs="Arial"/>
              <w:noProof/>
              <w:lang w:val="uk-UA"/>
            </w:rPr>
            <w:t xml:space="preserve"> </w:t>
          </w:r>
          <w:r w:rsidR="00F56CE8" w:rsidRPr="00F56CE8">
            <w:rPr>
              <w:rFonts w:ascii="Arial" w:hAnsi="Arial" w:cs="Arial"/>
              <w:noProof/>
              <w:lang w:val="uk-UA"/>
            </w:rPr>
            <w:t>[4]</w:t>
          </w:r>
          <w:r w:rsidR="00F56CE8">
            <w:rPr>
              <w:rFonts w:ascii="Arial" w:hAnsi="Arial" w:cs="Arial"/>
            </w:rPr>
            <w:fldChar w:fldCharType="end"/>
          </w:r>
        </w:sdtContent>
      </w:sdt>
    </w:p>
    <w:p w14:paraId="58DA326B" w14:textId="77777777" w:rsidR="00505209" w:rsidRDefault="008345C6">
      <w:pPr>
        <w:spacing w:after="120"/>
        <w:rPr>
          <w:rFonts w:ascii="Arial" w:hAnsi="Arial" w:cs="Arial"/>
        </w:rPr>
      </w:pPr>
      <w:r>
        <w:rPr>
          <w:rFonts w:ascii="Arial" w:hAnsi="Arial" w:cs="Arial"/>
          <w:b/>
        </w:rPr>
        <w:t>Role-Specific Training</w:t>
      </w:r>
    </w:p>
    <w:p w14:paraId="45CD21EA" w14:textId="77777777" w:rsidR="00505209" w:rsidRDefault="008345C6">
      <w:pPr>
        <w:spacing w:after="120"/>
        <w:rPr>
          <w:rFonts w:ascii="Arial" w:hAnsi="Arial" w:cs="Arial"/>
        </w:rPr>
      </w:pPr>
      <w:r>
        <w:rPr>
          <w:rFonts w:ascii="Arial" w:hAnsi="Arial" w:cs="Arial"/>
        </w:rPr>
        <w:t>Targeted training shall be provided for high-risk roles:</w:t>
      </w:r>
    </w:p>
    <w:p w14:paraId="699AEF30" w14:textId="77777777" w:rsidR="00505209" w:rsidRDefault="008345C6">
      <w:pPr>
        <w:numPr>
          <w:ilvl w:val="0"/>
          <w:numId w:val="1"/>
        </w:numPr>
        <w:spacing w:after="80"/>
      </w:pPr>
      <w:r>
        <w:rPr>
          <w:rFonts w:ascii="Arial" w:hAnsi="Arial" w:cs="Arial"/>
        </w:rPr>
        <w:t>IT and Development Teams: Secure coding practices, vulnerability management, and cloud security configuration.</w:t>
      </w:r>
    </w:p>
    <w:p w14:paraId="77D6F4D4" w14:textId="77777777" w:rsidR="00505209" w:rsidRDefault="008345C6">
      <w:pPr>
        <w:numPr>
          <w:ilvl w:val="0"/>
          <w:numId w:val="1"/>
        </w:numPr>
        <w:spacing w:after="80"/>
      </w:pPr>
      <w:r>
        <w:rPr>
          <w:rFonts w:ascii="Arial" w:hAnsi="Arial" w:cs="Arial"/>
        </w:rPr>
        <w:t>Finance and HR Teams: Social engineering awareness, wire fraud prevention, and secure data handling.</w:t>
      </w:r>
    </w:p>
    <w:p w14:paraId="0C7B548B" w14:textId="77777777" w:rsidR="00505209" w:rsidRDefault="008345C6">
      <w:pPr>
        <w:numPr>
          <w:ilvl w:val="0"/>
          <w:numId w:val="1"/>
        </w:numPr>
        <w:spacing w:after="80"/>
      </w:pPr>
      <w:r>
        <w:rPr>
          <w:rFonts w:ascii="Arial" w:hAnsi="Arial" w:cs="Arial"/>
        </w:rPr>
        <w:t>Clinical Liaison and Data Analysts: Patient data protection, UK GDPR obligations, and incident reporting procedures.</w:t>
      </w:r>
    </w:p>
    <w:p w14:paraId="7266FEC8" w14:textId="77777777" w:rsidR="00505209" w:rsidRDefault="008345C6">
      <w:pPr>
        <w:numPr>
          <w:ilvl w:val="0"/>
          <w:numId w:val="1"/>
        </w:numPr>
        <w:spacing w:after="80"/>
      </w:pPr>
      <w:r>
        <w:rPr>
          <w:rFonts w:ascii="Arial" w:hAnsi="Arial" w:cs="Arial"/>
        </w:rPr>
        <w:lastRenderedPageBreak/>
        <w:t>Senior Management and Board: Cyber risk governance, regulatory obligations, and crisis communication.</w:t>
      </w:r>
    </w:p>
    <w:p w14:paraId="744937E3" w14:textId="77777777" w:rsidR="00505209" w:rsidRDefault="008345C6">
      <w:pPr>
        <w:spacing w:after="120"/>
        <w:rPr>
          <w:rFonts w:ascii="Arial" w:hAnsi="Arial" w:cs="Arial"/>
        </w:rPr>
      </w:pPr>
      <w:r>
        <w:rPr>
          <w:rFonts w:ascii="Arial" w:hAnsi="Arial" w:cs="Arial"/>
          <w:b/>
        </w:rPr>
        <w:t>Security Champions Programme</w:t>
      </w:r>
    </w:p>
    <w:p w14:paraId="37F1FBC6" w14:textId="596966D5" w:rsidR="00505209" w:rsidRDefault="008345C6">
      <w:pPr>
        <w:spacing w:after="120"/>
        <w:rPr>
          <w:rFonts w:ascii="Arial" w:hAnsi="Arial" w:cs="Arial"/>
        </w:rPr>
      </w:pPr>
      <w:r>
        <w:rPr>
          <w:rFonts w:ascii="Arial" w:hAnsi="Arial" w:cs="Arial"/>
        </w:rPr>
        <w:t>HPA shall designate Security Champions within each department — employees trained to act as first-line advocates for security awareness, answer basic security queries from colleagues, and escalate concerns to the IT Security team. This creates a distributed security culture and reduces reliance on centralised IT support.</w:t>
      </w:r>
      <w:sdt>
        <w:sdtPr>
          <w:rPr>
            <w:rFonts w:ascii="Arial" w:hAnsi="Arial" w:cs="Arial"/>
          </w:rPr>
          <w:id w:val="2136369093"/>
          <w:citation/>
        </w:sdtPr>
        <w:sdtContent>
          <w:r w:rsidR="00F56CE8">
            <w:rPr>
              <w:rFonts w:ascii="Arial" w:hAnsi="Arial" w:cs="Arial"/>
            </w:rPr>
            <w:fldChar w:fldCharType="begin"/>
          </w:r>
          <w:r w:rsidR="00F56CE8">
            <w:rPr>
              <w:rFonts w:ascii="Arial" w:hAnsi="Arial" w:cs="Arial"/>
              <w:lang w:val="uk-UA"/>
            </w:rPr>
            <w:instrText xml:space="preserve"> CITATION Nat18 \l 1058 </w:instrText>
          </w:r>
          <w:r w:rsidR="00F56CE8">
            <w:rPr>
              <w:rFonts w:ascii="Arial" w:hAnsi="Arial" w:cs="Arial"/>
            </w:rPr>
            <w:fldChar w:fldCharType="separate"/>
          </w:r>
          <w:r w:rsidR="00F56CE8">
            <w:rPr>
              <w:rFonts w:ascii="Arial" w:hAnsi="Arial" w:cs="Arial"/>
              <w:noProof/>
              <w:lang w:val="uk-UA"/>
            </w:rPr>
            <w:t xml:space="preserve"> </w:t>
          </w:r>
          <w:r w:rsidR="00F56CE8" w:rsidRPr="00F56CE8">
            <w:rPr>
              <w:rFonts w:ascii="Arial" w:hAnsi="Arial" w:cs="Arial"/>
              <w:noProof/>
              <w:lang w:val="uk-UA"/>
            </w:rPr>
            <w:t>[5]</w:t>
          </w:r>
          <w:r w:rsidR="00F56CE8">
            <w:rPr>
              <w:rFonts w:ascii="Arial" w:hAnsi="Arial" w:cs="Arial"/>
            </w:rPr>
            <w:fldChar w:fldCharType="end"/>
          </w:r>
        </w:sdtContent>
      </w:sdt>
    </w:p>
    <w:p w14:paraId="59549B97" w14:textId="77777777" w:rsidR="00505209" w:rsidRDefault="008345C6">
      <w:pPr>
        <w:spacing w:after="120"/>
        <w:rPr>
          <w:rFonts w:ascii="Arial" w:hAnsi="Arial" w:cs="Arial"/>
        </w:rPr>
      </w:pPr>
      <w:r>
        <w:rPr>
          <w:rFonts w:ascii="Arial" w:hAnsi="Arial" w:cs="Arial"/>
          <w:b/>
        </w:rPr>
        <w:t>Metrics and Effectiveness Measurement</w:t>
      </w:r>
    </w:p>
    <w:p w14:paraId="1DE1E6B2" w14:textId="040F0D7A" w:rsidR="00505209" w:rsidRDefault="008345C6">
      <w:pPr>
        <w:spacing w:after="120"/>
        <w:rPr>
          <w:rFonts w:ascii="Arial" w:hAnsi="Arial" w:cs="Arial"/>
        </w:rPr>
      </w:pPr>
      <w:r>
        <w:rPr>
          <w:rFonts w:ascii="Arial" w:hAnsi="Arial" w:cs="Arial"/>
        </w:rPr>
        <w:t>Training effectiveness shall be measured through phishing click rates, training completion rates, incident reporting rates, and quarterly knowledge assessments. Results shall be reviewed by the CISO and reported to the Board annually as part of the organisation’s security governance reporting.</w:t>
      </w:r>
      <w:sdt>
        <w:sdtPr>
          <w:rPr>
            <w:rFonts w:ascii="Arial" w:hAnsi="Arial" w:cs="Arial"/>
          </w:rPr>
          <w:id w:val="1498840442"/>
          <w:citation/>
        </w:sdtPr>
        <w:sdtContent>
          <w:r w:rsidR="00F56CE8">
            <w:rPr>
              <w:rFonts w:ascii="Arial" w:hAnsi="Arial" w:cs="Arial"/>
            </w:rPr>
            <w:fldChar w:fldCharType="begin"/>
          </w:r>
          <w:r w:rsidR="00F56CE8">
            <w:rPr>
              <w:rFonts w:ascii="Arial" w:hAnsi="Arial" w:cs="Arial"/>
              <w:lang w:val="uk-UA"/>
            </w:rPr>
            <w:instrText xml:space="preserve"> CITATION Cen21 \l 1058 </w:instrText>
          </w:r>
          <w:r w:rsidR="00F56CE8">
            <w:rPr>
              <w:rFonts w:ascii="Arial" w:hAnsi="Arial" w:cs="Arial"/>
            </w:rPr>
            <w:fldChar w:fldCharType="separate"/>
          </w:r>
          <w:r w:rsidR="00F56CE8">
            <w:rPr>
              <w:rFonts w:ascii="Arial" w:hAnsi="Arial" w:cs="Arial"/>
              <w:noProof/>
              <w:lang w:val="uk-UA"/>
            </w:rPr>
            <w:t xml:space="preserve"> </w:t>
          </w:r>
          <w:r w:rsidR="00F56CE8" w:rsidRPr="00F56CE8">
            <w:rPr>
              <w:rFonts w:ascii="Arial" w:hAnsi="Arial" w:cs="Arial"/>
              <w:noProof/>
              <w:lang w:val="uk-UA"/>
            </w:rPr>
            <w:t>[6]</w:t>
          </w:r>
          <w:r w:rsidR="00F56CE8">
            <w:rPr>
              <w:rFonts w:ascii="Arial" w:hAnsi="Arial" w:cs="Arial"/>
            </w:rPr>
            <w:fldChar w:fldCharType="end"/>
          </w:r>
        </w:sdtContent>
      </w:sdt>
    </w:p>
    <w:p w14:paraId="7E5BF149" w14:textId="77777777" w:rsidR="003F2B3E" w:rsidRDefault="003F2B3E" w:rsidP="00C779A2">
      <w:pPr>
        <w:pStyle w:val="Heading1"/>
      </w:pPr>
      <w:bookmarkStart w:id="8" w:name="_Toc223699686"/>
      <w:r>
        <w:t>Conclusion</w:t>
      </w:r>
      <w:bookmarkEnd w:id="8"/>
    </w:p>
    <w:p w14:paraId="28446752" w14:textId="77777777" w:rsidR="00505209" w:rsidRDefault="008345C6">
      <w:pPr>
        <w:spacing w:after="120"/>
        <w:rPr>
          <w:rFonts w:ascii="Arial" w:hAnsi="Arial" w:cs="Arial"/>
        </w:rPr>
      </w:pPr>
      <w:r>
        <w:rPr>
          <w:rFonts w:ascii="Arial" w:hAnsi="Arial" w:cs="Arial"/>
        </w:rPr>
        <w:t>HealthPlus Analytics operates in a high-risk environment where the confidentiality, integrity, and availability of sensitive patient data must be protected not only as a legal obligation but as an ethical imperative. The cybersecurity incidents HPA has recently experienced serve as a clear warning that existing controls are insufficient in the face of evolving and sophisticated threats.</w:t>
      </w:r>
    </w:p>
    <w:p w14:paraId="633C7A8C" w14:textId="77777777" w:rsidR="00505209" w:rsidRDefault="008345C6">
      <w:pPr>
        <w:spacing w:after="120"/>
        <w:rPr>
          <w:rFonts w:ascii="Arial" w:hAnsi="Arial" w:cs="Arial"/>
        </w:rPr>
      </w:pPr>
      <w:r>
        <w:rPr>
          <w:rFonts w:ascii="Arial" w:hAnsi="Arial" w:cs="Arial"/>
        </w:rPr>
        <w:t>This report has outlined a comprehensive, risk-based framework that addresses the full spectrum of HPA’s security challenges. By identifying both internal and external threats — including ransomware, phishing, insider risks, and cloud misconfigurations — the framework provides a clear foundation for targeted defensive action. The proposed security policies align with ISO 27001, the NIST Cybersecurity Framework, and UK GDPR, ensuring HPA can demonstrate compliance to regulators and build trust with NHS clien</w:t>
      </w:r>
      <w:r>
        <w:rPr>
          <w:rFonts w:ascii="Arial" w:hAnsi="Arial" w:cs="Arial"/>
        </w:rPr>
        <w:t>ts.</w:t>
      </w:r>
    </w:p>
    <w:p w14:paraId="22362AD2" w14:textId="77777777" w:rsidR="00505209" w:rsidRDefault="008345C6">
      <w:pPr>
        <w:spacing w:after="120"/>
        <w:rPr>
          <w:rFonts w:ascii="Arial" w:hAnsi="Arial" w:cs="Arial"/>
        </w:rPr>
      </w:pPr>
      <w:r>
        <w:rPr>
          <w:rFonts w:ascii="Arial" w:hAnsi="Arial" w:cs="Arial"/>
        </w:rPr>
        <w:t>Technical mitigation measures including MFA, EDR, Zero Trust networking, CSPM, and robust backup strategies directly reduce the likelihood and impact of future incidents. The monitoring and incident response framework, built around a SIEM-driven SOC and the NIST Incident Response Lifecycle, ensures threats are detected rapidly and managed in a structured, legally compliant manner.</w:t>
      </w:r>
    </w:p>
    <w:p w14:paraId="13158B97" w14:textId="77777777" w:rsidR="00505209" w:rsidRDefault="008345C6">
      <w:pPr>
        <w:spacing w:after="120"/>
        <w:rPr>
          <w:rFonts w:ascii="Arial" w:hAnsi="Arial" w:cs="Arial"/>
        </w:rPr>
      </w:pPr>
      <w:r>
        <w:rPr>
          <w:rFonts w:ascii="Arial" w:hAnsi="Arial" w:cs="Arial"/>
        </w:rPr>
        <w:t>Crucially, the training and awareness programme recognises that people are both the greatest vulnerability and the most valuable asset in cybersecurity. By embedding security awareness at every level of the organisation through induction, ongoing training, phishing simulations, and a Security Champions network, HPA can cultivate a resilient security culture that complements technical controls.</w:t>
      </w:r>
    </w:p>
    <w:p w14:paraId="3C98D667" w14:textId="77777777" w:rsidR="00505209" w:rsidRDefault="008345C6">
      <w:pPr>
        <w:spacing w:after="120"/>
        <w:rPr>
          <w:rFonts w:ascii="Arial" w:hAnsi="Arial" w:cs="Arial"/>
        </w:rPr>
      </w:pPr>
      <w:r>
        <w:rPr>
          <w:rFonts w:ascii="Arial" w:hAnsi="Arial" w:cs="Arial"/>
        </w:rPr>
        <w:t>Implementing these recommendations will position HPA as a trusted, compliant, and security-conscious healthcare technology partner — safeguarding patient data, protecting the organisation’s reputation, and supporting the long-term sustainability of its business.</w:t>
      </w:r>
    </w:p>
    <w:p w14:paraId="4E66103F" w14:textId="77777777" w:rsidR="003F2B3E" w:rsidRDefault="003F2B3E" w:rsidP="00C779A2">
      <w:pPr>
        <w:pStyle w:val="Heading1"/>
        <w:rPr>
          <w:lang w:val="uk-UA"/>
        </w:rPr>
      </w:pPr>
      <w:bookmarkStart w:id="9" w:name="_Toc223699687"/>
      <w:r>
        <w:t>References</w:t>
      </w:r>
      <w:bookmarkEnd w:id="9"/>
    </w:p>
    <w:tbl>
      <w:tblPr>
        <w:tblpPr w:leftFromText="180" w:rightFromText="180" w:vertAnchor="text" w:horzAnchor="margin" w:tblpY="173"/>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56CE8" w14:paraId="58A426CF" w14:textId="77777777" w:rsidTr="00F56CE8">
        <w:trPr>
          <w:tblCellSpacing w:w="15" w:type="dxa"/>
        </w:trPr>
        <w:tc>
          <w:tcPr>
            <w:tcW w:w="153" w:type="pct"/>
            <w:hideMark/>
          </w:tcPr>
          <w:p w14:paraId="7AEA2E39" w14:textId="77777777" w:rsidR="00F56CE8" w:rsidRDefault="00F56CE8" w:rsidP="00F56CE8">
            <w:pPr>
              <w:pStyle w:val="Bibliography"/>
              <w:rPr>
                <w:noProof/>
                <w:sz w:val="24"/>
                <w:szCs w:val="24"/>
              </w:rPr>
            </w:pPr>
            <w:r>
              <w:rPr>
                <w:noProof/>
              </w:rPr>
              <w:t xml:space="preserve">[1] </w:t>
            </w:r>
          </w:p>
        </w:tc>
        <w:tc>
          <w:tcPr>
            <w:tcW w:w="0" w:type="auto"/>
            <w:hideMark/>
          </w:tcPr>
          <w:p w14:paraId="04FC2856" w14:textId="77777777" w:rsidR="00F56CE8" w:rsidRDefault="00F56CE8" w:rsidP="00F56CE8">
            <w:pPr>
              <w:pStyle w:val="Bibliography"/>
              <w:rPr>
                <w:noProof/>
              </w:rPr>
            </w:pPr>
            <w:r>
              <w:rPr>
                <w:noProof/>
              </w:rPr>
              <w:t>C. f. I. Security, “CIS Controls,” 2021.</w:t>
            </w:r>
          </w:p>
        </w:tc>
      </w:tr>
      <w:tr w:rsidR="00F56CE8" w14:paraId="1F3B6B18" w14:textId="77777777" w:rsidTr="00F56CE8">
        <w:trPr>
          <w:tblCellSpacing w:w="15" w:type="dxa"/>
        </w:trPr>
        <w:tc>
          <w:tcPr>
            <w:tcW w:w="153" w:type="pct"/>
            <w:hideMark/>
          </w:tcPr>
          <w:p w14:paraId="2C71BC8D" w14:textId="77777777" w:rsidR="00F56CE8" w:rsidRDefault="00F56CE8" w:rsidP="00F56CE8">
            <w:pPr>
              <w:pStyle w:val="Bibliography"/>
              <w:rPr>
                <w:noProof/>
              </w:rPr>
            </w:pPr>
            <w:r>
              <w:rPr>
                <w:noProof/>
              </w:rPr>
              <w:t xml:space="preserve">[2] </w:t>
            </w:r>
          </w:p>
        </w:tc>
        <w:tc>
          <w:tcPr>
            <w:tcW w:w="0" w:type="auto"/>
            <w:hideMark/>
          </w:tcPr>
          <w:p w14:paraId="225B2F89" w14:textId="77777777" w:rsidR="00F56CE8" w:rsidRDefault="00F56CE8" w:rsidP="00F56CE8">
            <w:pPr>
              <w:pStyle w:val="Bibliography"/>
              <w:rPr>
                <w:noProof/>
              </w:rPr>
            </w:pPr>
            <w:r>
              <w:rPr>
                <w:noProof/>
              </w:rPr>
              <w:t>C. a. I. S. Agency, “Insider Threat Mitigation Guide,” 2025.</w:t>
            </w:r>
          </w:p>
        </w:tc>
      </w:tr>
      <w:tr w:rsidR="00F56CE8" w14:paraId="2F2898E6" w14:textId="77777777" w:rsidTr="00F56CE8">
        <w:trPr>
          <w:tblCellSpacing w:w="15" w:type="dxa"/>
        </w:trPr>
        <w:tc>
          <w:tcPr>
            <w:tcW w:w="153" w:type="pct"/>
            <w:hideMark/>
          </w:tcPr>
          <w:p w14:paraId="458846C5" w14:textId="77777777" w:rsidR="00F56CE8" w:rsidRDefault="00F56CE8" w:rsidP="00F56CE8">
            <w:pPr>
              <w:pStyle w:val="Bibliography"/>
              <w:rPr>
                <w:noProof/>
              </w:rPr>
            </w:pPr>
            <w:r>
              <w:rPr>
                <w:noProof/>
              </w:rPr>
              <w:lastRenderedPageBreak/>
              <w:t xml:space="preserve">[3] </w:t>
            </w:r>
          </w:p>
        </w:tc>
        <w:tc>
          <w:tcPr>
            <w:tcW w:w="0" w:type="auto"/>
            <w:hideMark/>
          </w:tcPr>
          <w:p w14:paraId="180FBF3F" w14:textId="77777777" w:rsidR="00F56CE8" w:rsidRDefault="00F56CE8" w:rsidP="00F56CE8">
            <w:pPr>
              <w:pStyle w:val="Bibliography"/>
              <w:rPr>
                <w:noProof/>
              </w:rPr>
            </w:pPr>
            <w:r>
              <w:rPr>
                <w:noProof/>
              </w:rPr>
              <w:t>FireEye, “Highly Evasive Attacker Leverages SolarWinds Supply Chain to Compromise Multiple Global Victims With SUNBURST Backdoor,” 2020.</w:t>
            </w:r>
          </w:p>
        </w:tc>
      </w:tr>
      <w:tr w:rsidR="00F56CE8" w14:paraId="5D20D7DD" w14:textId="77777777" w:rsidTr="00F56CE8">
        <w:trPr>
          <w:tblCellSpacing w:w="15" w:type="dxa"/>
        </w:trPr>
        <w:tc>
          <w:tcPr>
            <w:tcW w:w="153" w:type="pct"/>
            <w:hideMark/>
          </w:tcPr>
          <w:p w14:paraId="437E6E32" w14:textId="77777777" w:rsidR="00F56CE8" w:rsidRDefault="00F56CE8" w:rsidP="00F56CE8">
            <w:pPr>
              <w:pStyle w:val="Bibliography"/>
              <w:rPr>
                <w:noProof/>
              </w:rPr>
            </w:pPr>
            <w:r>
              <w:rPr>
                <w:noProof/>
              </w:rPr>
              <w:t xml:space="preserve">[4] </w:t>
            </w:r>
          </w:p>
        </w:tc>
        <w:tc>
          <w:tcPr>
            <w:tcW w:w="0" w:type="auto"/>
            <w:hideMark/>
          </w:tcPr>
          <w:p w14:paraId="6456484F" w14:textId="77777777" w:rsidR="00F56CE8" w:rsidRDefault="00F56CE8" w:rsidP="00F56CE8">
            <w:pPr>
              <w:pStyle w:val="Bibliography"/>
              <w:rPr>
                <w:noProof/>
              </w:rPr>
            </w:pPr>
            <w:r>
              <w:rPr>
                <w:noProof/>
              </w:rPr>
              <w:t>I. C. Office, “MOVEit Transfer Vulnerability: Guidance for Organisations,” 2023.</w:t>
            </w:r>
          </w:p>
        </w:tc>
      </w:tr>
      <w:tr w:rsidR="00F56CE8" w14:paraId="250C7479" w14:textId="77777777" w:rsidTr="00F56CE8">
        <w:trPr>
          <w:tblCellSpacing w:w="15" w:type="dxa"/>
        </w:trPr>
        <w:tc>
          <w:tcPr>
            <w:tcW w:w="153" w:type="pct"/>
            <w:hideMark/>
          </w:tcPr>
          <w:p w14:paraId="500618F8" w14:textId="77777777" w:rsidR="00F56CE8" w:rsidRDefault="00F56CE8" w:rsidP="00F56CE8">
            <w:pPr>
              <w:pStyle w:val="Bibliography"/>
              <w:rPr>
                <w:noProof/>
              </w:rPr>
            </w:pPr>
            <w:r>
              <w:rPr>
                <w:noProof/>
              </w:rPr>
              <w:t xml:space="preserve">[5] </w:t>
            </w:r>
          </w:p>
        </w:tc>
        <w:tc>
          <w:tcPr>
            <w:tcW w:w="0" w:type="auto"/>
            <w:hideMark/>
          </w:tcPr>
          <w:p w14:paraId="14F8BA36" w14:textId="77777777" w:rsidR="00F56CE8" w:rsidRDefault="00F56CE8" w:rsidP="00F56CE8">
            <w:pPr>
              <w:pStyle w:val="Bibliography"/>
              <w:rPr>
                <w:noProof/>
              </w:rPr>
            </w:pPr>
            <w:r>
              <w:rPr>
                <w:noProof/>
              </w:rPr>
              <w:t>Microsoft, “Digital Defense Report 2023,” 2023.</w:t>
            </w:r>
          </w:p>
        </w:tc>
      </w:tr>
      <w:tr w:rsidR="00F56CE8" w14:paraId="17EF8C56" w14:textId="77777777" w:rsidTr="00F56CE8">
        <w:trPr>
          <w:tblCellSpacing w:w="15" w:type="dxa"/>
        </w:trPr>
        <w:tc>
          <w:tcPr>
            <w:tcW w:w="153" w:type="pct"/>
            <w:hideMark/>
          </w:tcPr>
          <w:p w14:paraId="69DD0B0A" w14:textId="77777777" w:rsidR="00F56CE8" w:rsidRDefault="00F56CE8" w:rsidP="00F56CE8">
            <w:pPr>
              <w:pStyle w:val="Bibliography"/>
              <w:rPr>
                <w:noProof/>
              </w:rPr>
            </w:pPr>
            <w:r>
              <w:rPr>
                <w:noProof/>
              </w:rPr>
              <w:t xml:space="preserve">[6] </w:t>
            </w:r>
          </w:p>
        </w:tc>
        <w:tc>
          <w:tcPr>
            <w:tcW w:w="0" w:type="auto"/>
            <w:hideMark/>
          </w:tcPr>
          <w:p w14:paraId="5FFD6A9A" w14:textId="77777777" w:rsidR="00F56CE8" w:rsidRDefault="00F56CE8" w:rsidP="00F56CE8">
            <w:pPr>
              <w:pStyle w:val="Bibliography"/>
              <w:rPr>
                <w:noProof/>
              </w:rPr>
            </w:pPr>
            <w:r>
              <w:rPr>
                <w:noProof/>
              </w:rPr>
              <w:t>N. A. Office, “ Investigation: WannaCry Cyber Attack and the NHS,” 2018.</w:t>
            </w:r>
          </w:p>
        </w:tc>
      </w:tr>
    </w:tbl>
    <w:sdt>
      <w:sdtPr>
        <w:id w:val="1988815142"/>
        <w:docPartObj>
          <w:docPartGallery w:val="Bibliographies"/>
          <w:docPartUnique/>
        </w:docPartObj>
      </w:sdtPr>
      <w:sdtEndPr>
        <w:rPr>
          <w:rFonts w:asciiTheme="minorHAnsi" w:eastAsiaTheme="minorHAnsi" w:hAnsiTheme="minorHAnsi" w:cstheme="minorBidi"/>
          <w:b w:val="0"/>
          <w:color w:val="auto"/>
          <w:sz w:val="22"/>
          <w:szCs w:val="22"/>
        </w:rPr>
      </w:sdtEndPr>
      <w:sdtContent>
        <w:p w14:paraId="5D766D6B" w14:textId="6749F3F3" w:rsidR="00F56CE8" w:rsidRPr="00F56CE8" w:rsidRDefault="00F56CE8">
          <w:pPr>
            <w:pStyle w:val="Heading1"/>
            <w:rPr>
              <w:lang w:val="uk-UA"/>
            </w:rPr>
          </w:pPr>
        </w:p>
        <w:sdt>
          <w:sdtPr>
            <w:id w:val="111145805"/>
            <w:bibliography/>
          </w:sdtPr>
          <w:sdtContent>
            <w:p w14:paraId="0DDF4C91" w14:textId="77777777" w:rsidR="00F56CE8" w:rsidRDefault="00F56CE8">
              <w:pPr>
                <w:rPr>
                  <w:noProof/>
                </w:rPr>
              </w:pPr>
              <w:r>
                <w:fldChar w:fldCharType="begin"/>
              </w:r>
              <w:r>
                <w:instrText xml:space="preserve"> BIBLIOGRAPHY </w:instrText>
              </w:r>
              <w:r>
                <w:fldChar w:fldCharType="separate"/>
              </w:r>
            </w:p>
            <w:p w14:paraId="65C5B842" w14:textId="77777777" w:rsidR="00F56CE8" w:rsidRDefault="00F56CE8">
              <w:pPr>
                <w:divId w:val="506020513"/>
                <w:rPr>
                  <w:rFonts w:eastAsia="Times New Roman"/>
                  <w:noProof/>
                </w:rPr>
              </w:pPr>
            </w:p>
            <w:p w14:paraId="2350835B" w14:textId="0451E31F" w:rsidR="00F56CE8" w:rsidRDefault="00F56CE8">
              <w:r>
                <w:rPr>
                  <w:b/>
                  <w:bCs/>
                  <w:noProof/>
                </w:rPr>
                <w:fldChar w:fldCharType="end"/>
              </w:r>
            </w:p>
          </w:sdtContent>
        </w:sdt>
      </w:sdtContent>
    </w:sdt>
    <w:p w14:paraId="1E58981E" w14:textId="4970FB5C" w:rsidR="00F56CE8" w:rsidRPr="00F56CE8" w:rsidRDefault="00F56CE8" w:rsidP="00F56CE8">
      <w:pPr>
        <w:rPr>
          <w:lang w:val="uk-UA"/>
        </w:rPr>
      </w:pPr>
    </w:p>
    <w:p w14:paraId="3B033746" w14:textId="77777777" w:rsidR="003F2B3E" w:rsidRPr="003F2B3E" w:rsidRDefault="003F2B3E" w:rsidP="00C779A2">
      <w:pPr>
        <w:pStyle w:val="Heading1"/>
      </w:pPr>
      <w:bookmarkStart w:id="10" w:name="_Toc223699688"/>
      <w:r>
        <w:t>Appendix A: Screenshot of the Board of Directors PowerPoint presentation</w:t>
      </w:r>
      <w:bookmarkEnd w:id="10"/>
    </w:p>
    <w:p w14:paraId="056C4E74" w14:textId="77777777" w:rsidR="00C779A2" w:rsidRDefault="00C779A2" w:rsidP="003F2B3E">
      <w:pPr>
        <w:spacing w:after="0"/>
        <w:rPr>
          <w:rFonts w:ascii="Arial" w:hAnsi="Arial" w:cs="Arial"/>
        </w:rPr>
      </w:pPr>
    </w:p>
    <w:p w14:paraId="1557C71F" w14:textId="77777777" w:rsidR="00F56CE8" w:rsidRDefault="00F56CE8" w:rsidP="003F2B3E">
      <w:pPr>
        <w:spacing w:after="0"/>
        <w:rPr>
          <w:rFonts w:ascii="Arial" w:hAnsi="Arial" w:cs="Arial"/>
          <w:lang w:val="uk-UA"/>
        </w:rPr>
      </w:pPr>
    </w:p>
    <w:p w14:paraId="270A5956" w14:textId="7B3402AE" w:rsidR="00C779A2" w:rsidRDefault="00F56CE8" w:rsidP="003F2B3E">
      <w:pPr>
        <w:spacing w:after="0"/>
        <w:rPr>
          <w:rFonts w:ascii="Arial" w:hAnsi="Arial" w:cs="Arial"/>
          <w:lang w:val="uk-UA"/>
        </w:rPr>
      </w:pPr>
      <w:r w:rsidRPr="00F56CE8">
        <w:rPr>
          <w:rFonts w:ascii="Arial" w:hAnsi="Arial" w:cs="Arial"/>
        </w:rPr>
        <w:drawing>
          <wp:inline distT="0" distB="0" distL="0" distR="0" wp14:anchorId="4AD5D70E" wp14:editId="30AD160F">
            <wp:extent cx="5731510" cy="2712720"/>
            <wp:effectExtent l="0" t="0" r="2540" b="0"/>
            <wp:docPr id="112357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78472" name=""/>
                    <pic:cNvPicPr/>
                  </pic:nvPicPr>
                  <pic:blipFill rotWithShape="1">
                    <a:blip r:embed="rId10"/>
                    <a:srcRect l="-266" t="-937" r="266" b="17565"/>
                    <a:stretch>
                      <a:fillRect/>
                    </a:stretch>
                  </pic:blipFill>
                  <pic:spPr bwMode="auto">
                    <a:xfrm>
                      <a:off x="0" y="0"/>
                      <a:ext cx="5731510" cy="2712720"/>
                    </a:xfrm>
                    <a:prstGeom prst="rect">
                      <a:avLst/>
                    </a:prstGeom>
                    <a:ln>
                      <a:noFill/>
                    </a:ln>
                    <a:extLst>
                      <a:ext uri="{53640926-AAD7-44D8-BBD7-CCE9431645EC}">
                        <a14:shadowObscured xmlns:a14="http://schemas.microsoft.com/office/drawing/2010/main"/>
                      </a:ext>
                    </a:extLst>
                  </pic:spPr>
                </pic:pic>
              </a:graphicData>
            </a:graphic>
          </wp:inline>
        </w:drawing>
      </w:r>
    </w:p>
    <w:p w14:paraId="622B5E75" w14:textId="77777777" w:rsidR="00F56CE8" w:rsidRDefault="00F56CE8" w:rsidP="003F2B3E">
      <w:pPr>
        <w:spacing w:after="0"/>
        <w:rPr>
          <w:rFonts w:ascii="Arial" w:hAnsi="Arial" w:cs="Arial"/>
          <w:lang w:val="uk-UA"/>
        </w:rPr>
      </w:pPr>
    </w:p>
    <w:p w14:paraId="3259072F" w14:textId="77777777" w:rsidR="00F56CE8" w:rsidRPr="00F56CE8" w:rsidRDefault="00F56CE8" w:rsidP="003F2B3E">
      <w:pPr>
        <w:spacing w:after="0"/>
        <w:rPr>
          <w:rFonts w:ascii="Arial" w:hAnsi="Arial" w:cs="Arial"/>
          <w:lang w:val="uk-UA"/>
        </w:rPr>
      </w:pPr>
    </w:p>
    <w:p w14:paraId="5311FDA0" w14:textId="77777777" w:rsidR="00C779A2" w:rsidRDefault="00C779A2" w:rsidP="003F2B3E">
      <w:pPr>
        <w:spacing w:after="0"/>
        <w:rPr>
          <w:rFonts w:ascii="Arial" w:hAnsi="Arial" w:cs="Arial"/>
        </w:rPr>
      </w:pPr>
    </w:p>
    <w:p w14:paraId="743BC49B" w14:textId="77777777" w:rsidR="00C779A2" w:rsidRDefault="00C779A2" w:rsidP="003F2B3E">
      <w:pPr>
        <w:spacing w:after="0"/>
        <w:rPr>
          <w:rFonts w:ascii="Arial" w:hAnsi="Arial" w:cs="Arial"/>
        </w:rPr>
      </w:pPr>
    </w:p>
    <w:p w14:paraId="33F25436" w14:textId="31836019" w:rsidR="00C779A2" w:rsidRDefault="00F56CE8" w:rsidP="003F2B3E">
      <w:pPr>
        <w:spacing w:after="0"/>
        <w:rPr>
          <w:noProof/>
          <w:lang w:val="uk-UA"/>
        </w:rPr>
      </w:pPr>
      <w:r w:rsidRPr="00F56CE8">
        <w:rPr>
          <w:rFonts w:ascii="Arial" w:hAnsi="Arial" w:cs="Arial"/>
        </w:rPr>
        <w:lastRenderedPageBreak/>
        <w:drawing>
          <wp:inline distT="0" distB="0" distL="0" distR="0" wp14:anchorId="7994C158" wp14:editId="15F456C1">
            <wp:extent cx="5731510" cy="3227070"/>
            <wp:effectExtent l="0" t="0" r="2540" b="0"/>
            <wp:docPr id="891616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16365" name=""/>
                    <pic:cNvPicPr/>
                  </pic:nvPicPr>
                  <pic:blipFill>
                    <a:blip r:embed="rId11"/>
                    <a:stretch>
                      <a:fillRect/>
                    </a:stretch>
                  </pic:blipFill>
                  <pic:spPr>
                    <a:xfrm>
                      <a:off x="0" y="0"/>
                      <a:ext cx="5731510" cy="3227070"/>
                    </a:xfrm>
                    <a:prstGeom prst="rect">
                      <a:avLst/>
                    </a:prstGeom>
                  </pic:spPr>
                </pic:pic>
              </a:graphicData>
            </a:graphic>
          </wp:inline>
        </w:drawing>
      </w:r>
      <w:r w:rsidRPr="00F56CE8">
        <w:rPr>
          <w:noProof/>
        </w:rPr>
        <w:t xml:space="preserve"> </w:t>
      </w:r>
      <w:r w:rsidRPr="00F56CE8">
        <w:rPr>
          <w:rFonts w:ascii="Arial" w:hAnsi="Arial" w:cs="Arial"/>
        </w:rPr>
        <w:drawing>
          <wp:inline distT="0" distB="0" distL="0" distR="0" wp14:anchorId="5A3056AF" wp14:editId="4908E93B">
            <wp:extent cx="5731510" cy="2741930"/>
            <wp:effectExtent l="0" t="0" r="2540" b="1270"/>
            <wp:docPr id="2051738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738572" name=""/>
                    <pic:cNvPicPr/>
                  </pic:nvPicPr>
                  <pic:blipFill>
                    <a:blip r:embed="rId12"/>
                    <a:stretch>
                      <a:fillRect/>
                    </a:stretch>
                  </pic:blipFill>
                  <pic:spPr>
                    <a:xfrm>
                      <a:off x="0" y="0"/>
                      <a:ext cx="5731510" cy="2741930"/>
                    </a:xfrm>
                    <a:prstGeom prst="rect">
                      <a:avLst/>
                    </a:prstGeom>
                  </pic:spPr>
                </pic:pic>
              </a:graphicData>
            </a:graphic>
          </wp:inline>
        </w:drawing>
      </w:r>
      <w:r w:rsidRPr="00F56CE8">
        <w:rPr>
          <w:noProof/>
        </w:rPr>
        <w:t xml:space="preserve"> </w:t>
      </w:r>
      <w:r w:rsidRPr="00F56CE8">
        <w:rPr>
          <w:noProof/>
        </w:rPr>
        <w:drawing>
          <wp:inline distT="0" distB="0" distL="0" distR="0" wp14:anchorId="682438E1" wp14:editId="6A4253BA">
            <wp:extent cx="5731510" cy="2736850"/>
            <wp:effectExtent l="0" t="0" r="2540" b="6350"/>
            <wp:docPr id="946149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49745" name=""/>
                    <pic:cNvPicPr/>
                  </pic:nvPicPr>
                  <pic:blipFill>
                    <a:blip r:embed="rId13"/>
                    <a:stretch>
                      <a:fillRect/>
                    </a:stretch>
                  </pic:blipFill>
                  <pic:spPr>
                    <a:xfrm>
                      <a:off x="0" y="0"/>
                      <a:ext cx="5731510" cy="2736850"/>
                    </a:xfrm>
                    <a:prstGeom prst="rect">
                      <a:avLst/>
                    </a:prstGeom>
                  </pic:spPr>
                </pic:pic>
              </a:graphicData>
            </a:graphic>
          </wp:inline>
        </w:drawing>
      </w:r>
    </w:p>
    <w:p w14:paraId="5BEAD1F0" w14:textId="0C1AFAC0" w:rsidR="00F56CE8" w:rsidRDefault="00F56CE8" w:rsidP="003F2B3E">
      <w:pPr>
        <w:spacing w:after="0"/>
        <w:rPr>
          <w:rFonts w:ascii="Arial" w:hAnsi="Arial" w:cs="Arial"/>
          <w:lang w:val="uk-UA"/>
        </w:rPr>
      </w:pPr>
      <w:r w:rsidRPr="00F56CE8">
        <w:rPr>
          <w:rFonts w:ascii="Arial" w:hAnsi="Arial" w:cs="Arial"/>
          <w:lang w:val="uk-UA"/>
        </w:rPr>
        <w:lastRenderedPageBreak/>
        <w:drawing>
          <wp:inline distT="0" distB="0" distL="0" distR="0" wp14:anchorId="02124F6D" wp14:editId="27C5D0E5">
            <wp:extent cx="5731510" cy="2748280"/>
            <wp:effectExtent l="0" t="0" r="2540" b="0"/>
            <wp:docPr id="155136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360548" name=""/>
                    <pic:cNvPicPr/>
                  </pic:nvPicPr>
                  <pic:blipFill>
                    <a:blip r:embed="rId14"/>
                    <a:stretch>
                      <a:fillRect/>
                    </a:stretch>
                  </pic:blipFill>
                  <pic:spPr>
                    <a:xfrm>
                      <a:off x="0" y="0"/>
                      <a:ext cx="5731510" cy="2748280"/>
                    </a:xfrm>
                    <a:prstGeom prst="rect">
                      <a:avLst/>
                    </a:prstGeom>
                  </pic:spPr>
                </pic:pic>
              </a:graphicData>
            </a:graphic>
          </wp:inline>
        </w:drawing>
      </w:r>
    </w:p>
    <w:p w14:paraId="6FF75923" w14:textId="4A776A94" w:rsidR="00F56CE8" w:rsidRPr="00F56CE8" w:rsidRDefault="00F56CE8" w:rsidP="003F2B3E">
      <w:pPr>
        <w:spacing w:after="0"/>
        <w:rPr>
          <w:rFonts w:ascii="Arial" w:hAnsi="Arial" w:cs="Arial"/>
          <w:lang w:val="uk-UA"/>
        </w:rPr>
      </w:pPr>
      <w:r w:rsidRPr="00F56CE8">
        <w:rPr>
          <w:rFonts w:ascii="Arial" w:hAnsi="Arial" w:cs="Arial"/>
          <w:lang w:val="uk-UA"/>
        </w:rPr>
        <w:drawing>
          <wp:inline distT="0" distB="0" distL="0" distR="0" wp14:anchorId="605EEA22" wp14:editId="0922EE15">
            <wp:extent cx="5731510" cy="2764790"/>
            <wp:effectExtent l="0" t="0" r="2540" b="0"/>
            <wp:docPr id="2117008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008540" name=""/>
                    <pic:cNvPicPr/>
                  </pic:nvPicPr>
                  <pic:blipFill>
                    <a:blip r:embed="rId15"/>
                    <a:stretch>
                      <a:fillRect/>
                    </a:stretch>
                  </pic:blipFill>
                  <pic:spPr>
                    <a:xfrm>
                      <a:off x="0" y="0"/>
                      <a:ext cx="5731510" cy="2764790"/>
                    </a:xfrm>
                    <a:prstGeom prst="rect">
                      <a:avLst/>
                    </a:prstGeom>
                  </pic:spPr>
                </pic:pic>
              </a:graphicData>
            </a:graphic>
          </wp:inline>
        </w:drawing>
      </w:r>
      <w:r w:rsidRPr="00F56CE8">
        <w:rPr>
          <w:noProof/>
        </w:rPr>
        <w:t xml:space="preserve"> </w:t>
      </w:r>
      <w:r w:rsidRPr="00F56CE8">
        <w:rPr>
          <w:rFonts w:ascii="Arial" w:hAnsi="Arial" w:cs="Arial"/>
          <w:lang w:val="uk-UA"/>
        </w:rPr>
        <w:drawing>
          <wp:inline distT="0" distB="0" distL="0" distR="0" wp14:anchorId="127988D4" wp14:editId="2440E817">
            <wp:extent cx="5731510" cy="2727960"/>
            <wp:effectExtent l="0" t="0" r="2540" b="0"/>
            <wp:docPr id="579811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11691" name=""/>
                    <pic:cNvPicPr/>
                  </pic:nvPicPr>
                  <pic:blipFill>
                    <a:blip r:embed="rId16"/>
                    <a:stretch>
                      <a:fillRect/>
                    </a:stretch>
                  </pic:blipFill>
                  <pic:spPr>
                    <a:xfrm>
                      <a:off x="0" y="0"/>
                      <a:ext cx="5731510" cy="2727960"/>
                    </a:xfrm>
                    <a:prstGeom prst="rect">
                      <a:avLst/>
                    </a:prstGeom>
                  </pic:spPr>
                </pic:pic>
              </a:graphicData>
            </a:graphic>
          </wp:inline>
        </w:drawing>
      </w:r>
    </w:p>
    <w:p w14:paraId="729576A7" w14:textId="77777777" w:rsidR="00C779A2" w:rsidRDefault="00C779A2" w:rsidP="003F2B3E">
      <w:pPr>
        <w:spacing w:after="0"/>
        <w:rPr>
          <w:rFonts w:ascii="Arial" w:hAnsi="Arial" w:cs="Arial"/>
        </w:rPr>
      </w:pPr>
    </w:p>
    <w:p w14:paraId="6AF5D91B" w14:textId="77777777" w:rsidR="00C779A2" w:rsidRDefault="00C779A2" w:rsidP="003F2B3E">
      <w:pPr>
        <w:spacing w:after="0"/>
        <w:rPr>
          <w:rFonts w:ascii="Arial" w:hAnsi="Arial" w:cs="Arial"/>
        </w:rPr>
      </w:pPr>
    </w:p>
    <w:p w14:paraId="7496C522" w14:textId="1C8E6BE7" w:rsidR="00C779A2" w:rsidRDefault="00F56CE8" w:rsidP="003F2B3E">
      <w:pPr>
        <w:spacing w:after="0"/>
        <w:rPr>
          <w:rFonts w:ascii="Arial" w:hAnsi="Arial" w:cs="Arial"/>
        </w:rPr>
      </w:pPr>
      <w:r w:rsidRPr="00F56CE8">
        <w:rPr>
          <w:rFonts w:ascii="Arial" w:hAnsi="Arial" w:cs="Arial"/>
        </w:rPr>
        <w:lastRenderedPageBreak/>
        <w:drawing>
          <wp:inline distT="0" distB="0" distL="0" distR="0" wp14:anchorId="1ECE3AF6" wp14:editId="37C1C851">
            <wp:extent cx="5731510" cy="2513965"/>
            <wp:effectExtent l="0" t="0" r="2540" b="635"/>
            <wp:docPr id="602224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224526" name=""/>
                    <pic:cNvPicPr/>
                  </pic:nvPicPr>
                  <pic:blipFill>
                    <a:blip r:embed="rId17"/>
                    <a:stretch>
                      <a:fillRect/>
                    </a:stretch>
                  </pic:blipFill>
                  <pic:spPr>
                    <a:xfrm>
                      <a:off x="0" y="0"/>
                      <a:ext cx="5731510" cy="2513965"/>
                    </a:xfrm>
                    <a:prstGeom prst="rect">
                      <a:avLst/>
                    </a:prstGeom>
                  </pic:spPr>
                </pic:pic>
              </a:graphicData>
            </a:graphic>
          </wp:inline>
        </w:drawing>
      </w:r>
    </w:p>
    <w:p w14:paraId="5715B1F2" w14:textId="77777777" w:rsidR="00C779A2" w:rsidRDefault="00C779A2" w:rsidP="003F2B3E">
      <w:pPr>
        <w:spacing w:after="0"/>
        <w:rPr>
          <w:rFonts w:ascii="Arial" w:hAnsi="Arial" w:cs="Arial"/>
        </w:rPr>
      </w:pPr>
    </w:p>
    <w:p w14:paraId="76586FD8" w14:textId="77777777" w:rsidR="003F2B3E" w:rsidRPr="003F2B3E" w:rsidRDefault="003F2B3E" w:rsidP="00C779A2">
      <w:pPr>
        <w:pStyle w:val="Heading1"/>
      </w:pPr>
    </w:p>
    <w:sectPr w:rsidR="003F2B3E" w:rsidRPr="003F2B3E" w:rsidSect="00C779A2">
      <w:footerReference w:type="default" r:id="rId1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9C6C0" w14:textId="77777777" w:rsidR="008345C6" w:rsidRDefault="008345C6" w:rsidP="00C779A2">
      <w:pPr>
        <w:spacing w:after="0" w:line="240" w:lineRule="auto"/>
      </w:pPr>
      <w:r>
        <w:separator/>
      </w:r>
    </w:p>
  </w:endnote>
  <w:endnote w:type="continuationSeparator" w:id="0">
    <w:p w14:paraId="42B700CC" w14:textId="77777777" w:rsidR="008345C6" w:rsidRDefault="008345C6"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5141"/>
      <w:docPartObj>
        <w:docPartGallery w:val="Page Numbers (Bottom of Page)"/>
        <w:docPartUnique/>
      </w:docPartObj>
    </w:sdtPr>
    <w:sdtEndPr>
      <w:rPr>
        <w:noProof/>
      </w:rPr>
    </w:sdtEndPr>
    <w:sdtContent>
      <w:p w14:paraId="4831B703" w14:textId="77777777" w:rsidR="00C779A2" w:rsidRDefault="00C779A2">
        <w:pPr>
          <w:pStyle w:val="Footer"/>
          <w:jc w:val="right"/>
        </w:pPr>
        <w:r>
          <w:fldChar w:fldCharType="begin"/>
        </w:r>
        <w:r>
          <w:instrText xml:space="preserve"> PAGE   \* MERGEFORMAT </w:instrText>
        </w:r>
        <w:r>
          <w:fldChar w:fldCharType="separate"/>
        </w:r>
        <w:r w:rsidR="006A40DA">
          <w:rPr>
            <w:noProof/>
          </w:rPr>
          <w:t>3</w:t>
        </w:r>
        <w:r>
          <w:rPr>
            <w:noProof/>
          </w:rPr>
          <w:fldChar w:fldCharType="end"/>
        </w:r>
      </w:p>
    </w:sdtContent>
  </w:sdt>
  <w:p w14:paraId="3646B6C5" w14:textId="77777777" w:rsidR="00C779A2" w:rsidRDefault="00C7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819B4" w14:textId="77777777" w:rsidR="008345C6" w:rsidRDefault="008345C6" w:rsidP="00C779A2">
      <w:pPr>
        <w:spacing w:after="0" w:line="240" w:lineRule="auto"/>
      </w:pPr>
      <w:r>
        <w:separator/>
      </w:r>
    </w:p>
  </w:footnote>
  <w:footnote w:type="continuationSeparator" w:id="0">
    <w:p w14:paraId="673273E1" w14:textId="77777777" w:rsidR="008345C6" w:rsidRDefault="008345C6" w:rsidP="00C77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514D84"/>
    <w:multiLevelType w:val="multilevel"/>
    <w:tmpl w:val="FCCE18B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6997009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50E53"/>
    <w:rsid w:val="002847DB"/>
    <w:rsid w:val="002A7AF1"/>
    <w:rsid w:val="003F2B3E"/>
    <w:rsid w:val="00474102"/>
    <w:rsid w:val="00505209"/>
    <w:rsid w:val="005D5044"/>
    <w:rsid w:val="006A40DA"/>
    <w:rsid w:val="008345C6"/>
    <w:rsid w:val="0083507E"/>
    <w:rsid w:val="008E7726"/>
    <w:rsid w:val="009145E9"/>
    <w:rsid w:val="009B3359"/>
    <w:rsid w:val="00A62A29"/>
    <w:rsid w:val="00B7446D"/>
    <w:rsid w:val="00C21CDB"/>
    <w:rsid w:val="00C779A2"/>
    <w:rsid w:val="00E82DD5"/>
    <w:rsid w:val="00F56CE8"/>
    <w:rsid w:val="00F959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0FC80"/>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paragraph" w:styleId="Bibliography">
    <w:name w:val="Bibliography"/>
    <w:basedOn w:val="Normal"/>
    <w:next w:val="Normal"/>
    <w:uiPriority w:val="37"/>
    <w:unhideWhenUsed/>
    <w:rsid w:val="00F56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793441">
      <w:bodyDiv w:val="1"/>
      <w:marLeft w:val="0"/>
      <w:marRight w:val="0"/>
      <w:marTop w:val="0"/>
      <w:marBottom w:val="0"/>
      <w:divBdr>
        <w:top w:val="none" w:sz="0" w:space="0" w:color="auto"/>
        <w:left w:val="none" w:sz="0" w:space="0" w:color="auto"/>
        <w:bottom w:val="none" w:sz="0" w:space="0" w:color="auto"/>
        <w:right w:val="none" w:sz="0" w:space="0" w:color="auto"/>
      </w:divBdr>
    </w:div>
    <w:div w:id="506020513">
      <w:bodyDiv w:val="1"/>
      <w:marLeft w:val="0"/>
      <w:marRight w:val="0"/>
      <w:marTop w:val="0"/>
      <w:marBottom w:val="0"/>
      <w:divBdr>
        <w:top w:val="none" w:sz="0" w:space="0" w:color="auto"/>
        <w:left w:val="none" w:sz="0" w:space="0" w:color="auto"/>
        <w:bottom w:val="none" w:sz="0" w:space="0" w:color="auto"/>
        <w:right w:val="none" w:sz="0" w:space="0" w:color="auto"/>
      </w:divBdr>
    </w:div>
    <w:div w:id="596906474">
      <w:bodyDiv w:val="1"/>
      <w:marLeft w:val="0"/>
      <w:marRight w:val="0"/>
      <w:marTop w:val="0"/>
      <w:marBottom w:val="0"/>
      <w:divBdr>
        <w:top w:val="none" w:sz="0" w:space="0" w:color="auto"/>
        <w:left w:val="none" w:sz="0" w:space="0" w:color="auto"/>
        <w:bottom w:val="none" w:sz="0" w:space="0" w:color="auto"/>
        <w:right w:val="none" w:sz="0" w:space="0" w:color="auto"/>
      </w:divBdr>
    </w:div>
    <w:div w:id="801969189">
      <w:bodyDiv w:val="1"/>
      <w:marLeft w:val="0"/>
      <w:marRight w:val="0"/>
      <w:marTop w:val="0"/>
      <w:marBottom w:val="0"/>
      <w:divBdr>
        <w:top w:val="none" w:sz="0" w:space="0" w:color="auto"/>
        <w:left w:val="none" w:sz="0" w:space="0" w:color="auto"/>
        <w:bottom w:val="none" w:sz="0" w:space="0" w:color="auto"/>
        <w:right w:val="none" w:sz="0" w:space="0" w:color="auto"/>
      </w:divBdr>
    </w:div>
    <w:div w:id="1266577718">
      <w:bodyDiv w:val="1"/>
      <w:marLeft w:val="0"/>
      <w:marRight w:val="0"/>
      <w:marTop w:val="0"/>
      <w:marBottom w:val="0"/>
      <w:divBdr>
        <w:top w:val="none" w:sz="0" w:space="0" w:color="auto"/>
        <w:left w:val="none" w:sz="0" w:space="0" w:color="auto"/>
        <w:bottom w:val="none" w:sz="0" w:space="0" w:color="auto"/>
        <w:right w:val="none" w:sz="0" w:space="0" w:color="auto"/>
      </w:divBdr>
    </w:div>
    <w:div w:id="1406414520">
      <w:bodyDiv w:val="1"/>
      <w:marLeft w:val="0"/>
      <w:marRight w:val="0"/>
      <w:marTop w:val="0"/>
      <w:marBottom w:val="0"/>
      <w:divBdr>
        <w:top w:val="none" w:sz="0" w:space="0" w:color="auto"/>
        <w:left w:val="none" w:sz="0" w:space="0" w:color="auto"/>
        <w:bottom w:val="none" w:sz="0" w:space="0" w:color="auto"/>
        <w:right w:val="none" w:sz="0" w:space="0" w:color="auto"/>
      </w:divBdr>
    </w:div>
    <w:div w:id="1421293052">
      <w:bodyDiv w:val="1"/>
      <w:marLeft w:val="0"/>
      <w:marRight w:val="0"/>
      <w:marTop w:val="0"/>
      <w:marBottom w:val="0"/>
      <w:divBdr>
        <w:top w:val="none" w:sz="0" w:space="0" w:color="auto"/>
        <w:left w:val="none" w:sz="0" w:space="0" w:color="auto"/>
        <w:bottom w:val="none" w:sz="0" w:space="0" w:color="auto"/>
        <w:right w:val="none" w:sz="0" w:space="0" w:color="auto"/>
      </w:divBdr>
    </w:div>
    <w:div w:id="196230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Cen21</b:Tag>
    <b:SourceType>Report</b:SourceType>
    <b:Guid>{46589072-20CC-41A6-A39E-D73F3286EEA8}</b:Guid>
    <b:Author>
      <b:Author>
        <b:NameList>
          <b:Person>
            <b:Last>Security</b:Last>
            <b:First>Centre</b:First>
            <b:Middle>for Internet</b:Middle>
          </b:Person>
        </b:NameList>
      </b:Author>
    </b:Author>
    <b:Title>CIS Controls</b:Title>
    <b:Year>2021</b:Year>
    <b:RefOrder>6</b:RefOrder>
  </b:Source>
  <b:Source>
    <b:Tag>Cyb25</b:Tag>
    <b:SourceType>Report</b:SourceType>
    <b:Guid>{0F71C036-23A8-45C5-878F-1E6C58393E61}</b:Guid>
    <b:Author>
      <b:Author>
        <b:NameList>
          <b:Person>
            <b:Last>Agency</b:Last>
            <b:First>Cybersecurity</b:First>
            <b:Middle>and Infrastructure Security</b:Middle>
          </b:Person>
        </b:NameList>
      </b:Author>
    </b:Author>
    <b:Title>Insider Threat Mitigation Guide</b:Title>
    <b:Year>2025</b:Year>
    <b:RefOrder>2</b:RefOrder>
  </b:Source>
  <b:Source>
    <b:Tag>Fir20</b:Tag>
    <b:SourceType>Report</b:SourceType>
    <b:Guid>{8A34D763-8669-47BB-AC5B-8791737566D5}</b:Guid>
    <b:Author>
      <b:Author>
        <b:NameList>
          <b:Person>
            <b:Last>FireEye</b:Last>
          </b:Person>
        </b:NameList>
      </b:Author>
    </b:Author>
    <b:Title>Highly Evasive Attacker Leverages SolarWinds Supply Chain to Compromise Multiple Global Victims With SUNBURST Backdoor</b:Title>
    <b:Year>2020</b:Year>
    <b:RefOrder>1</b:RefOrder>
  </b:Source>
  <b:Source>
    <b:Tag>Inf23</b:Tag>
    <b:SourceType>Report</b:SourceType>
    <b:Guid>{1CCEA97A-C403-4057-A00D-7C23328B962D}</b:Guid>
    <b:Author>
      <b:Author>
        <b:NameList>
          <b:Person>
            <b:Last>Office</b:Last>
            <b:First>Information</b:First>
            <b:Middle>Commissioner’s</b:Middle>
          </b:Person>
        </b:NameList>
      </b:Author>
    </b:Author>
    <b:Title>MOVEit Transfer Vulnerability: Guidance for Organisations</b:Title>
    <b:Year>2023</b:Year>
    <b:RefOrder>4</b:RefOrder>
  </b:Source>
  <b:Source>
    <b:Tag>Mic23</b:Tag>
    <b:SourceType>Report</b:SourceType>
    <b:Guid>{D619D710-6BF6-4A9D-AB5B-F3B1E1D4C467}</b:Guid>
    <b:Author>
      <b:Author>
        <b:NameList>
          <b:Person>
            <b:Last>Microsoft</b:Last>
          </b:Person>
        </b:NameList>
      </b:Author>
    </b:Author>
    <b:Title>Digital Defense Report 2023</b:Title>
    <b:Year>2023</b:Year>
    <b:RefOrder>3</b:RefOrder>
  </b:Source>
  <b:Source>
    <b:Tag>Nat18</b:Tag>
    <b:SourceType>Report</b:SourceType>
    <b:Guid>{CBA62166-7312-4B9D-BFB8-8B692F7ADECA}</b:Guid>
    <b:Author>
      <b:Author>
        <b:NameList>
          <b:Person>
            <b:Last>Office</b:Last>
            <b:First>National</b:First>
            <b:Middle>Audit</b:Middle>
          </b:Person>
        </b:NameList>
      </b:Author>
    </b:Author>
    <b:Title> Investigation: WannaCry Cyber Attack and the NHS</b:Title>
    <b:Year>2018</b:Yea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3095C8-A8E9-4F55-8162-6D2C2EFA0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3182</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Network and Cyber Security Essentials</vt:lpstr>
    </vt:vector>
  </TitlesOfParts>
  <Company/>
  <LinksUpToDate>false</LinksUpToDate>
  <CharactersWithSpaces>21278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Данило Чуйко</cp:lastModifiedBy>
  <cp:revision>2</cp:revision>
  <dcterms:created xsi:type="dcterms:W3CDTF">2026-04-29T19:43:00Z</dcterms:created>
  <dcterms:modified xsi:type="dcterms:W3CDTF">2026-04-29T19:43:00Z</dcterms:modified>
</cp:coreProperties>
</file>