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5898" w:rsidRDefault="00CD5898" w:rsidP="00CD5898">
      <w:pPr>
        <w:spacing w:after="0" w:line="240" w:lineRule="auto"/>
        <w:ind w:left="-180" w:right="-334"/>
        <w:rPr>
          <w:rFonts w:ascii="Trebuchet MS" w:eastAsia="SimSun" w:hAnsi="Trebuchet MS" w:cs="Tahoma"/>
          <w:sz w:val="24"/>
          <w:szCs w:val="24"/>
          <w:lang w:eastAsia="zh-CN"/>
        </w:rPr>
      </w:pPr>
    </w:p>
    <w:p w:rsidR="00CD5898" w:rsidRPr="004B4C6F" w:rsidRDefault="00CD5898" w:rsidP="00CD5898">
      <w:pPr>
        <w:spacing w:after="0" w:line="240" w:lineRule="auto"/>
        <w:ind w:left="-180" w:right="-334"/>
        <w:rPr>
          <w:rFonts w:ascii="Trebuchet MS" w:eastAsia="SimSun" w:hAnsi="Trebuchet MS" w:cs="Tahoma"/>
          <w:sz w:val="24"/>
          <w:szCs w:val="24"/>
          <w:lang w:eastAsia="zh-CN"/>
        </w:rPr>
      </w:pPr>
      <w:r w:rsidRPr="004B4C6F">
        <w:rPr>
          <w:rFonts w:ascii="Georgia" w:eastAsia="SimSun" w:hAnsi="Georgia" w:cs="Times New Roman"/>
          <w:noProof/>
          <w:sz w:val="21"/>
          <w:szCs w:val="21"/>
          <w:lang w:eastAsia="zh-CN"/>
        </w:rPr>
        <w:drawing>
          <wp:inline distT="0" distB="0" distL="0" distR="0" wp14:anchorId="47E7D16D" wp14:editId="235A0B5B">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CD5898" w:rsidRPr="004B4C6F" w:rsidRDefault="00CD5898" w:rsidP="00CD5898">
      <w:pPr>
        <w:keepNext/>
        <w:spacing w:before="240" w:after="60" w:line="240" w:lineRule="auto"/>
        <w:jc w:val="center"/>
        <w:outlineLvl w:val="0"/>
        <w:rPr>
          <w:rFonts w:ascii="Arial" w:eastAsia="SimSun" w:hAnsi="Arial" w:cs="Arial"/>
          <w:b/>
          <w:bCs/>
          <w:kern w:val="32"/>
          <w:sz w:val="32"/>
          <w:szCs w:val="32"/>
          <w:lang w:val="cy-GB" w:eastAsia="zh-CN"/>
        </w:rPr>
      </w:pPr>
      <w:r w:rsidRPr="004B4C6F">
        <w:rPr>
          <w:rFonts w:ascii="Arial" w:eastAsia="SimSun" w:hAnsi="Arial" w:cs="Arial"/>
          <w:b/>
          <w:bCs/>
          <w:kern w:val="32"/>
          <w:sz w:val="32"/>
          <w:szCs w:val="32"/>
          <w:lang w:val="cy-GB" w:eastAsia="zh-CN"/>
        </w:rPr>
        <w:t>Undergraduate assignment feedback form</w:t>
      </w:r>
    </w:p>
    <w:p w:rsidR="00CD5898" w:rsidRPr="004B4C6F" w:rsidRDefault="00CD5898" w:rsidP="00CD5898">
      <w:pPr>
        <w:spacing w:after="0" w:line="240" w:lineRule="auto"/>
        <w:jc w:val="center"/>
        <w:rPr>
          <w:rFonts w:ascii="Arial" w:eastAsia="SimSun" w:hAnsi="Arial" w:cs="Arial"/>
          <w:b/>
          <w:sz w:val="24"/>
          <w:szCs w:val="24"/>
          <w:lang w:val="cy-GB" w:eastAsia="zh-CN"/>
        </w:rPr>
      </w:pPr>
      <w:r w:rsidRPr="004B4C6F">
        <w:rPr>
          <w:rFonts w:ascii="Arial" w:eastAsia="SimSun" w:hAnsi="Arial" w:cs="Arial"/>
          <w:b/>
          <w:sz w:val="24"/>
          <w:szCs w:val="24"/>
          <w:lang w:val="cy-GB" w:eastAsia="zh-CN"/>
        </w:rPr>
        <w:t>(to be completed by marker)</w:t>
      </w:r>
    </w:p>
    <w:p w:rsidR="00CD5898" w:rsidRPr="004B4C6F" w:rsidRDefault="00CD5898" w:rsidP="00CD5898">
      <w:pPr>
        <w:spacing w:after="0" w:line="240" w:lineRule="auto"/>
        <w:jc w:val="center"/>
        <w:rPr>
          <w:rFonts w:ascii="Arial" w:eastAsia="SimSun" w:hAnsi="Arial" w:cs="Arial"/>
          <w:b/>
          <w:sz w:val="24"/>
          <w:szCs w:val="24"/>
          <w:lang w:val="cy-GB" w:eastAsia="zh-CN"/>
        </w:rPr>
      </w:pPr>
    </w:p>
    <w:p w:rsidR="00CD5898" w:rsidRPr="004B4C6F" w:rsidRDefault="00CD5898" w:rsidP="00CD5898">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CD5898" w:rsidRPr="004B4C6F" w:rsidTr="00A256E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CD5898" w:rsidRPr="004B4C6F" w:rsidRDefault="00CD5898" w:rsidP="00A256E8">
            <w:pPr>
              <w:spacing w:after="0" w:line="240" w:lineRule="auto"/>
              <w:ind w:right="34"/>
              <w:rPr>
                <w:rFonts w:ascii="Calibri" w:eastAsia="SimSun" w:hAnsi="Calibri" w:cs="Tahoma"/>
                <w:i/>
                <w:sz w:val="24"/>
                <w:szCs w:val="24"/>
                <w:lang w:eastAsia="zh-CN"/>
              </w:rPr>
            </w:pPr>
            <w:r w:rsidRPr="004B4C6F">
              <w:rPr>
                <w:rFonts w:ascii="Calibri" w:eastAsia="SimSun" w:hAnsi="Calibri" w:cs="Tahoma"/>
                <w:i/>
                <w:sz w:val="24"/>
                <w:szCs w:val="24"/>
                <w:lang w:eastAsia="zh-CN"/>
              </w:rPr>
              <w:t>Student Name: Jane Manley</w:t>
            </w:r>
          </w:p>
          <w:p w:rsidR="00CD5898" w:rsidRPr="004B4C6F" w:rsidRDefault="00CD5898" w:rsidP="00A256E8">
            <w:pPr>
              <w:spacing w:after="0" w:line="240" w:lineRule="auto"/>
              <w:ind w:right="34"/>
              <w:rPr>
                <w:rFonts w:ascii="Calibri" w:eastAsia="SimSun" w:hAnsi="Calibri" w:cs="Tahoma"/>
                <w:i/>
                <w:sz w:val="24"/>
                <w:szCs w:val="24"/>
                <w:lang w:eastAsia="zh-CN"/>
              </w:rPr>
            </w:pPr>
          </w:p>
        </w:tc>
      </w:tr>
      <w:tr w:rsidR="00CD5898" w:rsidRPr="004B4C6F" w:rsidTr="00A256E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CD5898" w:rsidRPr="004B4C6F" w:rsidRDefault="00CD5898" w:rsidP="00A256E8">
            <w:pPr>
              <w:spacing w:after="0" w:line="240" w:lineRule="auto"/>
              <w:ind w:right="34"/>
              <w:rPr>
                <w:rFonts w:ascii="Calibri" w:eastAsia="SimSun" w:hAnsi="Calibri" w:cs="Tahoma"/>
                <w:i/>
                <w:sz w:val="24"/>
                <w:szCs w:val="24"/>
                <w:lang w:eastAsia="zh-CN"/>
              </w:rPr>
            </w:pPr>
            <w:r w:rsidRPr="004B4C6F">
              <w:rPr>
                <w:rFonts w:ascii="Calibri" w:eastAsia="SimSun" w:hAnsi="Calibri" w:cs="Tahoma"/>
                <w:i/>
                <w:sz w:val="24"/>
                <w:szCs w:val="24"/>
                <w:lang w:eastAsia="zh-CN"/>
              </w:rPr>
              <w:t>Module Code: HPEN5001</w:t>
            </w:r>
          </w:p>
          <w:p w:rsidR="00CD5898" w:rsidRPr="004B4C6F" w:rsidRDefault="00CD5898" w:rsidP="00A256E8">
            <w:pPr>
              <w:spacing w:after="0" w:line="240" w:lineRule="auto"/>
              <w:ind w:right="34"/>
              <w:rPr>
                <w:rFonts w:ascii="Calibri" w:eastAsia="SimSun" w:hAnsi="Calibri" w:cs="Tahoma"/>
                <w:i/>
                <w:sz w:val="24"/>
                <w:szCs w:val="24"/>
                <w:lang w:eastAsia="zh-CN"/>
              </w:rPr>
            </w:pPr>
          </w:p>
          <w:p w:rsidR="00CD5898" w:rsidRPr="004B4C6F" w:rsidRDefault="00CD5898" w:rsidP="00A256E8">
            <w:pPr>
              <w:spacing w:after="0" w:line="240" w:lineRule="auto"/>
              <w:ind w:right="34"/>
              <w:rPr>
                <w:rFonts w:ascii="Calibri" w:eastAsia="SimSun" w:hAnsi="Calibri" w:cs="Tahoma"/>
                <w:i/>
                <w:sz w:val="24"/>
                <w:szCs w:val="24"/>
                <w:lang w:eastAsia="zh-CN"/>
              </w:rPr>
            </w:pPr>
            <w:r w:rsidRPr="004B4C6F">
              <w:rPr>
                <w:rFonts w:ascii="Calibri" w:eastAsia="SimSun" w:hAnsi="Calibri" w:cs="Tahoma"/>
                <w:i/>
                <w:sz w:val="24"/>
                <w:szCs w:val="24"/>
                <w:lang w:eastAsia="zh-CN"/>
              </w:rPr>
              <w:t>Module title: Debating Medieval Identity</w:t>
            </w:r>
          </w:p>
          <w:p w:rsidR="00CD5898" w:rsidRPr="004B4C6F" w:rsidRDefault="00CD5898" w:rsidP="00A256E8">
            <w:pPr>
              <w:spacing w:after="0" w:line="240" w:lineRule="auto"/>
              <w:ind w:right="34"/>
              <w:rPr>
                <w:rFonts w:ascii="Calibri" w:eastAsia="SimSun" w:hAnsi="Calibri" w:cs="Tahoma"/>
                <w:i/>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rsidR="00CD5898" w:rsidRPr="004B4C6F" w:rsidRDefault="00CD5898" w:rsidP="00A256E8">
            <w:pPr>
              <w:spacing w:after="0" w:line="240" w:lineRule="auto"/>
              <w:ind w:right="34"/>
              <w:rPr>
                <w:rFonts w:ascii="Calibri" w:eastAsia="SimSun" w:hAnsi="Calibri" w:cs="Tahoma"/>
                <w:i/>
                <w:sz w:val="24"/>
                <w:szCs w:val="24"/>
                <w:lang w:eastAsia="zh-CN"/>
              </w:rPr>
            </w:pPr>
            <w:r w:rsidRPr="004B4C6F">
              <w:rPr>
                <w:rFonts w:ascii="Calibri" w:eastAsia="SimSun" w:hAnsi="Calibri" w:cs="Tahoma"/>
                <w:i/>
                <w:sz w:val="24"/>
                <w:szCs w:val="24"/>
                <w:lang w:eastAsia="zh-CN"/>
              </w:rPr>
              <w:t>Student number: 0202616</w:t>
            </w:r>
          </w:p>
        </w:tc>
      </w:tr>
      <w:tr w:rsidR="00CD5898" w:rsidRPr="004B4C6F" w:rsidTr="00A256E8">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CD5898" w:rsidRPr="004B4C6F" w:rsidRDefault="00CD5898" w:rsidP="00A256E8">
            <w:pPr>
              <w:spacing w:after="0" w:line="240" w:lineRule="auto"/>
              <w:rPr>
                <w:rFonts w:ascii="Calibri" w:eastAsia="SimSun" w:hAnsi="Calibri" w:cs="Tahoma"/>
                <w:i/>
                <w:sz w:val="24"/>
                <w:szCs w:val="24"/>
                <w:lang w:eastAsia="zh-CN"/>
              </w:rPr>
            </w:pPr>
            <w:r w:rsidRPr="004B4C6F">
              <w:rPr>
                <w:rFonts w:ascii="Calibri" w:eastAsia="SimSun" w:hAnsi="Calibri" w:cs="Tahoma"/>
                <w:i/>
                <w:sz w:val="24"/>
                <w:szCs w:val="24"/>
                <w:lang w:eastAsia="zh-CN"/>
              </w:rPr>
              <w:t>For completion by marker:</w:t>
            </w: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r w:rsidRPr="004B4C6F">
              <w:rPr>
                <w:rFonts w:ascii="Calibri" w:eastAsia="SimSun" w:hAnsi="Calibri" w:cs="Tahoma"/>
                <w:i/>
                <w:sz w:val="24"/>
                <w:szCs w:val="24"/>
                <w:lang w:eastAsia="zh-CN"/>
              </w:rPr>
              <w:t>Comments:</w:t>
            </w: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p w:rsidR="00CD5898" w:rsidRPr="004B4C6F" w:rsidRDefault="00CD5898" w:rsidP="00A256E8">
            <w:pPr>
              <w:spacing w:before="100" w:beforeAutospacing="1" w:after="100" w:afterAutospacing="1" w:line="240" w:lineRule="auto"/>
              <w:rPr>
                <w:rFonts w:ascii="Calibri" w:eastAsia="SimSun" w:hAnsi="Calibri" w:cs="Tahoma"/>
                <w:i/>
                <w:sz w:val="24"/>
                <w:szCs w:val="24"/>
                <w:lang w:eastAsia="zh-CN"/>
              </w:rPr>
            </w:pPr>
          </w:p>
        </w:tc>
      </w:tr>
      <w:tr w:rsidR="00CD5898" w:rsidRPr="004B4C6F" w:rsidTr="00A256E8">
        <w:trPr>
          <w:trHeight w:val="492"/>
        </w:trPr>
        <w:tc>
          <w:tcPr>
            <w:tcW w:w="6768" w:type="dxa"/>
            <w:gridSpan w:val="2"/>
            <w:tcBorders>
              <w:top w:val="single" w:sz="4" w:space="0" w:color="auto"/>
            </w:tcBorders>
            <w:vAlign w:val="center"/>
          </w:tcPr>
          <w:p w:rsidR="00CD5898" w:rsidRPr="004B4C6F" w:rsidRDefault="00CD5898" w:rsidP="00A256E8">
            <w:pPr>
              <w:spacing w:before="100" w:beforeAutospacing="1" w:after="100" w:afterAutospacing="1" w:line="240" w:lineRule="auto"/>
              <w:ind w:left="142" w:right="34"/>
              <w:rPr>
                <w:rFonts w:ascii="Calibri" w:eastAsia="SimSun" w:hAnsi="Calibri" w:cs="Tahoma"/>
                <w:i/>
                <w:sz w:val="24"/>
                <w:szCs w:val="24"/>
                <w:lang w:eastAsia="zh-CN"/>
              </w:rPr>
            </w:pPr>
            <w:r w:rsidRPr="004B4C6F">
              <w:rPr>
                <w:rFonts w:ascii="Calibri" w:eastAsia="SimSun" w:hAnsi="Calibri" w:cs="Tahoma"/>
                <w:i/>
                <w:sz w:val="24"/>
                <w:szCs w:val="24"/>
                <w:lang w:eastAsia="zh-CN"/>
              </w:rPr>
              <w:t>Marker’s signature:</w:t>
            </w:r>
          </w:p>
        </w:tc>
        <w:tc>
          <w:tcPr>
            <w:tcW w:w="1987" w:type="dxa"/>
            <w:tcBorders>
              <w:top w:val="single" w:sz="4" w:space="0" w:color="auto"/>
            </w:tcBorders>
            <w:vAlign w:val="center"/>
          </w:tcPr>
          <w:p w:rsidR="00CD5898" w:rsidRPr="004B4C6F" w:rsidRDefault="00CD5898" w:rsidP="00A256E8">
            <w:pPr>
              <w:spacing w:before="100" w:beforeAutospacing="1" w:after="0" w:afterAutospacing="1" w:line="240" w:lineRule="auto"/>
              <w:ind w:left="142" w:right="34"/>
              <w:rPr>
                <w:rFonts w:ascii="Calibri" w:eastAsia="SimSun" w:hAnsi="Calibri" w:cs="Tahoma"/>
                <w:i/>
                <w:sz w:val="24"/>
                <w:szCs w:val="24"/>
                <w:lang w:eastAsia="zh-CN"/>
              </w:rPr>
            </w:pPr>
            <w:r w:rsidRPr="004B4C6F">
              <w:rPr>
                <w:rFonts w:ascii="Calibri" w:eastAsia="SimSun" w:hAnsi="Calibri" w:cs="Tahoma"/>
                <w:i/>
                <w:sz w:val="24"/>
                <w:szCs w:val="24"/>
                <w:lang w:eastAsia="zh-CN"/>
              </w:rPr>
              <w:t>Date:</w:t>
            </w:r>
          </w:p>
        </w:tc>
      </w:tr>
      <w:tr w:rsidR="00CD5898" w:rsidRPr="004B4C6F" w:rsidTr="00A256E8">
        <w:tc>
          <w:tcPr>
            <w:tcW w:w="8755" w:type="dxa"/>
            <w:gridSpan w:val="3"/>
            <w:vAlign w:val="center"/>
          </w:tcPr>
          <w:p w:rsidR="00CD5898" w:rsidRPr="004B4C6F" w:rsidRDefault="00CD5898" w:rsidP="00A256E8">
            <w:pPr>
              <w:spacing w:after="0" w:line="240" w:lineRule="auto"/>
              <w:ind w:left="142" w:right="34"/>
              <w:rPr>
                <w:rFonts w:ascii="Calibri" w:eastAsia="SimSun" w:hAnsi="Calibri" w:cs="Tahoma"/>
                <w:i/>
                <w:sz w:val="24"/>
                <w:szCs w:val="24"/>
                <w:lang w:eastAsia="zh-CN"/>
              </w:rPr>
            </w:pPr>
            <w:r w:rsidRPr="004B4C6F">
              <w:rPr>
                <w:rFonts w:ascii="Calibri" w:eastAsia="SimSun" w:hAnsi="Calibri" w:cs="Tahoma"/>
                <w:i/>
                <w:sz w:val="24"/>
                <w:szCs w:val="24"/>
                <w:lang w:eastAsia="zh-CN"/>
              </w:rPr>
              <w:t xml:space="preserve">Provisional mark: </w:t>
            </w:r>
          </w:p>
          <w:p w:rsidR="00CD5898" w:rsidRPr="004B4C6F" w:rsidRDefault="00CD5898" w:rsidP="00A256E8">
            <w:pPr>
              <w:spacing w:after="0" w:line="240" w:lineRule="auto"/>
              <w:ind w:left="142" w:right="34"/>
              <w:rPr>
                <w:rFonts w:ascii="Calibri" w:eastAsia="SimSun" w:hAnsi="Calibri" w:cs="Tahoma"/>
                <w:i/>
                <w:sz w:val="24"/>
                <w:szCs w:val="24"/>
                <w:lang w:eastAsia="zh-CN"/>
              </w:rPr>
            </w:pPr>
            <w:r w:rsidRPr="004B4C6F">
              <w:rPr>
                <w:rFonts w:ascii="Calibri" w:eastAsia="SimSun" w:hAnsi="Calibri" w:cs="Tahoma"/>
                <w:b/>
                <w:i/>
                <w:sz w:val="24"/>
                <w:szCs w:val="24"/>
                <w:lang w:eastAsia="zh-CN"/>
              </w:rPr>
              <w:t>NB.</w:t>
            </w:r>
            <w:r w:rsidRPr="004B4C6F">
              <w:rPr>
                <w:rFonts w:ascii="Calibri" w:eastAsia="SimSun" w:hAnsi="Calibri" w:cs="Tahoma"/>
                <w:i/>
                <w:sz w:val="24"/>
                <w:szCs w:val="24"/>
                <w:lang w:eastAsia="zh-CN"/>
              </w:rPr>
              <w:t xml:space="preserve">  All marks are provisional until confirmed by the final examination board. </w:t>
            </w:r>
          </w:p>
        </w:tc>
      </w:tr>
    </w:tbl>
    <w:p w:rsidR="00CD5898" w:rsidRPr="004B4C6F" w:rsidRDefault="00CD5898" w:rsidP="00CD5898">
      <w:pPr>
        <w:spacing w:after="0" w:line="240" w:lineRule="auto"/>
        <w:ind w:right="-334"/>
        <w:rPr>
          <w:rFonts w:ascii="Trebuchet MS" w:eastAsia="SimSun" w:hAnsi="Trebuchet MS" w:cs="Tahoma"/>
          <w:b/>
          <w:bCs/>
          <w:sz w:val="24"/>
          <w:szCs w:val="24"/>
          <w:lang w:eastAsia="zh-CN"/>
        </w:rPr>
      </w:pPr>
    </w:p>
    <w:p w:rsidR="00117255" w:rsidRDefault="00117255" w:rsidP="00117255">
      <w:pPr>
        <w:spacing w:line="360" w:lineRule="auto"/>
        <w:jc w:val="center"/>
        <w:rPr>
          <w:rFonts w:ascii="Corbel" w:hAnsi="Corbel"/>
          <w:b/>
          <w:sz w:val="32"/>
          <w:szCs w:val="32"/>
        </w:rPr>
      </w:pPr>
      <w:r w:rsidRPr="00880790">
        <w:rPr>
          <w:rFonts w:ascii="Corbel" w:hAnsi="Corbel"/>
          <w:b/>
          <w:sz w:val="20"/>
          <w:szCs w:val="20"/>
        </w:rPr>
        <w:lastRenderedPageBreak/>
        <w:t xml:space="preserve">‘And if </w:t>
      </w:r>
      <w:proofErr w:type="spellStart"/>
      <w:r w:rsidRPr="00880790">
        <w:rPr>
          <w:rFonts w:ascii="Corbel" w:hAnsi="Corbel"/>
          <w:b/>
          <w:sz w:val="20"/>
          <w:szCs w:val="20"/>
        </w:rPr>
        <w:t>ther</w:t>
      </w:r>
      <w:proofErr w:type="spellEnd"/>
      <w:r w:rsidRPr="00880790">
        <w:rPr>
          <w:rFonts w:ascii="Corbel" w:hAnsi="Corbel"/>
          <w:b/>
          <w:sz w:val="20"/>
          <w:szCs w:val="20"/>
        </w:rPr>
        <w:t xml:space="preserve"> be </w:t>
      </w:r>
      <w:proofErr w:type="spellStart"/>
      <w:r w:rsidRPr="00880790">
        <w:rPr>
          <w:rFonts w:ascii="Corbel" w:hAnsi="Corbel"/>
          <w:b/>
          <w:sz w:val="20"/>
          <w:szCs w:val="20"/>
        </w:rPr>
        <w:t>any thing</w:t>
      </w:r>
      <w:proofErr w:type="spellEnd"/>
      <w:r w:rsidRPr="00880790">
        <w:rPr>
          <w:rFonts w:ascii="Corbel" w:hAnsi="Corbel"/>
          <w:b/>
          <w:sz w:val="20"/>
          <w:szCs w:val="20"/>
        </w:rPr>
        <w:t xml:space="preserve"> that displease hem, I </w:t>
      </w:r>
      <w:proofErr w:type="spellStart"/>
      <w:r w:rsidRPr="00880790">
        <w:rPr>
          <w:rFonts w:ascii="Corbel" w:hAnsi="Corbel"/>
          <w:b/>
          <w:sz w:val="20"/>
          <w:szCs w:val="20"/>
        </w:rPr>
        <w:t>prey</w:t>
      </w:r>
      <w:proofErr w:type="spellEnd"/>
      <w:r w:rsidRPr="00880790">
        <w:rPr>
          <w:rFonts w:ascii="Corbel" w:hAnsi="Corbel"/>
          <w:b/>
          <w:sz w:val="20"/>
          <w:szCs w:val="20"/>
        </w:rPr>
        <w:t xml:space="preserve"> hem also that they </w:t>
      </w:r>
      <w:proofErr w:type="spellStart"/>
      <w:r w:rsidRPr="00880790">
        <w:rPr>
          <w:rFonts w:ascii="Corbel" w:hAnsi="Corbel"/>
          <w:b/>
          <w:sz w:val="20"/>
          <w:szCs w:val="20"/>
        </w:rPr>
        <w:t>arrette</w:t>
      </w:r>
      <w:proofErr w:type="spellEnd"/>
      <w:r w:rsidRPr="00880790">
        <w:rPr>
          <w:rFonts w:ascii="Corbel" w:hAnsi="Corbel"/>
          <w:b/>
          <w:sz w:val="20"/>
          <w:szCs w:val="20"/>
        </w:rPr>
        <w:t xml:space="preserve"> it to the </w:t>
      </w:r>
      <w:proofErr w:type="spellStart"/>
      <w:r w:rsidRPr="00880790">
        <w:rPr>
          <w:rFonts w:ascii="Corbel" w:hAnsi="Corbel"/>
          <w:b/>
          <w:sz w:val="20"/>
          <w:szCs w:val="20"/>
        </w:rPr>
        <w:t>defaute</w:t>
      </w:r>
      <w:proofErr w:type="spellEnd"/>
      <w:r w:rsidRPr="00880790">
        <w:rPr>
          <w:rFonts w:ascii="Corbel" w:hAnsi="Corbel"/>
          <w:b/>
          <w:sz w:val="20"/>
          <w:szCs w:val="20"/>
        </w:rPr>
        <w:t xml:space="preserve"> of </w:t>
      </w:r>
      <w:proofErr w:type="spellStart"/>
      <w:r w:rsidRPr="00880790">
        <w:rPr>
          <w:rFonts w:ascii="Corbel" w:hAnsi="Corbel"/>
          <w:b/>
          <w:sz w:val="20"/>
          <w:szCs w:val="20"/>
        </w:rPr>
        <w:t>myn</w:t>
      </w:r>
      <w:proofErr w:type="spellEnd"/>
      <w:r w:rsidRPr="00880790">
        <w:rPr>
          <w:rFonts w:ascii="Corbel" w:hAnsi="Corbel"/>
          <w:b/>
          <w:sz w:val="20"/>
          <w:szCs w:val="20"/>
        </w:rPr>
        <w:t xml:space="preserve"> </w:t>
      </w:r>
      <w:proofErr w:type="spellStart"/>
      <w:r w:rsidRPr="00880790">
        <w:rPr>
          <w:rFonts w:ascii="Corbel" w:hAnsi="Corbel"/>
          <w:b/>
          <w:sz w:val="20"/>
          <w:szCs w:val="20"/>
        </w:rPr>
        <w:t>unkonnynge</w:t>
      </w:r>
      <w:proofErr w:type="spellEnd"/>
      <w:r w:rsidRPr="00880790">
        <w:rPr>
          <w:rFonts w:ascii="Corbel" w:hAnsi="Corbel"/>
          <w:b/>
          <w:sz w:val="20"/>
          <w:szCs w:val="20"/>
        </w:rPr>
        <w:t xml:space="preserve"> and </w:t>
      </w:r>
      <w:proofErr w:type="spellStart"/>
      <w:r w:rsidRPr="00880790">
        <w:rPr>
          <w:rFonts w:ascii="Corbel" w:hAnsi="Corbel"/>
          <w:b/>
          <w:sz w:val="20"/>
          <w:szCs w:val="20"/>
        </w:rPr>
        <w:t>nat</w:t>
      </w:r>
      <w:proofErr w:type="spellEnd"/>
      <w:r w:rsidRPr="00880790">
        <w:rPr>
          <w:rFonts w:ascii="Corbel" w:hAnsi="Corbel"/>
          <w:b/>
          <w:sz w:val="20"/>
          <w:szCs w:val="20"/>
        </w:rPr>
        <w:t xml:space="preserve"> to my </w:t>
      </w:r>
      <w:proofErr w:type="spellStart"/>
      <w:r w:rsidRPr="00880790">
        <w:rPr>
          <w:rFonts w:ascii="Corbel" w:hAnsi="Corbel"/>
          <w:b/>
          <w:sz w:val="20"/>
          <w:szCs w:val="20"/>
        </w:rPr>
        <w:t>wyl</w:t>
      </w:r>
      <w:proofErr w:type="spellEnd"/>
      <w:r w:rsidRPr="00880790">
        <w:rPr>
          <w:rFonts w:ascii="Corbel" w:hAnsi="Corbel"/>
          <w:b/>
          <w:sz w:val="20"/>
          <w:szCs w:val="20"/>
        </w:rPr>
        <w:t xml:space="preserve">, that </w:t>
      </w:r>
      <w:proofErr w:type="spellStart"/>
      <w:r w:rsidRPr="00880790">
        <w:rPr>
          <w:rFonts w:ascii="Corbel" w:hAnsi="Corbel"/>
          <w:b/>
          <w:sz w:val="20"/>
          <w:szCs w:val="20"/>
        </w:rPr>
        <w:t>wolde</w:t>
      </w:r>
      <w:proofErr w:type="spellEnd"/>
      <w:r w:rsidRPr="00880790">
        <w:rPr>
          <w:rFonts w:ascii="Corbel" w:hAnsi="Corbel"/>
          <w:b/>
          <w:sz w:val="20"/>
          <w:szCs w:val="20"/>
        </w:rPr>
        <w:t xml:space="preserve"> </w:t>
      </w:r>
      <w:proofErr w:type="spellStart"/>
      <w:r w:rsidRPr="00880790">
        <w:rPr>
          <w:rFonts w:ascii="Corbel" w:hAnsi="Corbel"/>
          <w:b/>
          <w:sz w:val="20"/>
          <w:szCs w:val="20"/>
        </w:rPr>
        <w:t>ful</w:t>
      </w:r>
      <w:proofErr w:type="spellEnd"/>
      <w:r w:rsidRPr="00880790">
        <w:rPr>
          <w:rFonts w:ascii="Corbel" w:hAnsi="Corbel"/>
          <w:b/>
          <w:sz w:val="20"/>
          <w:szCs w:val="20"/>
        </w:rPr>
        <w:t xml:space="preserve"> </w:t>
      </w:r>
      <w:proofErr w:type="spellStart"/>
      <w:r w:rsidRPr="00880790">
        <w:rPr>
          <w:rFonts w:ascii="Corbel" w:hAnsi="Corbel"/>
          <w:b/>
          <w:sz w:val="20"/>
          <w:szCs w:val="20"/>
        </w:rPr>
        <w:t>fayn</w:t>
      </w:r>
      <w:proofErr w:type="spellEnd"/>
      <w:r w:rsidRPr="00880790">
        <w:rPr>
          <w:rFonts w:ascii="Corbel" w:hAnsi="Corbel"/>
          <w:b/>
          <w:sz w:val="20"/>
          <w:szCs w:val="20"/>
        </w:rPr>
        <w:t xml:space="preserve"> have </w:t>
      </w:r>
      <w:proofErr w:type="spellStart"/>
      <w:r w:rsidRPr="00880790">
        <w:rPr>
          <w:rFonts w:ascii="Corbel" w:hAnsi="Corbel"/>
          <w:b/>
          <w:sz w:val="20"/>
          <w:szCs w:val="20"/>
        </w:rPr>
        <w:t>seyd</w:t>
      </w:r>
      <w:proofErr w:type="spellEnd"/>
      <w:r w:rsidRPr="00880790">
        <w:rPr>
          <w:rFonts w:ascii="Corbel" w:hAnsi="Corbel"/>
          <w:b/>
          <w:sz w:val="20"/>
          <w:szCs w:val="20"/>
        </w:rPr>
        <w:t xml:space="preserve"> better if I </w:t>
      </w:r>
      <w:proofErr w:type="spellStart"/>
      <w:r w:rsidRPr="00880790">
        <w:rPr>
          <w:rFonts w:ascii="Corbel" w:hAnsi="Corbel"/>
          <w:b/>
          <w:sz w:val="20"/>
          <w:szCs w:val="20"/>
        </w:rPr>
        <w:t>hadde</w:t>
      </w:r>
      <w:proofErr w:type="spellEnd"/>
      <w:r w:rsidRPr="00880790">
        <w:rPr>
          <w:rFonts w:ascii="Corbel" w:hAnsi="Corbel"/>
          <w:b/>
          <w:sz w:val="20"/>
          <w:szCs w:val="20"/>
        </w:rPr>
        <w:t xml:space="preserve"> had </w:t>
      </w:r>
      <w:proofErr w:type="spellStart"/>
      <w:r w:rsidRPr="00880790">
        <w:rPr>
          <w:rFonts w:ascii="Corbel" w:hAnsi="Corbel"/>
          <w:b/>
          <w:sz w:val="20"/>
          <w:szCs w:val="20"/>
        </w:rPr>
        <w:t>konnynge</w:t>
      </w:r>
      <w:proofErr w:type="spellEnd"/>
      <w:r w:rsidRPr="00880790">
        <w:rPr>
          <w:rFonts w:ascii="Corbel" w:hAnsi="Corbel"/>
          <w:b/>
          <w:sz w:val="20"/>
          <w:szCs w:val="20"/>
        </w:rPr>
        <w:t>.’</w:t>
      </w:r>
      <w:r>
        <w:rPr>
          <w:rStyle w:val="FootnoteReference"/>
          <w:rFonts w:ascii="Corbel" w:hAnsi="Corbel"/>
          <w:b/>
          <w:sz w:val="20"/>
          <w:szCs w:val="20"/>
        </w:rPr>
        <w:footnoteReference w:id="1"/>
      </w:r>
    </w:p>
    <w:p w:rsidR="00117255" w:rsidRDefault="00117255" w:rsidP="00117255">
      <w:pPr>
        <w:spacing w:line="360" w:lineRule="auto"/>
        <w:jc w:val="both"/>
        <w:rPr>
          <w:rFonts w:ascii="Corbel" w:hAnsi="Corbel"/>
          <w:b/>
          <w:sz w:val="32"/>
          <w:szCs w:val="32"/>
        </w:rPr>
      </w:pPr>
    </w:p>
    <w:p w:rsidR="00117255" w:rsidRDefault="00117255" w:rsidP="00117255">
      <w:pPr>
        <w:spacing w:line="360" w:lineRule="auto"/>
        <w:jc w:val="center"/>
        <w:rPr>
          <w:rFonts w:ascii="Corbel" w:hAnsi="Corbel"/>
          <w:b/>
          <w:sz w:val="32"/>
          <w:szCs w:val="32"/>
          <w:u w:val="single"/>
        </w:rPr>
      </w:pPr>
      <w:r w:rsidRPr="00971EFA">
        <w:rPr>
          <w:rFonts w:ascii="Corbel" w:hAnsi="Corbel"/>
          <w:b/>
          <w:sz w:val="32"/>
          <w:szCs w:val="32"/>
          <w:u w:val="single"/>
        </w:rPr>
        <w:t>Consider the way Chaucer wrestles with the purpose of narrative in the Canterbury Tales</w:t>
      </w:r>
    </w:p>
    <w:p w:rsidR="00117255" w:rsidRDefault="00117255" w:rsidP="00117255">
      <w:pPr>
        <w:spacing w:line="360" w:lineRule="auto"/>
        <w:rPr>
          <w:rFonts w:ascii="Corbel" w:hAnsi="Corbel"/>
          <w:sz w:val="28"/>
          <w:szCs w:val="28"/>
        </w:rPr>
      </w:pPr>
      <w:r>
        <w:rPr>
          <w:rFonts w:ascii="Corbel" w:hAnsi="Corbel"/>
          <w:sz w:val="28"/>
          <w:szCs w:val="28"/>
        </w:rPr>
        <w:t>The aim of this work is to consider how Chaucer wrestles with the purpose of ‘narrative’ in the Tales, what is its function and why did he write it in such a way? To do justice to the writing in the available word count, I will look at two tales which appear to be totally opposed in atmosphere. ‘The Nun’s Priest’s Tale’ with the farmyard story full of colour, love, conflict and a satisfactory resolution at the end; as opposed to a dark, bleak story full of avarice without repentance – ‘The Pardoner’s Tale’. This opposition of theme illustrates beautifully Chaucer’s skill with adapting and manipulating the narrative of two such different stories. Benson’s edition of ‘The Riverside Chaucer’</w:t>
      </w:r>
      <w:r>
        <w:rPr>
          <w:rStyle w:val="FootnoteReference"/>
          <w:rFonts w:ascii="Corbel" w:hAnsi="Corbel"/>
          <w:sz w:val="28"/>
          <w:szCs w:val="28"/>
        </w:rPr>
        <w:footnoteReference w:id="2"/>
      </w:r>
      <w:r>
        <w:rPr>
          <w:rFonts w:ascii="Corbel" w:hAnsi="Corbel"/>
          <w:sz w:val="28"/>
          <w:szCs w:val="28"/>
        </w:rPr>
        <w:t xml:space="preserve"> is the ‘Canterbury Tales’ version that all references, and quotes are taken from. </w:t>
      </w:r>
    </w:p>
    <w:p w:rsidR="00117255" w:rsidRDefault="00117255" w:rsidP="00117255">
      <w:pPr>
        <w:spacing w:line="360" w:lineRule="auto"/>
        <w:rPr>
          <w:rFonts w:ascii="Corbel" w:hAnsi="Corbel"/>
          <w:sz w:val="28"/>
          <w:szCs w:val="28"/>
        </w:rPr>
      </w:pPr>
      <w:r>
        <w:rPr>
          <w:rFonts w:ascii="Corbel" w:hAnsi="Corbel"/>
          <w:sz w:val="28"/>
          <w:szCs w:val="28"/>
        </w:rPr>
        <w:t>Narrative can be described many ways: account, chronicle, detail, reading, recital, to list just a few</w:t>
      </w:r>
      <w:r>
        <w:rPr>
          <w:rStyle w:val="FootnoteReference"/>
          <w:rFonts w:ascii="Corbel" w:hAnsi="Corbel"/>
          <w:sz w:val="28"/>
          <w:szCs w:val="28"/>
        </w:rPr>
        <w:footnoteReference w:id="3"/>
      </w:r>
      <w:r>
        <w:rPr>
          <w:rFonts w:ascii="Corbel" w:hAnsi="Corbel"/>
          <w:sz w:val="28"/>
          <w:szCs w:val="28"/>
        </w:rPr>
        <w:t>. The definition I am using is ‘noun: a spoken or written account of connected events; a story; mass noun: the narrated part of a literary work, as distinct from dialogue</w:t>
      </w:r>
      <w:r>
        <w:rPr>
          <w:rStyle w:val="FootnoteReference"/>
          <w:rFonts w:ascii="Corbel" w:hAnsi="Corbel"/>
          <w:sz w:val="28"/>
          <w:szCs w:val="28"/>
        </w:rPr>
        <w:footnoteReference w:id="4"/>
      </w:r>
      <w:r>
        <w:rPr>
          <w:rFonts w:ascii="Corbel" w:hAnsi="Corbel"/>
          <w:sz w:val="28"/>
          <w:szCs w:val="28"/>
        </w:rPr>
        <w:t xml:space="preserve">’. What must not be forgotten when reading the Tales, is how different Chaucer’s society was in comparison to the twenty-first century. The medieval system of hierarchy was beginning to </w:t>
      </w:r>
      <w:r>
        <w:rPr>
          <w:rFonts w:ascii="Corbel" w:hAnsi="Corbel"/>
          <w:sz w:val="28"/>
          <w:szCs w:val="28"/>
        </w:rPr>
        <w:lastRenderedPageBreak/>
        <w:t>fracture</w:t>
      </w:r>
      <w:r>
        <w:rPr>
          <w:rStyle w:val="FootnoteReference"/>
          <w:rFonts w:ascii="Corbel" w:hAnsi="Corbel"/>
          <w:sz w:val="28"/>
          <w:szCs w:val="28"/>
        </w:rPr>
        <w:footnoteReference w:id="5"/>
      </w:r>
      <w:r>
        <w:rPr>
          <w:rFonts w:ascii="Corbel" w:hAnsi="Corbel"/>
          <w:sz w:val="28"/>
          <w:szCs w:val="28"/>
        </w:rPr>
        <w:t>,</w:t>
      </w:r>
      <w:r>
        <w:rPr>
          <w:rStyle w:val="FootnoteReference"/>
          <w:rFonts w:ascii="Corbel" w:hAnsi="Corbel"/>
          <w:sz w:val="28"/>
          <w:szCs w:val="28"/>
        </w:rPr>
        <w:footnoteReference w:id="6"/>
      </w:r>
      <w:r>
        <w:rPr>
          <w:rFonts w:ascii="Corbel" w:hAnsi="Corbel"/>
          <w:sz w:val="28"/>
          <w:szCs w:val="28"/>
        </w:rPr>
        <w:t xml:space="preserve"> partly due to the ravages of the Black Death, 30% to 45% of the population were estimated to have died</w:t>
      </w:r>
      <w:r>
        <w:rPr>
          <w:rStyle w:val="FootnoteReference"/>
          <w:rFonts w:ascii="Corbel" w:hAnsi="Corbel"/>
          <w:sz w:val="28"/>
          <w:szCs w:val="28"/>
        </w:rPr>
        <w:footnoteReference w:id="7"/>
      </w:r>
      <w:r>
        <w:rPr>
          <w:rFonts w:ascii="Corbel" w:hAnsi="Corbel"/>
          <w:sz w:val="28"/>
          <w:szCs w:val="28"/>
        </w:rPr>
        <w:t>, with all the consequences of disruption that led to Wat Tyler’s uprising of 1381, distrust of the church and the emergence of a new merchant class can only be mentioned here, further reading can be found in the footnotes</w:t>
      </w:r>
      <w:r>
        <w:rPr>
          <w:rStyle w:val="FootnoteReference"/>
          <w:rFonts w:ascii="Corbel" w:hAnsi="Corbel"/>
          <w:sz w:val="28"/>
          <w:szCs w:val="28"/>
        </w:rPr>
        <w:footnoteReference w:id="8"/>
      </w:r>
      <w:r>
        <w:rPr>
          <w:rFonts w:ascii="Corbel" w:hAnsi="Corbel"/>
          <w:sz w:val="28"/>
          <w:szCs w:val="28"/>
        </w:rPr>
        <w:t xml:space="preserve"> </w:t>
      </w:r>
      <w:r>
        <w:rPr>
          <w:rStyle w:val="FootnoteReference"/>
          <w:rFonts w:ascii="Corbel" w:hAnsi="Corbel"/>
          <w:sz w:val="28"/>
          <w:szCs w:val="28"/>
        </w:rPr>
        <w:footnoteReference w:id="9"/>
      </w:r>
      <w:r>
        <w:rPr>
          <w:rFonts w:ascii="Corbel" w:hAnsi="Corbel"/>
          <w:sz w:val="28"/>
          <w:szCs w:val="28"/>
        </w:rPr>
        <w:t xml:space="preserve"> </w:t>
      </w:r>
      <w:r>
        <w:rPr>
          <w:rStyle w:val="FootnoteReference"/>
          <w:rFonts w:ascii="Corbel" w:hAnsi="Corbel"/>
          <w:sz w:val="28"/>
          <w:szCs w:val="28"/>
        </w:rPr>
        <w:footnoteReference w:id="10"/>
      </w:r>
      <w:r>
        <w:rPr>
          <w:rFonts w:ascii="Corbel" w:hAnsi="Corbel"/>
          <w:sz w:val="28"/>
          <w:szCs w:val="28"/>
        </w:rPr>
        <w:t xml:space="preserve">. </w:t>
      </w:r>
    </w:p>
    <w:p w:rsidR="00117255" w:rsidRDefault="00117255" w:rsidP="00117255">
      <w:pPr>
        <w:spacing w:line="360" w:lineRule="auto"/>
        <w:rPr>
          <w:rFonts w:ascii="Corbel" w:hAnsi="Corbel"/>
          <w:sz w:val="28"/>
          <w:szCs w:val="28"/>
        </w:rPr>
      </w:pPr>
      <w:r>
        <w:rPr>
          <w:rFonts w:ascii="Corbel" w:hAnsi="Corbel"/>
          <w:sz w:val="28"/>
          <w:szCs w:val="28"/>
        </w:rPr>
        <w:t>Dillon reminds us that all of Chaucer’s work was written as a manuscript, possibly by clerks in his employ</w:t>
      </w:r>
      <w:r>
        <w:rPr>
          <w:rStyle w:val="FootnoteReference"/>
          <w:rFonts w:ascii="Corbel" w:hAnsi="Corbel"/>
          <w:sz w:val="28"/>
          <w:szCs w:val="28"/>
        </w:rPr>
        <w:footnoteReference w:id="11"/>
      </w:r>
      <w:r>
        <w:rPr>
          <w:rFonts w:ascii="Corbel" w:hAnsi="Corbel"/>
          <w:sz w:val="28"/>
          <w:szCs w:val="28"/>
        </w:rPr>
        <w:t>, this would be slow work with few copies available. But, as the Tales were intended to be read to an audience, this would have a major impact on how his narration was constructed</w:t>
      </w:r>
      <w:r>
        <w:rPr>
          <w:rStyle w:val="FootnoteReference"/>
          <w:rFonts w:ascii="Corbel" w:hAnsi="Corbel"/>
          <w:sz w:val="28"/>
          <w:szCs w:val="28"/>
        </w:rPr>
        <w:footnoteReference w:id="12"/>
      </w:r>
      <w:r>
        <w:rPr>
          <w:rFonts w:ascii="Corbel" w:hAnsi="Corbel"/>
          <w:sz w:val="28"/>
          <w:szCs w:val="28"/>
        </w:rPr>
        <w:t>, how the narrative makes the meaning of a story</w:t>
      </w:r>
      <w:r>
        <w:rPr>
          <w:rStyle w:val="FootnoteReference"/>
          <w:rFonts w:ascii="Corbel" w:hAnsi="Corbel"/>
          <w:sz w:val="28"/>
          <w:szCs w:val="28"/>
        </w:rPr>
        <w:footnoteReference w:id="13"/>
      </w:r>
      <w:r>
        <w:rPr>
          <w:rFonts w:ascii="Corbel" w:hAnsi="Corbel"/>
          <w:sz w:val="28"/>
          <w:szCs w:val="28"/>
        </w:rPr>
        <w:t>. In terms of narration, Chaucer’s narrator of the Tales presenting the pilgrims is at the extradiegetic level</w:t>
      </w:r>
      <w:r>
        <w:rPr>
          <w:rStyle w:val="FootnoteReference"/>
          <w:rFonts w:ascii="Corbel" w:hAnsi="Corbel"/>
          <w:sz w:val="28"/>
          <w:szCs w:val="28"/>
        </w:rPr>
        <w:footnoteReference w:id="14"/>
      </w:r>
      <w:r>
        <w:rPr>
          <w:rFonts w:ascii="Corbel" w:hAnsi="Corbel"/>
          <w:sz w:val="28"/>
          <w:szCs w:val="28"/>
        </w:rPr>
        <w:t>, narratives within narratives within narratives. As Rimmon-Kennan tells us</w:t>
      </w:r>
      <w:r>
        <w:rPr>
          <w:rStyle w:val="FootnoteReference"/>
          <w:rFonts w:ascii="Corbel" w:hAnsi="Corbel"/>
          <w:sz w:val="28"/>
          <w:szCs w:val="28"/>
        </w:rPr>
        <w:footnoteReference w:id="15"/>
      </w:r>
      <w:r>
        <w:rPr>
          <w:rFonts w:ascii="Corbel" w:hAnsi="Corbel"/>
          <w:sz w:val="28"/>
          <w:szCs w:val="28"/>
        </w:rPr>
        <w:t xml:space="preserve">, an example of the change or shift of narrative from one to another, occurs at the end of the prologue (l.857-858); ‘And he began with right a </w:t>
      </w:r>
      <w:proofErr w:type="spellStart"/>
      <w:r>
        <w:rPr>
          <w:rFonts w:ascii="Corbel" w:hAnsi="Corbel"/>
          <w:sz w:val="28"/>
          <w:szCs w:val="28"/>
        </w:rPr>
        <w:t>myrie</w:t>
      </w:r>
      <w:proofErr w:type="spellEnd"/>
      <w:r>
        <w:rPr>
          <w:rFonts w:ascii="Corbel" w:hAnsi="Corbel"/>
          <w:sz w:val="28"/>
          <w:szCs w:val="28"/>
        </w:rPr>
        <w:t xml:space="preserve"> </w:t>
      </w:r>
      <w:proofErr w:type="spellStart"/>
      <w:r>
        <w:rPr>
          <w:rFonts w:ascii="Corbel" w:hAnsi="Corbel"/>
          <w:sz w:val="28"/>
          <w:szCs w:val="28"/>
        </w:rPr>
        <w:t>cheere</w:t>
      </w:r>
      <w:proofErr w:type="spellEnd"/>
      <w:r>
        <w:rPr>
          <w:rFonts w:ascii="Corbel" w:hAnsi="Corbel"/>
          <w:sz w:val="28"/>
          <w:szCs w:val="28"/>
        </w:rPr>
        <w:t xml:space="preserve"> His </w:t>
      </w:r>
      <w:r>
        <w:rPr>
          <w:rFonts w:ascii="Corbel" w:hAnsi="Corbel"/>
          <w:sz w:val="28"/>
          <w:szCs w:val="28"/>
        </w:rPr>
        <w:lastRenderedPageBreak/>
        <w:t xml:space="preserve">tale anon, and </w:t>
      </w:r>
      <w:proofErr w:type="spellStart"/>
      <w:r>
        <w:rPr>
          <w:rFonts w:ascii="Corbel" w:hAnsi="Corbel"/>
          <w:sz w:val="28"/>
          <w:szCs w:val="28"/>
        </w:rPr>
        <w:t>seyde</w:t>
      </w:r>
      <w:proofErr w:type="spellEnd"/>
      <w:r>
        <w:rPr>
          <w:rFonts w:ascii="Corbel" w:hAnsi="Corbel"/>
          <w:sz w:val="28"/>
          <w:szCs w:val="28"/>
        </w:rPr>
        <w:t xml:space="preserve"> as ye may </w:t>
      </w:r>
      <w:proofErr w:type="spellStart"/>
      <w:r>
        <w:rPr>
          <w:rFonts w:ascii="Corbel" w:hAnsi="Corbel"/>
          <w:sz w:val="28"/>
          <w:szCs w:val="28"/>
        </w:rPr>
        <w:t>heere</w:t>
      </w:r>
      <w:proofErr w:type="spellEnd"/>
      <w:r>
        <w:rPr>
          <w:rFonts w:ascii="Corbel" w:hAnsi="Corbel"/>
          <w:sz w:val="28"/>
          <w:szCs w:val="28"/>
        </w:rPr>
        <w:t>’. And this is the start of the shift of narrative in this essay.</w:t>
      </w:r>
    </w:p>
    <w:p w:rsidR="00117255" w:rsidRPr="0010436E" w:rsidRDefault="00117255" w:rsidP="00117255">
      <w:pPr>
        <w:spacing w:line="360" w:lineRule="auto"/>
        <w:rPr>
          <w:rFonts w:ascii="Corbel" w:hAnsi="Corbel"/>
          <w:sz w:val="28"/>
          <w:szCs w:val="28"/>
        </w:rPr>
      </w:pPr>
      <w:r>
        <w:rPr>
          <w:rFonts w:ascii="Corbel" w:hAnsi="Corbel"/>
          <w:sz w:val="28"/>
          <w:szCs w:val="28"/>
        </w:rPr>
        <w:t xml:space="preserve">The General Prologue of The Canterbury Tales starts by describing Spring, a dream and the prospect of love </w:t>
      </w:r>
      <w:r w:rsidR="004C2F63">
        <w:rPr>
          <w:rFonts w:ascii="Corbel" w:hAnsi="Corbel"/>
          <w:sz w:val="28"/>
          <w:szCs w:val="28"/>
        </w:rPr>
        <w:t xml:space="preserve">then </w:t>
      </w:r>
      <w:r>
        <w:rPr>
          <w:rFonts w:ascii="Corbel" w:hAnsi="Corbel"/>
          <w:sz w:val="28"/>
          <w:szCs w:val="28"/>
        </w:rPr>
        <w:t xml:space="preserve">changes direction with ‘Then </w:t>
      </w:r>
      <w:proofErr w:type="spellStart"/>
      <w:r>
        <w:rPr>
          <w:rFonts w:ascii="Corbel" w:hAnsi="Corbel"/>
          <w:sz w:val="28"/>
          <w:szCs w:val="28"/>
        </w:rPr>
        <w:t>longen</w:t>
      </w:r>
      <w:proofErr w:type="spellEnd"/>
      <w:r>
        <w:rPr>
          <w:rFonts w:ascii="Corbel" w:hAnsi="Corbel"/>
          <w:sz w:val="28"/>
          <w:szCs w:val="28"/>
        </w:rPr>
        <w:t xml:space="preserve"> folk to go on pilgrimages’ (l.12); this begins the framing narrative or connecting links, that holds the stories the Pilgrims </w:t>
      </w:r>
      <w:r w:rsidR="00A059F7">
        <w:rPr>
          <w:rFonts w:ascii="Corbel" w:hAnsi="Corbel"/>
          <w:sz w:val="28"/>
          <w:szCs w:val="28"/>
        </w:rPr>
        <w:t>Tales</w:t>
      </w:r>
      <w:r>
        <w:rPr>
          <w:rFonts w:ascii="Corbel" w:hAnsi="Corbel"/>
          <w:sz w:val="28"/>
          <w:szCs w:val="28"/>
        </w:rPr>
        <w:t xml:space="preserve"> together</w:t>
      </w:r>
      <w:r>
        <w:rPr>
          <w:rStyle w:val="FootnoteReference"/>
          <w:rFonts w:ascii="Corbel" w:hAnsi="Corbel"/>
          <w:sz w:val="28"/>
          <w:szCs w:val="28"/>
        </w:rPr>
        <w:footnoteReference w:id="16"/>
      </w:r>
      <w:r>
        <w:rPr>
          <w:rFonts w:ascii="Corbel" w:hAnsi="Corbel"/>
          <w:sz w:val="28"/>
          <w:szCs w:val="28"/>
        </w:rPr>
        <w:t>. Sir John the narrator of the Nun’s Priest’s Tale does not appear in the Prologue, but we are given a full external description of his Prioresse (l.118- 162). Chaucer gently mocks her aspirations to the higher classes, speaking non-Parisian French, eating daintily but very fat, show of wealth with a gold brooch</w:t>
      </w:r>
      <w:r w:rsidR="00D65316">
        <w:rPr>
          <w:rFonts w:ascii="Corbel" w:hAnsi="Corbel"/>
          <w:sz w:val="28"/>
          <w:szCs w:val="28"/>
        </w:rPr>
        <w:t>;</w:t>
      </w:r>
      <w:r>
        <w:rPr>
          <w:rFonts w:ascii="Corbel" w:hAnsi="Corbel"/>
          <w:sz w:val="28"/>
          <w:szCs w:val="28"/>
        </w:rPr>
        <w:t xml:space="preserve"> it is a florid portrait full of insatiable appetites.  The Pardoner also has a detailed picture painted (l.671-716) but with only two lines of sarcasm: ‘And thus, with feyned </w:t>
      </w:r>
      <w:proofErr w:type="spellStart"/>
      <w:r>
        <w:rPr>
          <w:rFonts w:ascii="Corbel" w:hAnsi="Corbel"/>
          <w:sz w:val="28"/>
          <w:szCs w:val="28"/>
        </w:rPr>
        <w:t>flaterye</w:t>
      </w:r>
      <w:proofErr w:type="spellEnd"/>
      <w:r>
        <w:rPr>
          <w:rFonts w:ascii="Corbel" w:hAnsi="Corbel"/>
          <w:sz w:val="28"/>
          <w:szCs w:val="28"/>
        </w:rPr>
        <w:t xml:space="preserve"> and japes, He made the </w:t>
      </w:r>
      <w:proofErr w:type="spellStart"/>
      <w:r>
        <w:rPr>
          <w:rFonts w:ascii="Corbel" w:hAnsi="Corbel"/>
          <w:sz w:val="28"/>
          <w:szCs w:val="28"/>
        </w:rPr>
        <w:t>persoun</w:t>
      </w:r>
      <w:proofErr w:type="spellEnd"/>
      <w:r>
        <w:rPr>
          <w:rFonts w:ascii="Corbel" w:hAnsi="Corbel"/>
          <w:sz w:val="28"/>
          <w:szCs w:val="28"/>
        </w:rPr>
        <w:t xml:space="preserve"> and the </w:t>
      </w:r>
      <w:proofErr w:type="spellStart"/>
      <w:r>
        <w:rPr>
          <w:rFonts w:ascii="Corbel" w:hAnsi="Corbel"/>
          <w:sz w:val="28"/>
          <w:szCs w:val="28"/>
        </w:rPr>
        <w:t>peple</w:t>
      </w:r>
      <w:proofErr w:type="spellEnd"/>
      <w:r>
        <w:rPr>
          <w:rFonts w:ascii="Corbel" w:hAnsi="Corbel"/>
          <w:sz w:val="28"/>
          <w:szCs w:val="28"/>
        </w:rPr>
        <w:t xml:space="preserve"> his apes’ (l.707-709). It feels if Chaucer has the need to flesh out the Prioresse and Pardoner before their tales are told, whereas Sir John will be defined by his narrative about Chauntecleer. Or, as has been suggested, is Sir John Chaucer’s avatar allowing the author to present his own narrative, a neutral voice amongst all the noise and chaos of the Tales?</w:t>
      </w:r>
      <w:r w:rsidRPr="009F2120">
        <w:rPr>
          <w:rStyle w:val="FootnoteReference"/>
          <w:rFonts w:ascii="Corbel" w:hAnsi="Corbel"/>
          <w:sz w:val="28"/>
          <w:szCs w:val="28"/>
        </w:rPr>
        <w:t xml:space="preserve"> </w:t>
      </w:r>
      <w:r>
        <w:rPr>
          <w:rStyle w:val="FootnoteReference"/>
          <w:rFonts w:ascii="Corbel" w:hAnsi="Corbel"/>
          <w:sz w:val="28"/>
          <w:szCs w:val="28"/>
        </w:rPr>
        <w:footnoteReference w:id="17"/>
      </w:r>
      <w:r>
        <w:rPr>
          <w:rStyle w:val="FootnoteReference"/>
          <w:rFonts w:ascii="Corbel" w:hAnsi="Corbel"/>
          <w:sz w:val="28"/>
          <w:szCs w:val="28"/>
        </w:rPr>
        <w:t xml:space="preserve"> </w:t>
      </w:r>
      <w:r>
        <w:rPr>
          <w:rFonts w:ascii="Corbel" w:hAnsi="Corbel"/>
          <w:sz w:val="28"/>
          <w:szCs w:val="28"/>
        </w:rPr>
        <w:t xml:space="preserve">He is very awkward telling the tale, particularly when he comes to the rhetorical speeches of Chauntecleer, he has to reassure the Pilgrims ‘This </w:t>
      </w:r>
      <w:proofErr w:type="spellStart"/>
      <w:r>
        <w:rPr>
          <w:rFonts w:ascii="Corbel" w:hAnsi="Corbel"/>
          <w:sz w:val="28"/>
          <w:szCs w:val="28"/>
        </w:rPr>
        <w:t>storie</w:t>
      </w:r>
      <w:proofErr w:type="spellEnd"/>
      <w:r>
        <w:rPr>
          <w:rFonts w:ascii="Corbel" w:hAnsi="Corbel"/>
          <w:sz w:val="28"/>
          <w:szCs w:val="28"/>
        </w:rPr>
        <w:t xml:space="preserve"> is also </w:t>
      </w:r>
      <w:proofErr w:type="spellStart"/>
      <w:r>
        <w:rPr>
          <w:rFonts w:ascii="Corbel" w:hAnsi="Corbel"/>
          <w:sz w:val="28"/>
          <w:szCs w:val="28"/>
        </w:rPr>
        <w:t>trewe</w:t>
      </w:r>
      <w:proofErr w:type="spellEnd"/>
      <w:r>
        <w:rPr>
          <w:rFonts w:ascii="Corbel" w:hAnsi="Corbel"/>
          <w:sz w:val="28"/>
          <w:szCs w:val="28"/>
        </w:rPr>
        <w:t>, I undertake’ (l.3211)</w:t>
      </w:r>
      <w:r>
        <w:rPr>
          <w:rStyle w:val="FootnoteReference"/>
          <w:rFonts w:ascii="Corbel" w:hAnsi="Corbel"/>
          <w:sz w:val="28"/>
          <w:szCs w:val="28"/>
        </w:rPr>
        <w:footnoteReference w:id="18"/>
      </w:r>
      <w:r>
        <w:rPr>
          <w:rFonts w:ascii="Corbel" w:hAnsi="Corbel"/>
          <w:sz w:val="28"/>
          <w:szCs w:val="28"/>
        </w:rPr>
        <w:t xml:space="preserve">. </w:t>
      </w:r>
      <w:r w:rsidRPr="0010436E">
        <w:rPr>
          <w:rFonts w:ascii="Corbel" w:hAnsi="Corbel"/>
          <w:sz w:val="28"/>
          <w:szCs w:val="28"/>
        </w:rPr>
        <w:t>The tale is comic with an inclusive narrative that is representative of the Tales as a whole</w:t>
      </w:r>
      <w:r w:rsidRPr="0010436E">
        <w:rPr>
          <w:rStyle w:val="FootnoteReference"/>
          <w:rFonts w:ascii="Corbel" w:hAnsi="Corbel"/>
          <w:sz w:val="28"/>
          <w:szCs w:val="28"/>
        </w:rPr>
        <w:footnoteReference w:id="19"/>
      </w:r>
      <w:r w:rsidRPr="0010436E">
        <w:rPr>
          <w:rFonts w:ascii="Corbel" w:hAnsi="Corbel"/>
          <w:sz w:val="28"/>
          <w:szCs w:val="28"/>
        </w:rPr>
        <w:t xml:space="preserve">, this </w:t>
      </w:r>
      <w:r w:rsidRPr="0010436E">
        <w:rPr>
          <w:rFonts w:ascii="Corbel" w:hAnsi="Corbel"/>
          <w:sz w:val="28"/>
          <w:szCs w:val="28"/>
        </w:rPr>
        <w:lastRenderedPageBreak/>
        <w:t xml:space="preserve">allows Chaucer to stand up to authority without being too obvious. </w:t>
      </w:r>
      <w:r>
        <w:rPr>
          <w:rFonts w:ascii="Corbel" w:hAnsi="Corbel"/>
          <w:sz w:val="28"/>
          <w:szCs w:val="28"/>
        </w:rPr>
        <w:t xml:space="preserve"> </w:t>
      </w:r>
      <w:proofErr w:type="spellStart"/>
      <w:r>
        <w:rPr>
          <w:rFonts w:ascii="Corbel" w:hAnsi="Corbel"/>
          <w:sz w:val="28"/>
          <w:szCs w:val="28"/>
        </w:rPr>
        <w:t>Oerleman</w:t>
      </w:r>
      <w:proofErr w:type="spellEnd"/>
      <w:r>
        <w:rPr>
          <w:rStyle w:val="FootnoteReference"/>
          <w:rFonts w:ascii="Corbel" w:hAnsi="Corbel"/>
          <w:sz w:val="28"/>
          <w:szCs w:val="28"/>
        </w:rPr>
        <w:footnoteReference w:id="20"/>
      </w:r>
      <w:r>
        <w:rPr>
          <w:rFonts w:ascii="Corbel" w:hAnsi="Corbel"/>
          <w:sz w:val="28"/>
          <w:szCs w:val="28"/>
        </w:rPr>
        <w:t xml:space="preserve"> has a different take on Sir John, he is a practical solution, a fusion of Chaucer and his narrator; this would allow the author a solution to problems with his narration </w:t>
      </w:r>
      <w:proofErr w:type="gramStart"/>
      <w:r>
        <w:rPr>
          <w:rFonts w:ascii="Corbel" w:hAnsi="Corbel"/>
          <w:sz w:val="28"/>
          <w:szCs w:val="28"/>
        </w:rPr>
        <w:t>being seen as</w:t>
      </w:r>
      <w:proofErr w:type="gramEnd"/>
      <w:r>
        <w:rPr>
          <w:rFonts w:ascii="Corbel" w:hAnsi="Corbel"/>
          <w:sz w:val="28"/>
          <w:szCs w:val="28"/>
        </w:rPr>
        <w:t xml:space="preserve"> subversive. </w:t>
      </w:r>
      <w:r w:rsidRPr="0010436E">
        <w:rPr>
          <w:rFonts w:ascii="Corbel" w:hAnsi="Corbel"/>
          <w:sz w:val="28"/>
          <w:szCs w:val="28"/>
        </w:rPr>
        <w:t>The fourteenth century was not a time to say what you wished whenever you wanted, government was a dictatorship not a democracy. Fehrenbacher believes that ‘rhetoric and literature, also enables societies to mystify and delude themselves about social inequities’</w:t>
      </w:r>
      <w:r w:rsidRPr="0010436E">
        <w:rPr>
          <w:rStyle w:val="FootnoteReference"/>
          <w:rFonts w:ascii="Corbel" w:hAnsi="Corbel"/>
          <w:sz w:val="28"/>
          <w:szCs w:val="28"/>
        </w:rPr>
        <w:footnoteReference w:id="21"/>
      </w:r>
      <w:r w:rsidRPr="0010436E">
        <w:rPr>
          <w:rFonts w:ascii="Corbel" w:hAnsi="Corbel"/>
          <w:sz w:val="28"/>
          <w:szCs w:val="28"/>
        </w:rPr>
        <w:t>, that is what Chaucer may have been wrestling with. Should he allow his countrymen to delude themselves, or was he hoping they would be aware of his different levels of narration? Or, it might be Chaucer just telling the Tale to enhance understanding of the earlier stories</w:t>
      </w:r>
      <w:r w:rsidRPr="0010436E">
        <w:rPr>
          <w:rStyle w:val="FootnoteReference"/>
          <w:rFonts w:ascii="Corbel" w:hAnsi="Corbel"/>
          <w:sz w:val="28"/>
          <w:szCs w:val="28"/>
        </w:rPr>
        <w:footnoteReference w:id="22"/>
      </w:r>
      <w:r w:rsidRPr="0010436E">
        <w:rPr>
          <w:rFonts w:ascii="Corbel" w:hAnsi="Corbel"/>
          <w:sz w:val="28"/>
          <w:szCs w:val="28"/>
        </w:rPr>
        <w:t xml:space="preserve">.     </w:t>
      </w:r>
    </w:p>
    <w:p w:rsidR="00117255" w:rsidRDefault="00117255" w:rsidP="00117255">
      <w:pPr>
        <w:spacing w:line="360" w:lineRule="auto"/>
        <w:rPr>
          <w:rFonts w:ascii="Corbel" w:hAnsi="Corbel"/>
          <w:sz w:val="28"/>
          <w:szCs w:val="28"/>
        </w:rPr>
      </w:pPr>
      <w:r w:rsidRPr="0010436E">
        <w:rPr>
          <w:rFonts w:ascii="Corbel" w:hAnsi="Corbel"/>
          <w:sz w:val="28"/>
          <w:szCs w:val="28"/>
        </w:rPr>
        <w:t xml:space="preserve">Lynn Staley Johnson’s article in the Chaucer Review states, ‘For its sustained tone, delicate comedy, subtle allusiveness, and, above all, its characterisation, </w:t>
      </w:r>
      <w:r>
        <w:rPr>
          <w:rFonts w:ascii="Corbel" w:hAnsi="Corbel"/>
          <w:sz w:val="28"/>
          <w:szCs w:val="28"/>
        </w:rPr>
        <w:t xml:space="preserve">the Nun’s Priest’s Tale stands as a triumph of Chaucer’s art’ </w:t>
      </w:r>
      <w:r>
        <w:rPr>
          <w:rStyle w:val="FootnoteReference"/>
          <w:rFonts w:ascii="Corbel" w:hAnsi="Corbel"/>
          <w:sz w:val="28"/>
          <w:szCs w:val="28"/>
        </w:rPr>
        <w:footnoteReference w:id="23"/>
      </w:r>
      <w:r>
        <w:rPr>
          <w:rFonts w:ascii="Corbel" w:hAnsi="Corbel"/>
          <w:sz w:val="28"/>
          <w:szCs w:val="28"/>
        </w:rPr>
        <w:t>.  This is a perfect introduction to a discussion on how Chaucer continually seems to wrestle with the purpose of his narrative in this Tale. On a first reading a farmyard fable is presented to the audience, added to the mix is rhetoric, the meaning of dreams, satire with a literary sheen applied to talking animals, a conflict resolved and much humour</w:t>
      </w:r>
      <w:r>
        <w:rPr>
          <w:rStyle w:val="FootnoteReference"/>
          <w:rFonts w:ascii="Corbel" w:hAnsi="Corbel"/>
          <w:sz w:val="28"/>
          <w:szCs w:val="28"/>
        </w:rPr>
        <w:footnoteReference w:id="24"/>
      </w:r>
      <w:r>
        <w:rPr>
          <w:rFonts w:ascii="Corbel" w:hAnsi="Corbel"/>
          <w:sz w:val="28"/>
          <w:szCs w:val="28"/>
        </w:rPr>
        <w:t xml:space="preserve">. This first level has a simple narrative, its purpose to tell a tale a child may enjoy along with parents or grandparents, a family occasion. My proposition is that Chaucer’s farmyard is a world that reflected </w:t>
      </w:r>
      <w:r>
        <w:rPr>
          <w:rFonts w:ascii="Corbel" w:hAnsi="Corbel"/>
          <w:sz w:val="28"/>
          <w:szCs w:val="28"/>
        </w:rPr>
        <w:lastRenderedPageBreak/>
        <w:t xml:space="preserve">his own, and his second level of narration is the mirror he uses to show the audience that world. </w:t>
      </w:r>
    </w:p>
    <w:p w:rsidR="00117255" w:rsidRDefault="00117255" w:rsidP="00117255">
      <w:pPr>
        <w:spacing w:line="360" w:lineRule="auto"/>
        <w:rPr>
          <w:rFonts w:ascii="Corbel" w:hAnsi="Corbel"/>
          <w:sz w:val="28"/>
          <w:szCs w:val="28"/>
        </w:rPr>
      </w:pPr>
      <w:r>
        <w:rPr>
          <w:rFonts w:ascii="Corbel" w:hAnsi="Corbel"/>
          <w:sz w:val="28"/>
          <w:szCs w:val="28"/>
        </w:rPr>
        <w:t>Sir John starts his tale at a disadvantage, he must tell a good story as the preceding Monk’s Tale was dismissed as incompetent, the Knight’s boring and the second Monk declines</w:t>
      </w:r>
      <w:r w:rsidR="00D65316">
        <w:rPr>
          <w:rFonts w:ascii="Corbel" w:hAnsi="Corbel"/>
          <w:sz w:val="28"/>
          <w:szCs w:val="28"/>
        </w:rPr>
        <w:t xml:space="preserve"> to talk</w:t>
      </w:r>
      <w:r>
        <w:rPr>
          <w:rFonts w:ascii="Corbel" w:hAnsi="Corbel"/>
          <w:sz w:val="28"/>
          <w:szCs w:val="28"/>
        </w:rPr>
        <w:t xml:space="preserve">. His narrative must be merry ‘Look that </w:t>
      </w:r>
      <w:proofErr w:type="spellStart"/>
      <w:r>
        <w:rPr>
          <w:rFonts w:ascii="Corbel" w:hAnsi="Corbel"/>
          <w:sz w:val="28"/>
          <w:szCs w:val="28"/>
        </w:rPr>
        <w:t>thyn</w:t>
      </w:r>
      <w:proofErr w:type="spellEnd"/>
      <w:r>
        <w:rPr>
          <w:rFonts w:ascii="Corbel" w:hAnsi="Corbel"/>
          <w:sz w:val="28"/>
          <w:szCs w:val="28"/>
        </w:rPr>
        <w:t xml:space="preserve"> </w:t>
      </w:r>
      <w:proofErr w:type="spellStart"/>
      <w:r>
        <w:rPr>
          <w:rFonts w:ascii="Corbel" w:hAnsi="Corbel"/>
          <w:sz w:val="28"/>
          <w:szCs w:val="28"/>
        </w:rPr>
        <w:t>herte</w:t>
      </w:r>
      <w:proofErr w:type="spellEnd"/>
      <w:r>
        <w:rPr>
          <w:rFonts w:ascii="Corbel" w:hAnsi="Corbel"/>
          <w:sz w:val="28"/>
          <w:szCs w:val="28"/>
        </w:rPr>
        <w:t xml:space="preserve"> be </w:t>
      </w:r>
      <w:proofErr w:type="spellStart"/>
      <w:r>
        <w:rPr>
          <w:rFonts w:ascii="Corbel" w:hAnsi="Corbel"/>
          <w:sz w:val="28"/>
          <w:szCs w:val="28"/>
        </w:rPr>
        <w:t>murie</w:t>
      </w:r>
      <w:proofErr w:type="spellEnd"/>
      <w:r>
        <w:rPr>
          <w:rFonts w:ascii="Corbel" w:hAnsi="Corbel"/>
          <w:sz w:val="28"/>
          <w:szCs w:val="28"/>
        </w:rPr>
        <w:t xml:space="preserve"> </w:t>
      </w:r>
      <w:proofErr w:type="spellStart"/>
      <w:r>
        <w:rPr>
          <w:rFonts w:ascii="Corbel" w:hAnsi="Corbel"/>
          <w:sz w:val="28"/>
          <w:szCs w:val="28"/>
        </w:rPr>
        <w:t>evermo</w:t>
      </w:r>
      <w:proofErr w:type="spellEnd"/>
      <w:r>
        <w:rPr>
          <w:rFonts w:ascii="Corbel" w:hAnsi="Corbel"/>
          <w:sz w:val="28"/>
          <w:szCs w:val="28"/>
        </w:rPr>
        <w:t>’ (l.2815) demands the host; Sir John rides on a mean nag, which is both poor and lean, he is inferior in status to the Prioresse making his demeanour very different to the other clerical Pilgrims. How did Chaucer decide on the form of narrative to give Sir John? It needed to be amusing, instructive and enable Chaucer to satirize or allude to what was happening in the world</w:t>
      </w:r>
      <w:r>
        <w:rPr>
          <w:rStyle w:val="FootnoteReference"/>
          <w:rFonts w:ascii="Corbel" w:hAnsi="Corbel"/>
          <w:sz w:val="28"/>
          <w:szCs w:val="28"/>
        </w:rPr>
        <w:footnoteReference w:id="25"/>
      </w:r>
      <w:r>
        <w:rPr>
          <w:rFonts w:ascii="Corbel" w:hAnsi="Corbel"/>
          <w:sz w:val="28"/>
          <w:szCs w:val="28"/>
        </w:rPr>
        <w:t xml:space="preserve">. Starting with the wonderful description of the poor widow in his beast fable, he delivers a non-rhetorical comparison with the Prioresse; how one lived a poor but morally superior life compared to the florid, gluttonous representative of the church. </w:t>
      </w:r>
    </w:p>
    <w:p w:rsidR="00117255" w:rsidRDefault="00117255" w:rsidP="00117255">
      <w:pPr>
        <w:spacing w:after="0" w:line="360" w:lineRule="auto"/>
        <w:ind w:right="34"/>
        <w:rPr>
          <w:rFonts w:ascii="Corbel" w:hAnsi="Corbel"/>
          <w:sz w:val="28"/>
          <w:szCs w:val="28"/>
        </w:rPr>
      </w:pPr>
      <w:r>
        <w:rPr>
          <w:rFonts w:ascii="Corbel" w:hAnsi="Corbel"/>
          <w:sz w:val="28"/>
          <w:szCs w:val="28"/>
        </w:rPr>
        <w:t>Chaucer now gives a narrative to Sir John that is almost ridiculous in its beauty, his description of Chauntecleer the King of the farmyard parodies that of the Prioresse. This King, who is also going to land in a cooking pot in the future</w:t>
      </w:r>
      <w:r w:rsidR="00FB286E">
        <w:rPr>
          <w:rFonts w:ascii="Corbel" w:hAnsi="Corbel"/>
          <w:sz w:val="28"/>
          <w:szCs w:val="28"/>
        </w:rPr>
        <w:t>,</w:t>
      </w:r>
      <w:r>
        <w:rPr>
          <w:rFonts w:ascii="Corbel" w:hAnsi="Corbel"/>
          <w:sz w:val="28"/>
          <w:szCs w:val="28"/>
        </w:rPr>
        <w:t xml:space="preserve"> is all jewel colours like an embroidery the wealthy or church would own; coral, red, jet, azure and gold. Pertelote his ‘wife’ is jewelled less exquisitely, in colour and number of lines. Chauntecleer appears to be knightly and of the court, and Pertelote of the earth with her herbal remedies to ‘purge yow </w:t>
      </w:r>
      <w:proofErr w:type="spellStart"/>
      <w:r>
        <w:rPr>
          <w:rFonts w:ascii="Corbel" w:hAnsi="Corbel"/>
          <w:sz w:val="28"/>
          <w:szCs w:val="28"/>
        </w:rPr>
        <w:t>bynethe</w:t>
      </w:r>
      <w:proofErr w:type="spellEnd"/>
      <w:r>
        <w:rPr>
          <w:rFonts w:ascii="Corbel" w:hAnsi="Corbel"/>
          <w:sz w:val="28"/>
          <w:szCs w:val="28"/>
        </w:rPr>
        <w:t xml:space="preserve"> and eek above’ (l.2953), a cure for his dreams. To enhance the ludicrous beauty of the King chicken, Sir John gives Chauntecleer many lines relating to dreams and the classical world plus a few that tell females to remember what chaos Eve wrought, plus Pertelote’s response</w:t>
      </w:r>
      <w:r w:rsidR="00FB286E">
        <w:rPr>
          <w:rFonts w:ascii="Corbel" w:hAnsi="Corbel"/>
          <w:sz w:val="28"/>
          <w:szCs w:val="28"/>
        </w:rPr>
        <w:t>s</w:t>
      </w:r>
      <w:r>
        <w:rPr>
          <w:rFonts w:ascii="Corbel" w:hAnsi="Corbel"/>
          <w:sz w:val="28"/>
          <w:szCs w:val="28"/>
        </w:rPr>
        <w:t xml:space="preserve">. </w:t>
      </w:r>
      <w:proofErr w:type="spellStart"/>
      <w:r>
        <w:rPr>
          <w:rFonts w:ascii="Corbel" w:hAnsi="Corbel"/>
          <w:sz w:val="28"/>
          <w:szCs w:val="28"/>
        </w:rPr>
        <w:t>Narkiss</w:t>
      </w:r>
      <w:proofErr w:type="spellEnd"/>
      <w:r>
        <w:rPr>
          <w:rFonts w:ascii="Corbel" w:hAnsi="Corbel"/>
          <w:sz w:val="28"/>
          <w:szCs w:val="28"/>
        </w:rPr>
        <w:t xml:space="preserve"> </w:t>
      </w:r>
      <w:r>
        <w:rPr>
          <w:rFonts w:ascii="Corbel" w:hAnsi="Corbel"/>
          <w:sz w:val="28"/>
          <w:szCs w:val="28"/>
        </w:rPr>
        <w:lastRenderedPageBreak/>
        <w:t>describes it as pseudo-erudition</w:t>
      </w:r>
      <w:r>
        <w:rPr>
          <w:rStyle w:val="FootnoteReference"/>
          <w:rFonts w:ascii="Corbel" w:hAnsi="Corbel"/>
          <w:sz w:val="28"/>
          <w:szCs w:val="28"/>
        </w:rPr>
        <w:footnoteReference w:id="26"/>
      </w:r>
      <w:r>
        <w:rPr>
          <w:rFonts w:ascii="Corbel" w:hAnsi="Corbel"/>
          <w:sz w:val="28"/>
          <w:szCs w:val="28"/>
        </w:rPr>
        <w:t>, this sums up his lines succinctly and with a nod to humour. It feels Chaucer is admonishing the first estate about</w:t>
      </w:r>
      <w:r>
        <w:rPr>
          <w:rStyle w:val="FootnoteReference"/>
          <w:rFonts w:ascii="Corbel" w:hAnsi="Corbel"/>
          <w:sz w:val="28"/>
          <w:szCs w:val="28"/>
        </w:rPr>
        <w:footnoteReference w:id="27"/>
      </w:r>
      <w:r>
        <w:rPr>
          <w:rFonts w:ascii="Corbel" w:hAnsi="Corbel"/>
          <w:sz w:val="28"/>
          <w:szCs w:val="28"/>
        </w:rPr>
        <w:t xml:space="preserve"> their misunderstanding of the classics and regard for women. The dialogue is on different narrative levels, Pertelote’s interpretation of Chauntecleer’s dream and how we interpret Chaucer’s words</w:t>
      </w:r>
      <w:r>
        <w:rPr>
          <w:rStyle w:val="FootnoteReference"/>
          <w:rFonts w:ascii="Corbel" w:hAnsi="Corbel"/>
          <w:sz w:val="28"/>
          <w:szCs w:val="28"/>
        </w:rPr>
        <w:footnoteReference w:id="28"/>
      </w:r>
      <w:r>
        <w:rPr>
          <w:rFonts w:ascii="Corbel" w:hAnsi="Corbel"/>
          <w:sz w:val="28"/>
          <w:szCs w:val="28"/>
        </w:rPr>
        <w:t xml:space="preserve"> , a result of him wrestling with an answer to his conundrum of saying what he wished without risking his </w:t>
      </w:r>
    </w:p>
    <w:p w:rsidR="00117255" w:rsidRDefault="00117255" w:rsidP="00117255">
      <w:pPr>
        <w:spacing w:after="0" w:line="360" w:lineRule="auto"/>
        <w:ind w:right="34"/>
        <w:rPr>
          <w:rFonts w:ascii="Corbel" w:hAnsi="Corbel"/>
          <w:sz w:val="28"/>
          <w:szCs w:val="28"/>
        </w:rPr>
      </w:pPr>
      <w:r>
        <w:rPr>
          <w:rFonts w:ascii="Corbel" w:hAnsi="Corbel"/>
          <w:sz w:val="28"/>
          <w:szCs w:val="28"/>
        </w:rPr>
        <w:t>reputation or liberty.</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Sir </w:t>
      </w:r>
      <w:r w:rsidR="008D46F0">
        <w:rPr>
          <w:rFonts w:ascii="Corbel" w:hAnsi="Corbel"/>
          <w:sz w:val="28"/>
          <w:szCs w:val="28"/>
        </w:rPr>
        <w:t>John’s (</w:t>
      </w:r>
      <w:r>
        <w:rPr>
          <w:rFonts w:ascii="Corbel" w:hAnsi="Corbel"/>
          <w:sz w:val="28"/>
          <w:szCs w:val="28"/>
        </w:rPr>
        <w:t>perhaps Chaucer’s) voice is heard again</w:t>
      </w:r>
      <w:r w:rsidR="00E95E6B">
        <w:rPr>
          <w:rFonts w:ascii="Corbel" w:hAnsi="Corbel"/>
          <w:sz w:val="28"/>
          <w:szCs w:val="28"/>
        </w:rPr>
        <w:t>,</w:t>
      </w:r>
      <w:r>
        <w:rPr>
          <w:rFonts w:ascii="Corbel" w:hAnsi="Corbel"/>
          <w:sz w:val="28"/>
          <w:szCs w:val="28"/>
        </w:rPr>
        <w:t xml:space="preserve"> ‘A col-fox, </w:t>
      </w:r>
      <w:proofErr w:type="spellStart"/>
      <w:r>
        <w:rPr>
          <w:rFonts w:ascii="Corbel" w:hAnsi="Corbel"/>
          <w:sz w:val="28"/>
          <w:szCs w:val="28"/>
        </w:rPr>
        <w:t>ful</w:t>
      </w:r>
      <w:proofErr w:type="spellEnd"/>
      <w:r>
        <w:rPr>
          <w:rFonts w:ascii="Corbel" w:hAnsi="Corbel"/>
          <w:sz w:val="28"/>
          <w:szCs w:val="28"/>
        </w:rPr>
        <w:t xml:space="preserve"> of sly </w:t>
      </w:r>
      <w:proofErr w:type="spellStart"/>
      <w:r>
        <w:rPr>
          <w:rFonts w:ascii="Corbel" w:hAnsi="Corbel"/>
          <w:sz w:val="28"/>
          <w:szCs w:val="28"/>
        </w:rPr>
        <w:t>iniquitee</w:t>
      </w:r>
      <w:proofErr w:type="spellEnd"/>
      <w:r>
        <w:rPr>
          <w:rFonts w:ascii="Corbel" w:hAnsi="Corbel"/>
          <w:sz w:val="28"/>
          <w:szCs w:val="28"/>
        </w:rPr>
        <w:t xml:space="preserve">,’ (l. 3215), changing the narrative’s direction to that of predestination. Chanticleer dreamt of a fox coming to kill him, </w:t>
      </w:r>
      <w:r w:rsidR="00CB716E">
        <w:rPr>
          <w:rFonts w:ascii="Corbel" w:hAnsi="Corbel"/>
          <w:sz w:val="28"/>
          <w:szCs w:val="28"/>
        </w:rPr>
        <w:t>(</w:t>
      </w:r>
      <w:r>
        <w:rPr>
          <w:rFonts w:ascii="Corbel" w:hAnsi="Corbel"/>
          <w:sz w:val="28"/>
          <w:szCs w:val="28"/>
        </w:rPr>
        <w:t>l.3232 to 3272</w:t>
      </w:r>
      <w:r w:rsidR="00CB716E">
        <w:rPr>
          <w:rFonts w:ascii="Corbel" w:hAnsi="Corbel"/>
          <w:sz w:val="28"/>
          <w:szCs w:val="28"/>
        </w:rPr>
        <w:t>)</w:t>
      </w:r>
      <w:r>
        <w:rPr>
          <w:rFonts w:ascii="Corbel" w:hAnsi="Corbel"/>
          <w:sz w:val="28"/>
          <w:szCs w:val="28"/>
        </w:rPr>
        <w:t xml:space="preserve"> debates whether free choice is possible, or God preordains our lives. By putting this narration into a beast fable, Chaucer may be putting his thoughts in the public arena. But a Priest telling a story about a farmyard animal, could not be construed as debating God’s purpose, questioning the narration would make any query appear ridiculous.  </w:t>
      </w:r>
      <w:proofErr w:type="spellStart"/>
      <w:r>
        <w:rPr>
          <w:rFonts w:ascii="Corbel" w:hAnsi="Corbel"/>
          <w:sz w:val="28"/>
          <w:szCs w:val="28"/>
        </w:rPr>
        <w:t>Daun</w:t>
      </w:r>
      <w:proofErr w:type="spellEnd"/>
      <w:r>
        <w:rPr>
          <w:rFonts w:ascii="Corbel" w:hAnsi="Corbel"/>
          <w:sz w:val="28"/>
          <w:szCs w:val="28"/>
        </w:rPr>
        <w:t xml:space="preserve"> Russell the wily fox outsider, replaces Sir John with a long speech introduced with ‘</w:t>
      </w:r>
      <w:proofErr w:type="spellStart"/>
      <w:r>
        <w:rPr>
          <w:rFonts w:ascii="Corbel" w:hAnsi="Corbel"/>
          <w:sz w:val="28"/>
          <w:szCs w:val="28"/>
        </w:rPr>
        <w:t>Seyde</w:t>
      </w:r>
      <w:proofErr w:type="spellEnd"/>
      <w:r>
        <w:rPr>
          <w:rFonts w:ascii="Corbel" w:hAnsi="Corbel"/>
          <w:sz w:val="28"/>
          <w:szCs w:val="28"/>
        </w:rPr>
        <w:t xml:space="preserve">,” </w:t>
      </w:r>
      <w:proofErr w:type="spellStart"/>
      <w:r>
        <w:rPr>
          <w:rFonts w:ascii="Corbel" w:hAnsi="Corbel"/>
          <w:sz w:val="28"/>
          <w:szCs w:val="28"/>
        </w:rPr>
        <w:t>Gentil</w:t>
      </w:r>
      <w:proofErr w:type="spellEnd"/>
      <w:r>
        <w:rPr>
          <w:rFonts w:ascii="Corbel" w:hAnsi="Corbel"/>
          <w:sz w:val="28"/>
          <w:szCs w:val="28"/>
        </w:rPr>
        <w:t xml:space="preserve"> sire, </w:t>
      </w:r>
      <w:proofErr w:type="spellStart"/>
      <w:r>
        <w:rPr>
          <w:rFonts w:ascii="Corbel" w:hAnsi="Corbel"/>
          <w:sz w:val="28"/>
          <w:szCs w:val="28"/>
        </w:rPr>
        <w:t>allas</w:t>
      </w:r>
      <w:proofErr w:type="spellEnd"/>
      <w:r>
        <w:rPr>
          <w:rFonts w:ascii="Corbel" w:hAnsi="Corbel"/>
          <w:sz w:val="28"/>
          <w:szCs w:val="28"/>
        </w:rPr>
        <w:t xml:space="preserve">, where </w:t>
      </w:r>
      <w:proofErr w:type="spellStart"/>
      <w:r>
        <w:rPr>
          <w:rFonts w:ascii="Corbel" w:hAnsi="Corbel"/>
          <w:sz w:val="28"/>
          <w:szCs w:val="28"/>
        </w:rPr>
        <w:t>wol</w:t>
      </w:r>
      <w:proofErr w:type="spellEnd"/>
      <w:r>
        <w:rPr>
          <w:rFonts w:ascii="Corbel" w:hAnsi="Corbel"/>
          <w:sz w:val="28"/>
          <w:szCs w:val="28"/>
        </w:rPr>
        <w:t xml:space="preserve"> ye </w:t>
      </w:r>
      <w:proofErr w:type="spellStart"/>
      <w:r>
        <w:rPr>
          <w:rFonts w:ascii="Corbel" w:hAnsi="Corbel"/>
          <w:sz w:val="28"/>
          <w:szCs w:val="28"/>
        </w:rPr>
        <w:t>gon</w:t>
      </w:r>
      <w:proofErr w:type="spellEnd"/>
      <w:r>
        <w:rPr>
          <w:rFonts w:ascii="Corbel" w:hAnsi="Corbel"/>
          <w:sz w:val="28"/>
          <w:szCs w:val="28"/>
        </w:rPr>
        <w:t>?’ (l.3284), through to</w:t>
      </w:r>
      <w:r w:rsidR="00E95E6B">
        <w:rPr>
          <w:rFonts w:ascii="Corbel" w:hAnsi="Corbel"/>
          <w:sz w:val="28"/>
          <w:szCs w:val="28"/>
        </w:rPr>
        <w:t>,</w:t>
      </w:r>
      <w:r>
        <w:rPr>
          <w:rFonts w:ascii="Corbel" w:hAnsi="Corbel"/>
          <w:sz w:val="28"/>
          <w:szCs w:val="28"/>
        </w:rPr>
        <w:t xml:space="preserve"> ‘Lat se; </w:t>
      </w:r>
      <w:proofErr w:type="spellStart"/>
      <w:r>
        <w:rPr>
          <w:rFonts w:ascii="Corbel" w:hAnsi="Corbel"/>
          <w:sz w:val="28"/>
          <w:szCs w:val="28"/>
        </w:rPr>
        <w:t>konne</w:t>
      </w:r>
      <w:proofErr w:type="spellEnd"/>
      <w:r>
        <w:rPr>
          <w:rFonts w:ascii="Corbel" w:hAnsi="Corbel"/>
          <w:sz w:val="28"/>
          <w:szCs w:val="28"/>
        </w:rPr>
        <w:t xml:space="preserve"> ye </w:t>
      </w:r>
      <w:proofErr w:type="spellStart"/>
      <w:r>
        <w:rPr>
          <w:rFonts w:ascii="Corbel" w:hAnsi="Corbel"/>
          <w:sz w:val="28"/>
          <w:szCs w:val="28"/>
        </w:rPr>
        <w:t>youre</w:t>
      </w:r>
      <w:proofErr w:type="spellEnd"/>
      <w:r>
        <w:rPr>
          <w:rFonts w:ascii="Corbel" w:hAnsi="Corbel"/>
          <w:sz w:val="28"/>
          <w:szCs w:val="28"/>
        </w:rPr>
        <w:t xml:space="preserve"> fader </w:t>
      </w:r>
      <w:proofErr w:type="spellStart"/>
      <w:r>
        <w:rPr>
          <w:rFonts w:ascii="Corbel" w:hAnsi="Corbel"/>
          <w:sz w:val="28"/>
          <w:szCs w:val="28"/>
        </w:rPr>
        <w:t>countrefete</w:t>
      </w:r>
      <w:proofErr w:type="spellEnd"/>
      <w:r>
        <w:rPr>
          <w:rFonts w:ascii="Corbel" w:hAnsi="Corbel"/>
          <w:sz w:val="28"/>
          <w:szCs w:val="28"/>
        </w:rPr>
        <w:t xml:space="preserve">?”’ (l.3321). His words full of flattery and mockery again feel directed towards the church, corruption of the clergy, particularly when Sir John interjects about be aware of false flattery and treachery (l.3329-3330). The noise of the chickens when the hero is carried off by an outsider brings the poor widow and her family back into the story, with this the real world intrudes. Daughters, workers, geese, cows, dogs even the bees chasing </w:t>
      </w:r>
      <w:proofErr w:type="spellStart"/>
      <w:r>
        <w:rPr>
          <w:rFonts w:ascii="Corbel" w:hAnsi="Corbel"/>
          <w:sz w:val="28"/>
          <w:szCs w:val="28"/>
        </w:rPr>
        <w:t>Daun</w:t>
      </w:r>
      <w:proofErr w:type="spellEnd"/>
      <w:r>
        <w:rPr>
          <w:rFonts w:ascii="Corbel" w:hAnsi="Corbel"/>
          <w:sz w:val="28"/>
          <w:szCs w:val="28"/>
        </w:rPr>
        <w:t xml:space="preserve"> </w:t>
      </w:r>
      <w:r>
        <w:rPr>
          <w:rFonts w:ascii="Corbel" w:hAnsi="Corbel"/>
          <w:sz w:val="28"/>
          <w:szCs w:val="28"/>
        </w:rPr>
        <w:lastRenderedPageBreak/>
        <w:t>Russell and Chauntecleer, the King of the yard/dinner must be rescued. The narrative has taken another turn, references to the 1381 Rising</w:t>
      </w:r>
      <w:r>
        <w:rPr>
          <w:rStyle w:val="FootnoteReference"/>
          <w:rFonts w:ascii="Corbel" w:hAnsi="Corbel"/>
          <w:sz w:val="28"/>
          <w:szCs w:val="28"/>
        </w:rPr>
        <w:footnoteReference w:id="29"/>
      </w:r>
      <w:r>
        <w:rPr>
          <w:rFonts w:ascii="Corbel" w:hAnsi="Corbel"/>
          <w:sz w:val="28"/>
          <w:szCs w:val="28"/>
        </w:rPr>
        <w:t xml:space="preserve"> are alluded to:</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 ‘Certes, he </w:t>
      </w:r>
      <w:proofErr w:type="spellStart"/>
      <w:r>
        <w:rPr>
          <w:rFonts w:ascii="Corbel" w:hAnsi="Corbel"/>
          <w:sz w:val="28"/>
          <w:szCs w:val="28"/>
        </w:rPr>
        <w:t>Jakke</w:t>
      </w:r>
      <w:proofErr w:type="spellEnd"/>
      <w:r>
        <w:rPr>
          <w:rFonts w:ascii="Corbel" w:hAnsi="Corbel"/>
          <w:sz w:val="28"/>
          <w:szCs w:val="28"/>
        </w:rPr>
        <w:t xml:space="preserve"> Straw and his </w:t>
      </w:r>
      <w:proofErr w:type="spellStart"/>
      <w:r>
        <w:rPr>
          <w:rFonts w:ascii="Corbel" w:hAnsi="Corbel"/>
          <w:sz w:val="28"/>
          <w:szCs w:val="28"/>
        </w:rPr>
        <w:t>meynee</w:t>
      </w:r>
      <w:proofErr w:type="spellEnd"/>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Ne made </w:t>
      </w:r>
      <w:proofErr w:type="spellStart"/>
      <w:r>
        <w:rPr>
          <w:rFonts w:ascii="Corbel" w:hAnsi="Corbel"/>
          <w:sz w:val="28"/>
          <w:szCs w:val="28"/>
        </w:rPr>
        <w:t>nevere</w:t>
      </w:r>
      <w:proofErr w:type="spellEnd"/>
      <w:r>
        <w:rPr>
          <w:rFonts w:ascii="Corbel" w:hAnsi="Corbel"/>
          <w:sz w:val="28"/>
          <w:szCs w:val="28"/>
        </w:rPr>
        <w:t xml:space="preserve"> </w:t>
      </w:r>
      <w:proofErr w:type="spellStart"/>
      <w:r>
        <w:rPr>
          <w:rFonts w:ascii="Corbel" w:hAnsi="Corbel"/>
          <w:sz w:val="28"/>
          <w:szCs w:val="28"/>
        </w:rPr>
        <w:t>shoutes</w:t>
      </w:r>
      <w:proofErr w:type="spellEnd"/>
      <w:r>
        <w:rPr>
          <w:rFonts w:ascii="Corbel" w:hAnsi="Corbel"/>
          <w:sz w:val="28"/>
          <w:szCs w:val="28"/>
        </w:rPr>
        <w:t xml:space="preserve"> half so </w:t>
      </w:r>
      <w:proofErr w:type="spellStart"/>
      <w:r>
        <w:rPr>
          <w:rFonts w:ascii="Corbel" w:hAnsi="Corbel"/>
          <w:sz w:val="28"/>
          <w:szCs w:val="28"/>
        </w:rPr>
        <w:t>shrille</w:t>
      </w:r>
      <w:proofErr w:type="spellEnd"/>
    </w:p>
    <w:p w:rsidR="00117255" w:rsidRDefault="00117255" w:rsidP="00117255">
      <w:pPr>
        <w:spacing w:after="0" w:line="360" w:lineRule="auto"/>
        <w:ind w:right="34"/>
        <w:rPr>
          <w:rFonts w:ascii="Corbel" w:hAnsi="Corbel"/>
          <w:sz w:val="28"/>
          <w:szCs w:val="28"/>
        </w:rPr>
      </w:pPr>
      <w:proofErr w:type="spellStart"/>
      <w:r>
        <w:rPr>
          <w:rFonts w:ascii="Corbel" w:hAnsi="Corbel"/>
          <w:sz w:val="28"/>
          <w:szCs w:val="28"/>
        </w:rPr>
        <w:t>Whan</w:t>
      </w:r>
      <w:proofErr w:type="spellEnd"/>
      <w:r>
        <w:rPr>
          <w:rFonts w:ascii="Corbel" w:hAnsi="Corbel"/>
          <w:sz w:val="28"/>
          <w:szCs w:val="28"/>
        </w:rPr>
        <w:t xml:space="preserve"> they </w:t>
      </w:r>
      <w:proofErr w:type="spellStart"/>
      <w:r>
        <w:rPr>
          <w:rFonts w:ascii="Corbel" w:hAnsi="Corbel"/>
          <w:sz w:val="28"/>
          <w:szCs w:val="28"/>
        </w:rPr>
        <w:t>wolden</w:t>
      </w:r>
      <w:proofErr w:type="spellEnd"/>
      <w:r>
        <w:rPr>
          <w:rFonts w:ascii="Corbel" w:hAnsi="Corbel"/>
          <w:sz w:val="28"/>
          <w:szCs w:val="28"/>
        </w:rPr>
        <w:t xml:space="preserve"> any </w:t>
      </w:r>
      <w:proofErr w:type="spellStart"/>
      <w:r>
        <w:rPr>
          <w:rFonts w:ascii="Corbel" w:hAnsi="Corbel"/>
          <w:sz w:val="28"/>
          <w:szCs w:val="28"/>
        </w:rPr>
        <w:t>Flemyng</w:t>
      </w:r>
      <w:proofErr w:type="spellEnd"/>
      <w:r>
        <w:rPr>
          <w:rFonts w:ascii="Corbel" w:hAnsi="Corbel"/>
          <w:sz w:val="28"/>
          <w:szCs w:val="28"/>
        </w:rPr>
        <w:t xml:space="preserve"> kill,’ </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                                                                         (l.3394-3396).</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This is the first time Chaucer has cited real events in the Tale, he can bring the violence of the Uprising to the attention of the audience without considering the consequences of his narration. This may be why the burning of John of </w:t>
      </w:r>
      <w:proofErr w:type="spellStart"/>
      <w:r>
        <w:rPr>
          <w:rFonts w:ascii="Corbel" w:hAnsi="Corbel"/>
          <w:sz w:val="28"/>
          <w:szCs w:val="28"/>
        </w:rPr>
        <w:t>Gaunt’s</w:t>
      </w:r>
      <w:proofErr w:type="spellEnd"/>
      <w:r>
        <w:rPr>
          <w:rFonts w:ascii="Corbel" w:hAnsi="Corbel"/>
          <w:sz w:val="28"/>
          <w:szCs w:val="28"/>
        </w:rPr>
        <w:t xml:space="preserve"> palace, the murder of the Archbishop Sudbury plus the execution of several of Chaucer’s circle is not mentioned</w:t>
      </w:r>
      <w:r>
        <w:rPr>
          <w:rStyle w:val="FootnoteReference"/>
          <w:rFonts w:ascii="Corbel" w:hAnsi="Corbel"/>
          <w:sz w:val="28"/>
          <w:szCs w:val="28"/>
        </w:rPr>
        <w:footnoteReference w:id="30"/>
      </w:r>
      <w:r>
        <w:rPr>
          <w:rFonts w:ascii="Corbel" w:hAnsi="Corbel"/>
          <w:sz w:val="28"/>
          <w:szCs w:val="28"/>
        </w:rPr>
        <w:t>.</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How he concludes the Tale is masterful in the way he manipulates his narrative. The farmyard chasers never catch </w:t>
      </w:r>
      <w:proofErr w:type="spellStart"/>
      <w:r>
        <w:rPr>
          <w:rFonts w:ascii="Corbel" w:hAnsi="Corbel"/>
          <w:sz w:val="28"/>
          <w:szCs w:val="28"/>
        </w:rPr>
        <w:t>Daun</w:t>
      </w:r>
      <w:proofErr w:type="spellEnd"/>
      <w:r>
        <w:rPr>
          <w:rFonts w:ascii="Corbel" w:hAnsi="Corbel"/>
          <w:sz w:val="28"/>
          <w:szCs w:val="28"/>
        </w:rPr>
        <w:t xml:space="preserve"> Russell, it is the repeated false flattery that enables Chauntecleer to escape from the fox’s jaw; he returns to the farmyard to survive until it is his turn for the pot. The rioters of 1381 didn’t obtain their objective either; the Flemish weavers continued to prosper, Flanders became the centre for the European wool industry, and taxes continued to rise. Wat Tyler died from stab wounds at the site of the meeting with King Richard, many of his supporters were put to death, many more paid the huge fine of twenty shillings to absolve themselves</w:t>
      </w:r>
      <w:r>
        <w:rPr>
          <w:rStyle w:val="FootnoteReference"/>
          <w:rFonts w:ascii="Corbel" w:hAnsi="Corbel"/>
          <w:sz w:val="28"/>
          <w:szCs w:val="28"/>
        </w:rPr>
        <w:footnoteReference w:id="31"/>
      </w:r>
      <w:r>
        <w:rPr>
          <w:rFonts w:ascii="Corbel" w:hAnsi="Corbel"/>
          <w:sz w:val="28"/>
          <w:szCs w:val="28"/>
        </w:rPr>
        <w:t xml:space="preserve">.  </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‘For he that </w:t>
      </w:r>
      <w:proofErr w:type="spellStart"/>
      <w:r>
        <w:rPr>
          <w:rFonts w:ascii="Corbel" w:hAnsi="Corbel"/>
          <w:sz w:val="28"/>
          <w:szCs w:val="28"/>
        </w:rPr>
        <w:t>wynketh</w:t>
      </w:r>
      <w:proofErr w:type="spellEnd"/>
      <w:r>
        <w:rPr>
          <w:rFonts w:ascii="Corbel" w:hAnsi="Corbel"/>
          <w:sz w:val="28"/>
          <w:szCs w:val="28"/>
        </w:rPr>
        <w:t xml:space="preserve">, </w:t>
      </w:r>
      <w:proofErr w:type="spellStart"/>
      <w:r>
        <w:rPr>
          <w:rFonts w:ascii="Corbel" w:hAnsi="Corbel"/>
          <w:sz w:val="28"/>
          <w:szCs w:val="28"/>
        </w:rPr>
        <w:t>whan</w:t>
      </w:r>
      <w:proofErr w:type="spellEnd"/>
      <w:r>
        <w:rPr>
          <w:rFonts w:ascii="Corbel" w:hAnsi="Corbel"/>
          <w:sz w:val="28"/>
          <w:szCs w:val="28"/>
        </w:rPr>
        <w:t xml:space="preserve"> he </w:t>
      </w:r>
      <w:proofErr w:type="spellStart"/>
      <w:r>
        <w:rPr>
          <w:rFonts w:ascii="Corbel" w:hAnsi="Corbel"/>
          <w:sz w:val="28"/>
          <w:szCs w:val="28"/>
        </w:rPr>
        <w:t>sholde</w:t>
      </w:r>
      <w:proofErr w:type="spellEnd"/>
      <w:r>
        <w:rPr>
          <w:rFonts w:ascii="Corbel" w:hAnsi="Corbel"/>
          <w:sz w:val="28"/>
          <w:szCs w:val="28"/>
        </w:rPr>
        <w:t xml:space="preserve"> see,</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Al wilfully, God </w:t>
      </w:r>
      <w:proofErr w:type="spellStart"/>
      <w:r>
        <w:rPr>
          <w:rFonts w:ascii="Corbel" w:hAnsi="Corbel"/>
          <w:sz w:val="28"/>
          <w:szCs w:val="28"/>
        </w:rPr>
        <w:t>lat</w:t>
      </w:r>
      <w:proofErr w:type="spellEnd"/>
      <w:r>
        <w:rPr>
          <w:rFonts w:ascii="Corbel" w:hAnsi="Corbel"/>
          <w:sz w:val="28"/>
          <w:szCs w:val="28"/>
        </w:rPr>
        <w:t xml:space="preserve"> him </w:t>
      </w:r>
      <w:proofErr w:type="spellStart"/>
      <w:r>
        <w:rPr>
          <w:rFonts w:ascii="Corbel" w:hAnsi="Corbel"/>
          <w:sz w:val="28"/>
          <w:szCs w:val="28"/>
        </w:rPr>
        <w:t>nevere</w:t>
      </w:r>
      <w:proofErr w:type="spellEnd"/>
      <w:r>
        <w:rPr>
          <w:rFonts w:ascii="Corbel" w:hAnsi="Corbel"/>
          <w:sz w:val="28"/>
          <w:szCs w:val="28"/>
        </w:rPr>
        <w:t xml:space="preserve"> thee!”</w:t>
      </w:r>
    </w:p>
    <w:p w:rsidR="00117255" w:rsidRDefault="00117255" w:rsidP="00117255">
      <w:pPr>
        <w:spacing w:after="0" w:line="360" w:lineRule="auto"/>
        <w:ind w:right="34"/>
        <w:rPr>
          <w:rFonts w:ascii="Corbel" w:hAnsi="Corbel"/>
          <w:sz w:val="28"/>
          <w:szCs w:val="28"/>
        </w:rPr>
      </w:pPr>
      <w:proofErr w:type="gramStart"/>
      <w:r>
        <w:rPr>
          <w:rFonts w:ascii="Corbel" w:hAnsi="Corbel"/>
          <w:sz w:val="28"/>
          <w:szCs w:val="28"/>
        </w:rPr>
        <w:lastRenderedPageBreak/>
        <w:t>”Nay</w:t>
      </w:r>
      <w:proofErr w:type="gramEnd"/>
      <w:r>
        <w:rPr>
          <w:rFonts w:ascii="Corbel" w:hAnsi="Corbel"/>
          <w:sz w:val="28"/>
          <w:szCs w:val="28"/>
        </w:rPr>
        <w:t xml:space="preserve">, “quod the fox, “but God </w:t>
      </w:r>
      <w:proofErr w:type="spellStart"/>
      <w:r>
        <w:rPr>
          <w:rFonts w:ascii="Corbel" w:hAnsi="Corbel"/>
          <w:sz w:val="28"/>
          <w:szCs w:val="28"/>
        </w:rPr>
        <w:t>yeve</w:t>
      </w:r>
      <w:proofErr w:type="spellEnd"/>
      <w:r>
        <w:rPr>
          <w:rFonts w:ascii="Corbel" w:hAnsi="Corbel"/>
          <w:sz w:val="28"/>
          <w:szCs w:val="28"/>
        </w:rPr>
        <w:t xml:space="preserve"> </w:t>
      </w:r>
      <w:proofErr w:type="spellStart"/>
      <w:r>
        <w:rPr>
          <w:rFonts w:ascii="Corbel" w:hAnsi="Corbel"/>
          <w:sz w:val="28"/>
          <w:szCs w:val="28"/>
        </w:rPr>
        <w:t>hym</w:t>
      </w:r>
      <w:proofErr w:type="spellEnd"/>
      <w:r>
        <w:rPr>
          <w:rFonts w:ascii="Corbel" w:hAnsi="Corbel"/>
          <w:sz w:val="28"/>
          <w:szCs w:val="28"/>
        </w:rPr>
        <w:t xml:space="preserve"> </w:t>
      </w:r>
      <w:proofErr w:type="spellStart"/>
      <w:r>
        <w:rPr>
          <w:rFonts w:ascii="Corbel" w:hAnsi="Corbel"/>
          <w:sz w:val="28"/>
          <w:szCs w:val="28"/>
        </w:rPr>
        <w:t>meschaunce</w:t>
      </w:r>
      <w:proofErr w:type="spellEnd"/>
      <w:r>
        <w:rPr>
          <w:rFonts w:ascii="Corbel" w:hAnsi="Corbel"/>
          <w:sz w:val="28"/>
          <w:szCs w:val="28"/>
        </w:rPr>
        <w:t>,</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That is so </w:t>
      </w:r>
      <w:proofErr w:type="spellStart"/>
      <w:r>
        <w:rPr>
          <w:rFonts w:ascii="Corbel" w:hAnsi="Corbel"/>
          <w:sz w:val="28"/>
          <w:szCs w:val="28"/>
        </w:rPr>
        <w:t>undiscreet</w:t>
      </w:r>
      <w:proofErr w:type="spellEnd"/>
      <w:r>
        <w:rPr>
          <w:rFonts w:ascii="Corbel" w:hAnsi="Corbel"/>
          <w:sz w:val="28"/>
          <w:szCs w:val="28"/>
        </w:rPr>
        <w:t xml:space="preserve"> of </w:t>
      </w:r>
      <w:proofErr w:type="spellStart"/>
      <w:r>
        <w:rPr>
          <w:rFonts w:ascii="Corbel" w:hAnsi="Corbel"/>
          <w:sz w:val="28"/>
          <w:szCs w:val="28"/>
        </w:rPr>
        <w:t>governaunce</w:t>
      </w:r>
      <w:proofErr w:type="spellEnd"/>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That </w:t>
      </w:r>
      <w:proofErr w:type="spellStart"/>
      <w:r>
        <w:rPr>
          <w:rFonts w:ascii="Corbel" w:hAnsi="Corbel"/>
          <w:sz w:val="28"/>
          <w:szCs w:val="28"/>
        </w:rPr>
        <w:t>jangleth</w:t>
      </w:r>
      <w:proofErr w:type="spellEnd"/>
      <w:r>
        <w:rPr>
          <w:rFonts w:ascii="Corbel" w:hAnsi="Corbel"/>
          <w:sz w:val="28"/>
          <w:szCs w:val="28"/>
        </w:rPr>
        <w:t xml:space="preserve"> when he </w:t>
      </w:r>
      <w:proofErr w:type="spellStart"/>
      <w:r>
        <w:rPr>
          <w:rFonts w:ascii="Corbel" w:hAnsi="Corbel"/>
          <w:sz w:val="28"/>
          <w:szCs w:val="28"/>
        </w:rPr>
        <w:t>sholde</w:t>
      </w:r>
      <w:proofErr w:type="spellEnd"/>
      <w:r>
        <w:rPr>
          <w:rFonts w:ascii="Corbel" w:hAnsi="Corbel"/>
          <w:sz w:val="28"/>
          <w:szCs w:val="28"/>
        </w:rPr>
        <w:t xml:space="preserve"> hold his </w:t>
      </w:r>
      <w:proofErr w:type="spellStart"/>
      <w:r>
        <w:rPr>
          <w:rFonts w:ascii="Corbel" w:hAnsi="Corbel"/>
          <w:sz w:val="28"/>
          <w:szCs w:val="28"/>
        </w:rPr>
        <w:t>pees</w:t>
      </w:r>
      <w:proofErr w:type="spellEnd"/>
      <w:r>
        <w:rPr>
          <w:rFonts w:ascii="Corbel" w:hAnsi="Corbel"/>
          <w:sz w:val="28"/>
          <w:szCs w:val="28"/>
        </w:rPr>
        <w:t>.”’</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                                                                                          (l.3431-3435)</w:t>
      </w:r>
    </w:p>
    <w:p w:rsidR="00117255" w:rsidRDefault="00117255" w:rsidP="00117255">
      <w:pPr>
        <w:spacing w:after="0" w:line="360" w:lineRule="auto"/>
        <w:ind w:right="34"/>
        <w:rPr>
          <w:rFonts w:ascii="Corbel" w:hAnsi="Corbel"/>
          <w:sz w:val="28"/>
          <w:szCs w:val="28"/>
        </w:rPr>
      </w:pPr>
      <w:r>
        <w:rPr>
          <w:rFonts w:ascii="Corbel" w:hAnsi="Corbel"/>
          <w:sz w:val="28"/>
          <w:szCs w:val="28"/>
        </w:rPr>
        <w:t xml:space="preserve">To finish this section, the lines of Chauntecleer and </w:t>
      </w:r>
      <w:proofErr w:type="spellStart"/>
      <w:r>
        <w:rPr>
          <w:rFonts w:ascii="Corbel" w:hAnsi="Corbel"/>
          <w:sz w:val="28"/>
          <w:szCs w:val="28"/>
        </w:rPr>
        <w:t>Daun</w:t>
      </w:r>
      <w:proofErr w:type="spellEnd"/>
      <w:r>
        <w:rPr>
          <w:rFonts w:ascii="Corbel" w:hAnsi="Corbel"/>
          <w:sz w:val="28"/>
          <w:szCs w:val="28"/>
        </w:rPr>
        <w:t xml:space="preserve"> Russell above epitomise the advice to give to a person who wishes to flourish in the unstable times of fourteenth century England. </w:t>
      </w:r>
    </w:p>
    <w:p w:rsidR="00117255" w:rsidRDefault="00117255" w:rsidP="00117255">
      <w:pPr>
        <w:spacing w:line="360" w:lineRule="auto"/>
        <w:rPr>
          <w:rFonts w:ascii="Corbel" w:hAnsi="Corbel"/>
          <w:sz w:val="28"/>
          <w:szCs w:val="28"/>
        </w:rPr>
      </w:pPr>
      <w:r>
        <w:rPr>
          <w:rFonts w:ascii="Corbel" w:hAnsi="Corbel"/>
          <w:sz w:val="28"/>
          <w:szCs w:val="28"/>
        </w:rPr>
        <w:t>Th</w:t>
      </w:r>
      <w:r w:rsidR="00C14CBC">
        <w:rPr>
          <w:rFonts w:ascii="Corbel" w:hAnsi="Corbel"/>
          <w:sz w:val="28"/>
          <w:szCs w:val="28"/>
        </w:rPr>
        <w:t xml:space="preserve">e next </w:t>
      </w:r>
      <w:r>
        <w:rPr>
          <w:rFonts w:ascii="Corbel" w:hAnsi="Corbel"/>
          <w:sz w:val="28"/>
          <w:szCs w:val="28"/>
        </w:rPr>
        <w:t>section is approached in a different way and will be shorter than the first, the Pardoner’s Tale is so different to the Nunn’s Priest’s Tale there is slightly more emphasis on the how the changes</w:t>
      </w:r>
      <w:r w:rsidR="000D08B7">
        <w:rPr>
          <w:rFonts w:ascii="Corbel" w:hAnsi="Corbel"/>
          <w:sz w:val="28"/>
          <w:szCs w:val="28"/>
        </w:rPr>
        <w:t xml:space="preserve"> in society</w:t>
      </w:r>
      <w:r>
        <w:rPr>
          <w:rFonts w:ascii="Corbel" w:hAnsi="Corbel"/>
          <w:sz w:val="28"/>
          <w:szCs w:val="28"/>
        </w:rPr>
        <w:t xml:space="preserve"> might directly relate to the text. A pardoner in medieval England, was an ecclesiastic or layman who was authorized to raise money by selling papal indulgences to the living to ease the time spent in purgatory before the soul was raised to heaven</w:t>
      </w:r>
      <w:r>
        <w:rPr>
          <w:rStyle w:val="FootnoteReference"/>
          <w:rFonts w:ascii="Corbel" w:hAnsi="Corbel"/>
          <w:sz w:val="28"/>
          <w:szCs w:val="28"/>
        </w:rPr>
        <w:footnoteReference w:id="32"/>
      </w:r>
      <w:r>
        <w:rPr>
          <w:rFonts w:ascii="Corbel" w:hAnsi="Corbel"/>
          <w:sz w:val="28"/>
          <w:szCs w:val="28"/>
        </w:rPr>
        <w:t xml:space="preserve">. </w:t>
      </w:r>
    </w:p>
    <w:p w:rsidR="00117255" w:rsidRDefault="00117255" w:rsidP="00117255">
      <w:pPr>
        <w:spacing w:line="360" w:lineRule="auto"/>
        <w:rPr>
          <w:rFonts w:ascii="Corbel" w:hAnsi="Corbel"/>
          <w:sz w:val="28"/>
          <w:szCs w:val="28"/>
        </w:rPr>
      </w:pPr>
      <w:r>
        <w:rPr>
          <w:rFonts w:ascii="Corbel" w:hAnsi="Corbel"/>
          <w:sz w:val="28"/>
          <w:szCs w:val="28"/>
        </w:rPr>
        <w:t>The Pardoner is an out and out scoundrel, a self-confessed charlatan, his avarice and fakery make him a dark, brutal figure; this is the bleakest Tale in the collection. Chaucer’s narrative intrigues the audience about the message he is trying to impart. Stevens</w:t>
      </w:r>
      <w:r>
        <w:rPr>
          <w:rStyle w:val="FootnoteReference"/>
          <w:rFonts w:ascii="Corbel" w:hAnsi="Corbel"/>
          <w:sz w:val="28"/>
          <w:szCs w:val="28"/>
        </w:rPr>
        <w:footnoteReference w:id="33"/>
      </w:r>
      <w:r>
        <w:rPr>
          <w:rFonts w:ascii="Corbel" w:hAnsi="Corbel"/>
          <w:sz w:val="28"/>
          <w:szCs w:val="28"/>
        </w:rPr>
        <w:t xml:space="preserve"> and colleagues believe, that the Pardoner gave Chaucer his first opportunity ‘to state poetically, as part of the literary experience he provides us, that art and morality are inextricably linked’. From a completely different viewpoint, Patterson sees despair rather </w:t>
      </w:r>
      <w:r w:rsidR="00BA54C3">
        <w:rPr>
          <w:rFonts w:ascii="Corbel" w:hAnsi="Corbel"/>
          <w:sz w:val="28"/>
          <w:szCs w:val="28"/>
        </w:rPr>
        <w:t xml:space="preserve">than </w:t>
      </w:r>
      <w:r>
        <w:rPr>
          <w:rFonts w:ascii="Corbel" w:hAnsi="Corbel"/>
          <w:sz w:val="28"/>
          <w:szCs w:val="28"/>
        </w:rPr>
        <w:t xml:space="preserve">avarice in </w:t>
      </w:r>
      <w:r>
        <w:rPr>
          <w:rFonts w:ascii="Corbel" w:hAnsi="Corbel"/>
          <w:sz w:val="28"/>
          <w:szCs w:val="28"/>
        </w:rPr>
        <w:lastRenderedPageBreak/>
        <w:t>the figure of the Pardoner</w:t>
      </w:r>
      <w:r>
        <w:rPr>
          <w:rStyle w:val="FootnoteReference"/>
          <w:rFonts w:ascii="Corbel" w:hAnsi="Corbel"/>
          <w:sz w:val="28"/>
          <w:szCs w:val="28"/>
        </w:rPr>
        <w:footnoteReference w:id="34"/>
      </w:r>
      <w:r>
        <w:rPr>
          <w:rFonts w:ascii="Corbel" w:hAnsi="Corbel"/>
          <w:sz w:val="28"/>
          <w:szCs w:val="28"/>
        </w:rPr>
        <w:t>. Death on an industrial scale had turned the world upside down following the plague</w:t>
      </w:r>
      <w:r>
        <w:rPr>
          <w:rStyle w:val="FootnoteReference"/>
          <w:rFonts w:ascii="Corbel" w:hAnsi="Corbel"/>
          <w:sz w:val="28"/>
          <w:szCs w:val="28"/>
        </w:rPr>
        <w:footnoteReference w:id="35"/>
      </w:r>
      <w:r>
        <w:rPr>
          <w:rFonts w:ascii="Corbel" w:hAnsi="Corbel"/>
          <w:sz w:val="28"/>
          <w:szCs w:val="28"/>
        </w:rPr>
        <w:t>,  Lord Walsingham described Londoners as: ‘They were of all people the most proud, arrogant and greedy, disbelieving in God, disbelieving in ancient custom’</w:t>
      </w:r>
      <w:r>
        <w:rPr>
          <w:rStyle w:val="FootnoteReference"/>
          <w:rFonts w:ascii="Corbel" w:hAnsi="Corbel"/>
          <w:sz w:val="28"/>
          <w:szCs w:val="28"/>
        </w:rPr>
        <w:footnoteReference w:id="36"/>
      </w:r>
      <w:r>
        <w:rPr>
          <w:rFonts w:ascii="Corbel" w:hAnsi="Corbel"/>
          <w:sz w:val="28"/>
          <w:szCs w:val="28"/>
        </w:rPr>
        <w:t xml:space="preserve">. Chaucer may be using narrative given to the Pardoner to ingratiate himself with the court, his description of the Pardoner is so villainous as to be unbelievable on a brief reading. Or, the audience may be completely aware of the </w:t>
      </w:r>
      <w:r w:rsidR="00246641">
        <w:rPr>
          <w:rFonts w:ascii="Corbel" w:hAnsi="Corbel"/>
          <w:sz w:val="28"/>
          <w:szCs w:val="28"/>
        </w:rPr>
        <w:t>character</w:t>
      </w:r>
      <w:r>
        <w:rPr>
          <w:rFonts w:ascii="Corbel" w:hAnsi="Corbel"/>
          <w:sz w:val="28"/>
          <w:szCs w:val="28"/>
        </w:rPr>
        <w:t xml:space="preserve"> of the man who undermines the church with his corruption. Chaucer removes his Pilgrims to the Tavern</w:t>
      </w:r>
      <w:r>
        <w:rPr>
          <w:rStyle w:val="FootnoteReference"/>
          <w:rFonts w:ascii="Corbel" w:hAnsi="Corbel"/>
          <w:sz w:val="28"/>
          <w:szCs w:val="28"/>
        </w:rPr>
        <w:footnoteReference w:id="37"/>
      </w:r>
      <w:r>
        <w:rPr>
          <w:rFonts w:ascii="Corbel" w:hAnsi="Corbel"/>
          <w:sz w:val="28"/>
          <w:szCs w:val="28"/>
        </w:rPr>
        <w:t xml:space="preserve">, ‘But first, “quod he, “here at this ale stake I </w:t>
      </w:r>
      <w:proofErr w:type="spellStart"/>
      <w:r>
        <w:rPr>
          <w:rFonts w:ascii="Corbel" w:hAnsi="Corbel"/>
          <w:sz w:val="28"/>
          <w:szCs w:val="28"/>
        </w:rPr>
        <w:t>wol</w:t>
      </w:r>
      <w:proofErr w:type="spellEnd"/>
      <w:r>
        <w:rPr>
          <w:rFonts w:ascii="Corbel" w:hAnsi="Corbel"/>
          <w:sz w:val="28"/>
          <w:szCs w:val="28"/>
        </w:rPr>
        <w:t xml:space="preserve"> </w:t>
      </w:r>
      <w:proofErr w:type="spellStart"/>
      <w:r>
        <w:rPr>
          <w:rFonts w:ascii="Corbel" w:hAnsi="Corbel"/>
          <w:sz w:val="28"/>
          <w:szCs w:val="28"/>
        </w:rPr>
        <w:t>bothe</w:t>
      </w:r>
      <w:proofErr w:type="spellEnd"/>
      <w:r>
        <w:rPr>
          <w:rFonts w:ascii="Corbel" w:hAnsi="Corbel"/>
          <w:sz w:val="28"/>
          <w:szCs w:val="28"/>
        </w:rPr>
        <w:t xml:space="preserve"> </w:t>
      </w:r>
      <w:proofErr w:type="spellStart"/>
      <w:r>
        <w:rPr>
          <w:rFonts w:ascii="Corbel" w:hAnsi="Corbel"/>
          <w:sz w:val="28"/>
          <w:szCs w:val="28"/>
        </w:rPr>
        <w:t>drynke</w:t>
      </w:r>
      <w:proofErr w:type="spellEnd"/>
      <w:r>
        <w:rPr>
          <w:rFonts w:ascii="Corbel" w:hAnsi="Corbel"/>
          <w:sz w:val="28"/>
          <w:szCs w:val="28"/>
        </w:rPr>
        <w:t xml:space="preserve"> and </w:t>
      </w:r>
      <w:proofErr w:type="spellStart"/>
      <w:r>
        <w:rPr>
          <w:rFonts w:ascii="Corbel" w:hAnsi="Corbel"/>
          <w:sz w:val="28"/>
          <w:szCs w:val="28"/>
        </w:rPr>
        <w:t>eten</w:t>
      </w:r>
      <w:proofErr w:type="spellEnd"/>
      <w:r>
        <w:rPr>
          <w:rFonts w:ascii="Corbel" w:hAnsi="Corbel"/>
          <w:sz w:val="28"/>
          <w:szCs w:val="28"/>
        </w:rPr>
        <w:t xml:space="preserve"> of a cake.”’ (l.321-322). So soon in his tale Chaucer has diverted the party from their spiritual quest, they appear quite happy to return to the real world</w:t>
      </w:r>
      <w:r w:rsidR="00286966">
        <w:rPr>
          <w:rFonts w:ascii="Corbel" w:hAnsi="Corbel"/>
          <w:sz w:val="28"/>
          <w:szCs w:val="28"/>
        </w:rPr>
        <w:t>.</w:t>
      </w:r>
      <w:r>
        <w:rPr>
          <w:rFonts w:ascii="Corbel" w:hAnsi="Corbel"/>
          <w:sz w:val="28"/>
          <w:szCs w:val="28"/>
        </w:rPr>
        <w:t xml:space="preserve"> The narrative </w:t>
      </w:r>
      <w:r w:rsidR="0050276C">
        <w:rPr>
          <w:rFonts w:ascii="Corbel" w:hAnsi="Corbel"/>
          <w:sz w:val="28"/>
          <w:szCs w:val="28"/>
        </w:rPr>
        <w:t xml:space="preserve">again </w:t>
      </w:r>
      <w:r>
        <w:rPr>
          <w:rFonts w:ascii="Corbel" w:hAnsi="Corbel"/>
          <w:sz w:val="28"/>
          <w:szCs w:val="28"/>
        </w:rPr>
        <w:t xml:space="preserve">appears to give the audience several </w:t>
      </w:r>
      <w:r w:rsidR="002A7343">
        <w:rPr>
          <w:rFonts w:ascii="Corbel" w:hAnsi="Corbel"/>
          <w:sz w:val="28"/>
          <w:szCs w:val="28"/>
        </w:rPr>
        <w:t>levels, either</w:t>
      </w:r>
      <w:r>
        <w:rPr>
          <w:rFonts w:ascii="Corbel" w:hAnsi="Corbel"/>
          <w:sz w:val="28"/>
          <w:szCs w:val="28"/>
        </w:rPr>
        <w:t xml:space="preserve"> it is saying whatever you do you die from plague, rioting or starvation, pre-destination. Or, as Storm tells us</w:t>
      </w:r>
      <w:r w:rsidR="005377B6">
        <w:rPr>
          <w:rFonts w:ascii="Corbel" w:hAnsi="Corbel"/>
          <w:sz w:val="28"/>
          <w:szCs w:val="28"/>
        </w:rPr>
        <w:t>, the</w:t>
      </w:r>
      <w:r>
        <w:rPr>
          <w:rFonts w:ascii="Corbel" w:hAnsi="Corbel"/>
          <w:sz w:val="28"/>
          <w:szCs w:val="28"/>
        </w:rPr>
        <w:t xml:space="preserve"> medieval view </w:t>
      </w:r>
      <w:r w:rsidR="005377B6">
        <w:rPr>
          <w:rFonts w:ascii="Corbel" w:hAnsi="Corbel"/>
          <w:sz w:val="28"/>
          <w:szCs w:val="28"/>
        </w:rPr>
        <w:t>says</w:t>
      </w:r>
      <w:r>
        <w:rPr>
          <w:rFonts w:ascii="Corbel" w:hAnsi="Corbel"/>
          <w:sz w:val="28"/>
          <w:szCs w:val="28"/>
        </w:rPr>
        <w:t xml:space="preserve"> that life itself is the pilgrimage, death is the eternal spiritual life</w:t>
      </w:r>
      <w:r>
        <w:rPr>
          <w:rStyle w:val="FootnoteReference"/>
          <w:rFonts w:ascii="Corbel" w:hAnsi="Corbel"/>
          <w:sz w:val="28"/>
          <w:szCs w:val="28"/>
        </w:rPr>
        <w:footnoteReference w:id="38"/>
      </w:r>
      <w:r>
        <w:rPr>
          <w:rFonts w:ascii="Corbel" w:hAnsi="Corbel"/>
          <w:sz w:val="28"/>
          <w:szCs w:val="28"/>
        </w:rPr>
        <w:t xml:space="preserve">, so Pilgrims enjoy the Tavern.  </w:t>
      </w:r>
    </w:p>
    <w:p w:rsidR="00117255" w:rsidRDefault="00117255" w:rsidP="00117255">
      <w:pPr>
        <w:spacing w:line="360" w:lineRule="auto"/>
        <w:rPr>
          <w:rFonts w:ascii="Corbel" w:hAnsi="Corbel"/>
          <w:sz w:val="28"/>
          <w:szCs w:val="28"/>
        </w:rPr>
      </w:pPr>
      <w:r>
        <w:rPr>
          <w:rFonts w:ascii="Corbel" w:hAnsi="Corbel"/>
          <w:sz w:val="28"/>
          <w:szCs w:val="28"/>
        </w:rPr>
        <w:t>His Prologue is</w:t>
      </w:r>
      <w:r w:rsidR="00AB0493">
        <w:rPr>
          <w:rFonts w:ascii="Corbel" w:hAnsi="Corbel"/>
          <w:sz w:val="28"/>
          <w:szCs w:val="28"/>
        </w:rPr>
        <w:t xml:space="preserve"> </w:t>
      </w:r>
      <w:r>
        <w:rPr>
          <w:rFonts w:ascii="Corbel" w:hAnsi="Corbel"/>
          <w:sz w:val="28"/>
          <w:szCs w:val="28"/>
        </w:rPr>
        <w:t xml:space="preserve">long, </w:t>
      </w:r>
      <w:r w:rsidR="002A7343">
        <w:rPr>
          <w:rFonts w:ascii="Corbel" w:hAnsi="Corbel"/>
          <w:sz w:val="28"/>
          <w:szCs w:val="28"/>
        </w:rPr>
        <w:t>(</w:t>
      </w:r>
      <w:r>
        <w:rPr>
          <w:rFonts w:ascii="Corbel" w:hAnsi="Corbel"/>
          <w:sz w:val="28"/>
          <w:szCs w:val="28"/>
        </w:rPr>
        <w:t>l.329-l.462</w:t>
      </w:r>
      <w:r w:rsidR="002A7343">
        <w:rPr>
          <w:rFonts w:ascii="Corbel" w:hAnsi="Corbel"/>
          <w:sz w:val="28"/>
          <w:szCs w:val="28"/>
        </w:rPr>
        <w:t>)</w:t>
      </w:r>
      <w:r>
        <w:rPr>
          <w:rFonts w:ascii="Corbel" w:hAnsi="Corbel"/>
          <w:sz w:val="28"/>
          <w:szCs w:val="28"/>
        </w:rPr>
        <w:t xml:space="preserve"> it sounds like a sermon, detailing </w:t>
      </w:r>
      <w:r w:rsidRPr="00237A43">
        <w:rPr>
          <w:rFonts w:ascii="Corbel" w:hAnsi="Corbel"/>
          <w:sz w:val="28"/>
          <w:szCs w:val="28"/>
        </w:rPr>
        <w:t xml:space="preserve">how </w:t>
      </w:r>
      <w:r>
        <w:rPr>
          <w:rFonts w:ascii="Corbel" w:hAnsi="Corbel"/>
          <w:sz w:val="28"/>
          <w:szCs w:val="28"/>
        </w:rPr>
        <w:t>he preaches to congregations to sell his pardons, no mention of God or faith or heaven; he seems very proud of it. But instead of the expected repentance at the end it changes into a confession</w:t>
      </w:r>
      <w:r w:rsidR="002A7343">
        <w:rPr>
          <w:rFonts w:ascii="Corbel" w:hAnsi="Corbel"/>
          <w:sz w:val="28"/>
          <w:szCs w:val="28"/>
        </w:rPr>
        <w:t>,</w:t>
      </w:r>
      <w:r>
        <w:rPr>
          <w:rFonts w:ascii="Corbel" w:hAnsi="Corbel"/>
          <w:sz w:val="28"/>
          <w:szCs w:val="28"/>
        </w:rPr>
        <w:t xml:space="preserve"> ‘” But shortly </w:t>
      </w:r>
      <w:proofErr w:type="spellStart"/>
      <w:r>
        <w:rPr>
          <w:rFonts w:ascii="Corbel" w:hAnsi="Corbel"/>
          <w:sz w:val="28"/>
          <w:szCs w:val="28"/>
        </w:rPr>
        <w:t>myn</w:t>
      </w:r>
      <w:proofErr w:type="spellEnd"/>
      <w:r>
        <w:rPr>
          <w:rFonts w:ascii="Corbel" w:hAnsi="Corbel"/>
          <w:sz w:val="28"/>
          <w:szCs w:val="28"/>
        </w:rPr>
        <w:t xml:space="preserve"> entente I </w:t>
      </w:r>
      <w:proofErr w:type="spellStart"/>
      <w:r>
        <w:rPr>
          <w:rFonts w:ascii="Corbel" w:hAnsi="Corbel"/>
          <w:sz w:val="28"/>
          <w:szCs w:val="28"/>
        </w:rPr>
        <w:t>wol</w:t>
      </w:r>
      <w:proofErr w:type="spellEnd"/>
      <w:r>
        <w:rPr>
          <w:rFonts w:ascii="Corbel" w:hAnsi="Corbel"/>
          <w:sz w:val="28"/>
          <w:szCs w:val="28"/>
        </w:rPr>
        <w:t xml:space="preserve"> </w:t>
      </w:r>
      <w:proofErr w:type="spellStart"/>
      <w:r>
        <w:rPr>
          <w:rFonts w:ascii="Corbel" w:hAnsi="Corbel"/>
          <w:sz w:val="28"/>
          <w:szCs w:val="28"/>
        </w:rPr>
        <w:t>devyse</w:t>
      </w:r>
      <w:proofErr w:type="spellEnd"/>
      <w:r>
        <w:rPr>
          <w:rFonts w:ascii="Corbel" w:hAnsi="Corbel"/>
          <w:sz w:val="28"/>
          <w:szCs w:val="28"/>
        </w:rPr>
        <w:t xml:space="preserve">: I </w:t>
      </w:r>
      <w:proofErr w:type="spellStart"/>
      <w:r>
        <w:rPr>
          <w:rFonts w:ascii="Corbel" w:hAnsi="Corbel"/>
          <w:sz w:val="28"/>
          <w:szCs w:val="28"/>
        </w:rPr>
        <w:t>preche</w:t>
      </w:r>
      <w:proofErr w:type="spellEnd"/>
      <w:r>
        <w:rPr>
          <w:rFonts w:ascii="Corbel" w:hAnsi="Corbel"/>
          <w:sz w:val="28"/>
          <w:szCs w:val="28"/>
        </w:rPr>
        <w:t xml:space="preserve"> of </w:t>
      </w:r>
      <w:proofErr w:type="spellStart"/>
      <w:r>
        <w:rPr>
          <w:rFonts w:ascii="Corbel" w:hAnsi="Corbel"/>
          <w:sz w:val="28"/>
          <w:szCs w:val="28"/>
        </w:rPr>
        <w:t>no thing</w:t>
      </w:r>
      <w:proofErr w:type="spellEnd"/>
      <w:r>
        <w:rPr>
          <w:rFonts w:ascii="Corbel" w:hAnsi="Corbel"/>
          <w:sz w:val="28"/>
          <w:szCs w:val="28"/>
        </w:rPr>
        <w:t xml:space="preserve"> but for </w:t>
      </w:r>
      <w:proofErr w:type="spellStart"/>
      <w:r>
        <w:rPr>
          <w:rFonts w:ascii="Corbel" w:hAnsi="Corbel"/>
          <w:sz w:val="28"/>
          <w:szCs w:val="28"/>
        </w:rPr>
        <w:t>coveityse</w:t>
      </w:r>
      <w:proofErr w:type="spellEnd"/>
      <w:r>
        <w:rPr>
          <w:rFonts w:ascii="Corbel" w:hAnsi="Corbel"/>
          <w:sz w:val="28"/>
          <w:szCs w:val="28"/>
        </w:rPr>
        <w:t xml:space="preserve">. </w:t>
      </w:r>
      <w:proofErr w:type="spellStart"/>
      <w:r>
        <w:rPr>
          <w:rFonts w:ascii="Corbel" w:hAnsi="Corbel"/>
          <w:sz w:val="28"/>
          <w:szCs w:val="28"/>
        </w:rPr>
        <w:t>Therfore</w:t>
      </w:r>
      <w:proofErr w:type="spellEnd"/>
      <w:r>
        <w:rPr>
          <w:rFonts w:ascii="Corbel" w:hAnsi="Corbel"/>
          <w:sz w:val="28"/>
          <w:szCs w:val="28"/>
        </w:rPr>
        <w:t xml:space="preserve"> my theme is yet, and </w:t>
      </w:r>
      <w:proofErr w:type="spellStart"/>
      <w:r>
        <w:rPr>
          <w:rFonts w:ascii="Corbel" w:hAnsi="Corbel"/>
          <w:sz w:val="28"/>
          <w:szCs w:val="28"/>
        </w:rPr>
        <w:t>evere</w:t>
      </w:r>
      <w:proofErr w:type="spellEnd"/>
      <w:r>
        <w:rPr>
          <w:rFonts w:ascii="Corbel" w:hAnsi="Corbel"/>
          <w:sz w:val="28"/>
          <w:szCs w:val="28"/>
        </w:rPr>
        <w:t xml:space="preserve"> was, Radix </w:t>
      </w:r>
      <w:proofErr w:type="spellStart"/>
      <w:r>
        <w:rPr>
          <w:rFonts w:ascii="Corbel" w:hAnsi="Corbel"/>
          <w:sz w:val="28"/>
          <w:szCs w:val="28"/>
        </w:rPr>
        <w:t>malorum</w:t>
      </w:r>
      <w:proofErr w:type="spellEnd"/>
      <w:r>
        <w:rPr>
          <w:rFonts w:ascii="Corbel" w:hAnsi="Corbel"/>
          <w:sz w:val="28"/>
          <w:szCs w:val="28"/>
        </w:rPr>
        <w:t xml:space="preserve"> </w:t>
      </w:r>
      <w:proofErr w:type="spellStart"/>
      <w:r>
        <w:rPr>
          <w:rFonts w:ascii="Corbel" w:hAnsi="Corbel"/>
          <w:sz w:val="28"/>
          <w:szCs w:val="28"/>
        </w:rPr>
        <w:t>est</w:t>
      </w:r>
      <w:proofErr w:type="spellEnd"/>
      <w:r>
        <w:rPr>
          <w:rFonts w:ascii="Corbel" w:hAnsi="Corbel"/>
          <w:sz w:val="28"/>
          <w:szCs w:val="28"/>
        </w:rPr>
        <w:t xml:space="preserve"> </w:t>
      </w:r>
      <w:proofErr w:type="spellStart"/>
      <w:r>
        <w:rPr>
          <w:rFonts w:ascii="Corbel" w:hAnsi="Corbel"/>
          <w:sz w:val="28"/>
          <w:szCs w:val="28"/>
        </w:rPr>
        <w:t>Cupiditas</w:t>
      </w:r>
      <w:proofErr w:type="spellEnd"/>
      <w:r>
        <w:rPr>
          <w:rFonts w:ascii="Corbel" w:hAnsi="Corbel"/>
          <w:sz w:val="28"/>
          <w:szCs w:val="28"/>
        </w:rPr>
        <w:t xml:space="preserve">’, (l.423-426). Why Chaucer changed his narrative </w:t>
      </w:r>
      <w:r>
        <w:rPr>
          <w:rFonts w:ascii="Corbel" w:hAnsi="Corbel"/>
          <w:sz w:val="28"/>
          <w:szCs w:val="28"/>
        </w:rPr>
        <w:lastRenderedPageBreak/>
        <w:t>flow here, then returns to the sermon style at l.434. is challenging. Davenport</w:t>
      </w:r>
      <w:r>
        <w:rPr>
          <w:rStyle w:val="FootnoteReference"/>
          <w:rFonts w:ascii="Corbel" w:hAnsi="Corbel"/>
          <w:sz w:val="28"/>
          <w:szCs w:val="28"/>
        </w:rPr>
        <w:footnoteReference w:id="39"/>
      </w:r>
      <w:r>
        <w:rPr>
          <w:rFonts w:ascii="Corbel" w:hAnsi="Corbel"/>
          <w:sz w:val="28"/>
          <w:szCs w:val="28"/>
        </w:rPr>
        <w:t xml:space="preserve"> sees Chaucer giving a ‘subtle exploration of the morality of art (Chaucer’s art?), of the relationship between appearance and intention of the death of the spirit, by means of the Tale added to the confessional prologue’. This changes the Tale from a satirically bleak story about an emotionally empty exploiter of people’s bad consciences to art in his opinion. I believe Davenport is overcomplicating the narrative here, there must have been large numbers of displaced people trying to make a living following the massive depopulation at the time.</w:t>
      </w:r>
      <w:r w:rsidRPr="00E0738E">
        <w:rPr>
          <w:rFonts w:ascii="Corbel" w:hAnsi="Corbel"/>
          <w:b/>
          <w:color w:val="FF0000"/>
          <w:sz w:val="40"/>
          <w:szCs w:val="40"/>
        </w:rPr>
        <w:t xml:space="preserve"> </w:t>
      </w:r>
      <w:r>
        <w:rPr>
          <w:rFonts w:ascii="Corbel" w:hAnsi="Corbel"/>
          <w:sz w:val="28"/>
          <w:szCs w:val="28"/>
        </w:rPr>
        <w:t>It is not impossible</w:t>
      </w:r>
      <w:r w:rsidR="002A7343">
        <w:rPr>
          <w:rFonts w:ascii="Corbel" w:hAnsi="Corbel"/>
          <w:sz w:val="28"/>
          <w:szCs w:val="28"/>
        </w:rPr>
        <w:t xml:space="preserve"> the Pardoner is one of the </w:t>
      </w:r>
      <w:r w:rsidR="003B53CF">
        <w:rPr>
          <w:rFonts w:ascii="Corbel" w:hAnsi="Corbel"/>
          <w:sz w:val="28"/>
          <w:szCs w:val="28"/>
        </w:rPr>
        <w:t>displaced</w:t>
      </w:r>
      <w:r w:rsidR="002A7343">
        <w:rPr>
          <w:rFonts w:ascii="Corbel" w:hAnsi="Corbel"/>
          <w:sz w:val="28"/>
          <w:szCs w:val="28"/>
        </w:rPr>
        <w:t>,</w:t>
      </w:r>
      <w:r>
        <w:rPr>
          <w:rFonts w:ascii="Corbel" w:hAnsi="Corbel"/>
          <w:sz w:val="28"/>
          <w:szCs w:val="28"/>
        </w:rPr>
        <w:t xml:space="preserve"> Chaucer did collect an eclectic mix of people at the Tabard. Mann</w:t>
      </w:r>
      <w:r>
        <w:rPr>
          <w:rStyle w:val="FootnoteReference"/>
          <w:rFonts w:ascii="Corbel" w:hAnsi="Corbel"/>
          <w:sz w:val="28"/>
          <w:szCs w:val="28"/>
        </w:rPr>
        <w:footnoteReference w:id="40"/>
      </w:r>
      <w:r>
        <w:rPr>
          <w:rFonts w:ascii="Corbel" w:hAnsi="Corbel"/>
          <w:sz w:val="28"/>
          <w:szCs w:val="28"/>
        </w:rPr>
        <w:t xml:space="preserve"> is of the opinion</w:t>
      </w:r>
      <w:r w:rsidR="003B53CF">
        <w:rPr>
          <w:rFonts w:ascii="Corbel" w:hAnsi="Corbel"/>
          <w:sz w:val="28"/>
          <w:szCs w:val="28"/>
        </w:rPr>
        <w:t>,</w:t>
      </w:r>
      <w:r>
        <w:rPr>
          <w:rFonts w:ascii="Corbel" w:hAnsi="Corbel"/>
          <w:sz w:val="28"/>
          <w:szCs w:val="28"/>
        </w:rPr>
        <w:t xml:space="preserve"> that the Pilgrim’s behaviour and type of tales they tell, ‘suggest a society in which work as a social experience conditions personality and the standpoint from which an </w:t>
      </w:r>
      <w:proofErr w:type="gramStart"/>
      <w:r>
        <w:rPr>
          <w:rFonts w:ascii="Corbel" w:hAnsi="Corbel"/>
          <w:sz w:val="28"/>
          <w:szCs w:val="28"/>
        </w:rPr>
        <w:t>individual views</w:t>
      </w:r>
      <w:proofErr w:type="gramEnd"/>
      <w:r>
        <w:rPr>
          <w:rFonts w:ascii="Corbel" w:hAnsi="Corbel"/>
          <w:sz w:val="28"/>
          <w:szCs w:val="28"/>
        </w:rPr>
        <w:t xml:space="preserve"> the world’</w:t>
      </w:r>
      <w:r>
        <w:rPr>
          <w:rStyle w:val="FootnoteReference"/>
          <w:rFonts w:ascii="Corbel" w:hAnsi="Corbel"/>
          <w:sz w:val="28"/>
          <w:szCs w:val="28"/>
        </w:rPr>
        <w:footnoteReference w:id="41"/>
      </w:r>
      <w:r>
        <w:rPr>
          <w:rFonts w:ascii="Corbel" w:hAnsi="Corbel"/>
          <w:sz w:val="28"/>
          <w:szCs w:val="28"/>
        </w:rPr>
        <w:t xml:space="preserve">. Maybe the Pardoner was trying to survive in a troubled world, although his world is unpalatable to his companions, Chaucer’s lines were saying ‘do what you must to survive’. Although it is stretching </w:t>
      </w:r>
      <w:r w:rsidR="00165446">
        <w:rPr>
          <w:rFonts w:ascii="Corbel" w:hAnsi="Corbel"/>
          <w:sz w:val="28"/>
          <w:szCs w:val="28"/>
        </w:rPr>
        <w:t xml:space="preserve">the point somewhat, </w:t>
      </w:r>
      <w:r>
        <w:rPr>
          <w:rFonts w:ascii="Corbel" w:hAnsi="Corbel"/>
          <w:sz w:val="28"/>
          <w:szCs w:val="28"/>
        </w:rPr>
        <w:t xml:space="preserve">I will not dismiss the notion. </w:t>
      </w:r>
    </w:p>
    <w:p w:rsidR="00117255" w:rsidRDefault="00117255" w:rsidP="00117255">
      <w:pPr>
        <w:spacing w:line="360" w:lineRule="auto"/>
        <w:rPr>
          <w:rFonts w:ascii="Corbel" w:hAnsi="Corbel"/>
          <w:sz w:val="28"/>
          <w:szCs w:val="28"/>
        </w:rPr>
      </w:pPr>
      <w:r>
        <w:rPr>
          <w:rFonts w:ascii="Corbel" w:hAnsi="Corbel"/>
          <w:sz w:val="28"/>
          <w:szCs w:val="28"/>
        </w:rPr>
        <w:t>The Pardoner’s story doesn’t start until he has fully vilified the three rioters, th</w:t>
      </w:r>
      <w:r w:rsidR="00F337AA">
        <w:rPr>
          <w:rFonts w:ascii="Corbel" w:hAnsi="Corbel"/>
          <w:sz w:val="28"/>
          <w:szCs w:val="28"/>
        </w:rPr>
        <w:t>ey</w:t>
      </w:r>
      <w:r>
        <w:rPr>
          <w:rFonts w:ascii="Corbel" w:hAnsi="Corbel"/>
          <w:sz w:val="28"/>
          <w:szCs w:val="28"/>
        </w:rPr>
        <w:t xml:space="preserve"> can be compared directly to Lord Walsingham’s complaint heard earlier about debauched Londoners</w:t>
      </w:r>
      <w:r>
        <w:rPr>
          <w:rStyle w:val="FootnoteReference"/>
          <w:rFonts w:ascii="Corbel" w:hAnsi="Corbel"/>
          <w:sz w:val="28"/>
          <w:szCs w:val="28"/>
        </w:rPr>
        <w:footnoteReference w:id="42"/>
      </w:r>
      <w:r>
        <w:rPr>
          <w:rFonts w:ascii="Corbel" w:hAnsi="Corbel"/>
          <w:sz w:val="28"/>
          <w:szCs w:val="28"/>
        </w:rPr>
        <w:t xml:space="preserve">. As the story unfolds it can be related to the plague, I do not intend to retell the story just the ending where the Pardoner, after all his dark narrative offers his pardons and relics to the company. This, </w:t>
      </w:r>
      <w:r>
        <w:rPr>
          <w:rFonts w:ascii="Corbel" w:hAnsi="Corbel"/>
          <w:sz w:val="28"/>
          <w:szCs w:val="28"/>
        </w:rPr>
        <w:lastRenderedPageBreak/>
        <w:t xml:space="preserve">along with Harry Bailey’s robust reply, seems to epitomise Chaucer’s continuous wrestling with the purpose of narrative. Does he want to punish the Pardoner and corrupt Church, the Pilgrims for straying off the road to the Tabard, or just tell the audience your fate is preordained, and do as you wish? </w:t>
      </w:r>
    </w:p>
    <w:p w:rsidR="001659B9" w:rsidRDefault="00117255" w:rsidP="00117255">
      <w:pPr>
        <w:spacing w:line="360" w:lineRule="auto"/>
        <w:rPr>
          <w:rFonts w:ascii="Corbel" w:hAnsi="Corbel"/>
          <w:sz w:val="28"/>
          <w:szCs w:val="28"/>
        </w:rPr>
      </w:pPr>
      <w:r>
        <w:rPr>
          <w:rFonts w:ascii="Corbel" w:hAnsi="Corbel"/>
          <w:sz w:val="28"/>
          <w:szCs w:val="28"/>
        </w:rPr>
        <w:t>‘The Pardoner’s Tale projects a curious feeling that the whole world is in the process of change, even of organic decay’</w:t>
      </w:r>
      <w:r>
        <w:rPr>
          <w:rStyle w:val="FootnoteReference"/>
          <w:rFonts w:ascii="Corbel" w:hAnsi="Corbel"/>
          <w:sz w:val="28"/>
          <w:szCs w:val="28"/>
        </w:rPr>
        <w:footnoteReference w:id="43"/>
      </w:r>
      <w:r>
        <w:rPr>
          <w:rFonts w:ascii="Corbel" w:hAnsi="Corbel"/>
          <w:sz w:val="28"/>
          <w:szCs w:val="28"/>
        </w:rPr>
        <w:t xml:space="preserve"> states Stevens. I think Chaucer’s narrative is so well crafted, its purpose </w:t>
      </w:r>
      <w:bookmarkStart w:id="8" w:name="_GoBack"/>
      <w:bookmarkEnd w:id="8"/>
      <w:r>
        <w:rPr>
          <w:rFonts w:ascii="Corbel" w:hAnsi="Corbel"/>
          <w:sz w:val="28"/>
          <w:szCs w:val="28"/>
        </w:rPr>
        <w:t xml:space="preserve">to take you from the world of the Pardoner to the Nun’s Priest’s Tale and back. All the time asking you who’s narrative are you reading and how do want to interpret it, through life’s dark or light window? </w:t>
      </w:r>
    </w:p>
    <w:p w:rsidR="00117255" w:rsidRDefault="00117255" w:rsidP="00117255">
      <w:pPr>
        <w:spacing w:line="360" w:lineRule="auto"/>
        <w:rPr>
          <w:rFonts w:ascii="Corbel" w:hAnsi="Corbel"/>
          <w:sz w:val="28"/>
          <w:szCs w:val="28"/>
        </w:rPr>
      </w:pPr>
      <w:r>
        <w:rPr>
          <w:rFonts w:ascii="Corbel" w:hAnsi="Corbel"/>
          <w:sz w:val="28"/>
          <w:szCs w:val="28"/>
        </w:rPr>
        <w:t>His exertions prove</w:t>
      </w:r>
      <w:r w:rsidR="001659B9">
        <w:rPr>
          <w:rFonts w:ascii="Corbel" w:hAnsi="Corbel"/>
          <w:sz w:val="28"/>
          <w:szCs w:val="28"/>
        </w:rPr>
        <w:t>d</w:t>
      </w:r>
      <w:r>
        <w:rPr>
          <w:rFonts w:ascii="Corbel" w:hAnsi="Corbel"/>
          <w:sz w:val="28"/>
          <w:szCs w:val="28"/>
        </w:rPr>
        <w:t xml:space="preserve"> fruitful</w:t>
      </w:r>
      <w:r w:rsidR="00E24A83">
        <w:rPr>
          <w:rFonts w:ascii="Corbel" w:hAnsi="Corbel"/>
          <w:sz w:val="28"/>
          <w:szCs w:val="28"/>
        </w:rPr>
        <w:t>,</w:t>
      </w:r>
      <w:r w:rsidR="00236E7C">
        <w:rPr>
          <w:rFonts w:ascii="Corbel" w:hAnsi="Corbel"/>
          <w:sz w:val="28"/>
          <w:szCs w:val="28"/>
        </w:rPr>
        <w:t xml:space="preserve"> the narrative is always successful, whoever has the words</w:t>
      </w:r>
      <w:r>
        <w:rPr>
          <w:rFonts w:ascii="Corbel" w:hAnsi="Corbel"/>
          <w:sz w:val="28"/>
          <w:szCs w:val="28"/>
        </w:rPr>
        <w:t>.</w:t>
      </w:r>
    </w:p>
    <w:p w:rsidR="001659B9" w:rsidRDefault="001659B9" w:rsidP="00117255">
      <w:pPr>
        <w:spacing w:line="360" w:lineRule="auto"/>
        <w:rPr>
          <w:rFonts w:ascii="Corbel" w:hAnsi="Corbel"/>
          <w:sz w:val="28"/>
          <w:szCs w:val="28"/>
        </w:rPr>
      </w:pPr>
    </w:p>
    <w:p w:rsidR="001659B9" w:rsidRDefault="001659B9" w:rsidP="001659B9">
      <w:pPr>
        <w:spacing w:line="360" w:lineRule="auto"/>
        <w:jc w:val="center"/>
        <w:rPr>
          <w:rFonts w:ascii="Corbel" w:hAnsi="Corbel"/>
          <w:sz w:val="28"/>
          <w:szCs w:val="28"/>
        </w:rPr>
      </w:pPr>
      <w:r>
        <w:rPr>
          <w:rFonts w:ascii="Corbel" w:hAnsi="Corbel"/>
          <w:sz w:val="28"/>
          <w:szCs w:val="28"/>
        </w:rPr>
        <w:t>*******</w:t>
      </w:r>
    </w:p>
    <w:p w:rsidR="00117255" w:rsidRPr="00237A43" w:rsidRDefault="00117255" w:rsidP="00117255">
      <w:pPr>
        <w:spacing w:line="360" w:lineRule="auto"/>
        <w:rPr>
          <w:rFonts w:ascii="Corbel" w:hAnsi="Corbel"/>
          <w:sz w:val="28"/>
          <w:szCs w:val="28"/>
        </w:rPr>
      </w:pPr>
    </w:p>
    <w:p w:rsidR="00117255" w:rsidRDefault="00117255" w:rsidP="00117255">
      <w:pPr>
        <w:spacing w:line="360" w:lineRule="auto"/>
        <w:rPr>
          <w:rFonts w:ascii="Corbel" w:hAnsi="Corbel"/>
          <w:sz w:val="28"/>
          <w:szCs w:val="28"/>
        </w:rPr>
      </w:pPr>
    </w:p>
    <w:p w:rsidR="00117255" w:rsidRDefault="00117255" w:rsidP="00117255">
      <w:pPr>
        <w:spacing w:line="360" w:lineRule="auto"/>
        <w:rPr>
          <w:rFonts w:ascii="Corbel" w:hAnsi="Corbel"/>
          <w:sz w:val="28"/>
          <w:szCs w:val="28"/>
        </w:rPr>
      </w:pPr>
    </w:p>
    <w:p w:rsidR="00117255" w:rsidRDefault="00117255" w:rsidP="00117255">
      <w:pPr>
        <w:spacing w:line="360" w:lineRule="auto"/>
        <w:rPr>
          <w:rFonts w:ascii="Corbel" w:hAnsi="Corbel"/>
          <w:sz w:val="28"/>
          <w:szCs w:val="28"/>
        </w:rPr>
      </w:pPr>
    </w:p>
    <w:p w:rsidR="00117255" w:rsidRDefault="00117255" w:rsidP="00117255">
      <w:pPr>
        <w:spacing w:line="360" w:lineRule="auto"/>
        <w:rPr>
          <w:rFonts w:ascii="Corbel" w:hAnsi="Corbel"/>
          <w:sz w:val="28"/>
          <w:szCs w:val="28"/>
        </w:rPr>
      </w:pPr>
    </w:p>
    <w:p w:rsidR="001659B9" w:rsidRDefault="001659B9" w:rsidP="00117255">
      <w:pPr>
        <w:spacing w:line="240" w:lineRule="auto"/>
        <w:jc w:val="center"/>
        <w:rPr>
          <w:rFonts w:ascii="Corbel" w:hAnsi="Corbel"/>
          <w:b/>
          <w:sz w:val="28"/>
          <w:szCs w:val="28"/>
          <w:u w:val="single"/>
        </w:rPr>
      </w:pPr>
      <w:bookmarkStart w:id="9" w:name="_Hlk525996149"/>
    </w:p>
    <w:p w:rsidR="001659B9" w:rsidRDefault="001659B9" w:rsidP="00117255">
      <w:pPr>
        <w:spacing w:line="240" w:lineRule="auto"/>
        <w:jc w:val="center"/>
        <w:rPr>
          <w:rFonts w:ascii="Corbel" w:hAnsi="Corbel"/>
          <w:b/>
          <w:sz w:val="28"/>
          <w:szCs w:val="28"/>
          <w:u w:val="single"/>
        </w:rPr>
      </w:pPr>
    </w:p>
    <w:p w:rsidR="001659B9" w:rsidRDefault="001659B9" w:rsidP="00117255">
      <w:pPr>
        <w:spacing w:line="240" w:lineRule="auto"/>
        <w:jc w:val="center"/>
        <w:rPr>
          <w:rFonts w:ascii="Corbel" w:hAnsi="Corbel"/>
          <w:b/>
          <w:sz w:val="28"/>
          <w:szCs w:val="28"/>
          <w:u w:val="single"/>
        </w:rPr>
      </w:pPr>
    </w:p>
    <w:p w:rsidR="00117255" w:rsidRDefault="00117255" w:rsidP="00117255">
      <w:pPr>
        <w:spacing w:line="240" w:lineRule="auto"/>
        <w:jc w:val="center"/>
        <w:rPr>
          <w:rFonts w:ascii="Corbel" w:hAnsi="Corbel"/>
          <w:b/>
          <w:sz w:val="28"/>
          <w:szCs w:val="28"/>
          <w:u w:val="single"/>
        </w:rPr>
      </w:pPr>
      <w:r w:rsidRPr="00081284">
        <w:rPr>
          <w:rFonts w:ascii="Corbel" w:hAnsi="Corbel"/>
          <w:b/>
          <w:sz w:val="28"/>
          <w:szCs w:val="28"/>
          <w:u w:val="single"/>
        </w:rPr>
        <w:t>BIBLIOGRAPHY</w:t>
      </w:r>
    </w:p>
    <w:p w:rsidR="001659B9" w:rsidRPr="00081284" w:rsidRDefault="001659B9" w:rsidP="00117255">
      <w:pPr>
        <w:spacing w:line="240" w:lineRule="auto"/>
        <w:jc w:val="center"/>
        <w:rPr>
          <w:rFonts w:ascii="Corbel" w:hAnsi="Corbel"/>
          <w:b/>
          <w:sz w:val="28"/>
          <w:szCs w:val="28"/>
          <w:u w:val="single"/>
        </w:rPr>
      </w:pPr>
    </w:p>
    <w:p w:rsidR="00117255" w:rsidRDefault="00117255" w:rsidP="00117255">
      <w:pPr>
        <w:spacing w:line="240" w:lineRule="auto"/>
        <w:rPr>
          <w:rFonts w:ascii="Corbel" w:hAnsi="Corbel"/>
          <w:sz w:val="24"/>
          <w:szCs w:val="24"/>
        </w:rPr>
      </w:pPr>
    </w:p>
    <w:p w:rsidR="00117255" w:rsidRPr="00016DB2" w:rsidRDefault="00117255" w:rsidP="00117255">
      <w:pPr>
        <w:spacing w:line="240" w:lineRule="auto"/>
        <w:rPr>
          <w:rFonts w:ascii="Corbel" w:hAnsi="Corbel"/>
          <w:sz w:val="28"/>
          <w:szCs w:val="28"/>
        </w:rPr>
      </w:pPr>
      <w:bookmarkStart w:id="10" w:name="_Hlk526934994"/>
      <w:r w:rsidRPr="00016DB2">
        <w:rPr>
          <w:rFonts w:ascii="Corbel" w:hAnsi="Corbel"/>
          <w:sz w:val="28"/>
          <w:szCs w:val="28"/>
        </w:rPr>
        <w:t xml:space="preserve">Barry, Peter, </w:t>
      </w:r>
      <w:r w:rsidRPr="00016DB2">
        <w:rPr>
          <w:rFonts w:ascii="Corbel" w:hAnsi="Corbel"/>
          <w:i/>
          <w:sz w:val="28"/>
          <w:szCs w:val="28"/>
        </w:rPr>
        <w:t xml:space="preserve">Beginning Theory, An Introduction to Literary and Cultural Theory, </w:t>
      </w:r>
      <w:r w:rsidRPr="00016DB2">
        <w:rPr>
          <w:rFonts w:ascii="Corbel" w:hAnsi="Corbel"/>
          <w:sz w:val="28"/>
          <w:szCs w:val="28"/>
        </w:rPr>
        <w:t>2</w:t>
      </w:r>
      <w:r w:rsidRPr="00016DB2">
        <w:rPr>
          <w:rFonts w:ascii="Corbel" w:hAnsi="Corbel"/>
          <w:sz w:val="28"/>
          <w:szCs w:val="28"/>
          <w:vertAlign w:val="superscript"/>
        </w:rPr>
        <w:t>nd</w:t>
      </w:r>
      <w:r w:rsidRPr="00016DB2">
        <w:rPr>
          <w:rFonts w:ascii="Corbel" w:hAnsi="Corbel"/>
          <w:sz w:val="28"/>
          <w:szCs w:val="28"/>
        </w:rPr>
        <w:t xml:space="preserve"> edn. (Manchester: Manchester University Press, 2002)</w:t>
      </w:r>
    </w:p>
    <w:p w:rsidR="00117255" w:rsidRPr="00016DB2" w:rsidRDefault="00117255" w:rsidP="00117255">
      <w:pPr>
        <w:spacing w:line="240" w:lineRule="auto"/>
        <w:rPr>
          <w:rFonts w:ascii="Corbel" w:hAnsi="Corbel"/>
          <w:sz w:val="28"/>
          <w:szCs w:val="28"/>
        </w:rPr>
      </w:pPr>
      <w:bookmarkStart w:id="11" w:name="_Hlk526935281"/>
      <w:proofErr w:type="spellStart"/>
      <w:r w:rsidRPr="00016DB2">
        <w:rPr>
          <w:rFonts w:ascii="Corbel" w:hAnsi="Corbel"/>
          <w:sz w:val="28"/>
          <w:szCs w:val="28"/>
        </w:rPr>
        <w:t>Boitani</w:t>
      </w:r>
      <w:proofErr w:type="spellEnd"/>
      <w:r w:rsidRPr="00016DB2">
        <w:rPr>
          <w:rFonts w:ascii="Corbel" w:hAnsi="Corbel"/>
          <w:sz w:val="28"/>
          <w:szCs w:val="28"/>
        </w:rPr>
        <w:t xml:space="preserve">, P, Mann, J, eds. </w:t>
      </w:r>
      <w:r w:rsidRPr="00016DB2">
        <w:rPr>
          <w:rFonts w:ascii="Corbel" w:hAnsi="Corbel"/>
          <w:i/>
          <w:sz w:val="28"/>
          <w:szCs w:val="28"/>
        </w:rPr>
        <w:t xml:space="preserve">The Cambridge Companion to Chaucer, </w:t>
      </w:r>
      <w:r w:rsidRPr="00016DB2">
        <w:rPr>
          <w:rFonts w:ascii="Corbel" w:hAnsi="Corbel"/>
          <w:sz w:val="28"/>
          <w:szCs w:val="28"/>
        </w:rPr>
        <w:t>(Cambridge: Cambridge University Press, 2003)</w:t>
      </w:r>
      <w:bookmarkEnd w:id="10"/>
      <w:bookmarkEnd w:id="11"/>
    </w:p>
    <w:p w:rsidR="00117255" w:rsidRPr="00016DB2" w:rsidRDefault="00117255" w:rsidP="00117255">
      <w:pPr>
        <w:spacing w:line="240" w:lineRule="auto"/>
        <w:rPr>
          <w:rFonts w:ascii="Corbel" w:hAnsi="Corbel"/>
          <w:i/>
          <w:sz w:val="28"/>
          <w:szCs w:val="28"/>
        </w:rPr>
      </w:pPr>
      <w:r w:rsidRPr="00016DB2">
        <w:rPr>
          <w:rFonts w:ascii="Corbel" w:hAnsi="Corbel"/>
          <w:sz w:val="28"/>
          <w:szCs w:val="28"/>
        </w:rPr>
        <w:t xml:space="preserve">Chaucer, Geoffrey, </w:t>
      </w:r>
      <w:r w:rsidRPr="00016DB2">
        <w:rPr>
          <w:rFonts w:ascii="Corbel" w:hAnsi="Corbel"/>
          <w:i/>
          <w:sz w:val="28"/>
          <w:szCs w:val="28"/>
        </w:rPr>
        <w:t xml:space="preserve">The Riverside Chaucer, </w:t>
      </w:r>
      <w:r w:rsidRPr="00016DB2">
        <w:rPr>
          <w:rFonts w:ascii="Corbel" w:hAnsi="Corbel"/>
          <w:sz w:val="28"/>
          <w:szCs w:val="28"/>
        </w:rPr>
        <w:t>ed. by Larry Benson,</w:t>
      </w:r>
      <w:r w:rsidRPr="00016DB2">
        <w:rPr>
          <w:rFonts w:ascii="Corbel" w:hAnsi="Corbel"/>
          <w:i/>
          <w:sz w:val="28"/>
          <w:szCs w:val="28"/>
        </w:rPr>
        <w:t xml:space="preserve"> </w:t>
      </w:r>
      <w:r w:rsidRPr="00016DB2">
        <w:rPr>
          <w:rFonts w:ascii="Corbel" w:hAnsi="Corbel"/>
          <w:sz w:val="28"/>
          <w:szCs w:val="28"/>
        </w:rPr>
        <w:t>3</w:t>
      </w:r>
      <w:r w:rsidRPr="00016DB2">
        <w:rPr>
          <w:rFonts w:ascii="Corbel" w:hAnsi="Corbel"/>
          <w:sz w:val="28"/>
          <w:szCs w:val="28"/>
          <w:vertAlign w:val="superscript"/>
        </w:rPr>
        <w:t>rd</w:t>
      </w:r>
      <w:r w:rsidRPr="00016DB2">
        <w:rPr>
          <w:rFonts w:ascii="Corbel" w:hAnsi="Corbel"/>
          <w:sz w:val="28"/>
          <w:szCs w:val="28"/>
        </w:rPr>
        <w:t xml:space="preserve"> edn., (Oxford: Oxford University Press, 2008)</w:t>
      </w:r>
      <w:bookmarkEnd w:id="9"/>
    </w:p>
    <w:p w:rsidR="00117255" w:rsidRPr="00016DB2" w:rsidRDefault="00117255" w:rsidP="00117255">
      <w:pPr>
        <w:spacing w:line="240" w:lineRule="auto"/>
        <w:rPr>
          <w:rFonts w:ascii="Corbel" w:hAnsi="Corbel"/>
          <w:sz w:val="28"/>
          <w:szCs w:val="28"/>
        </w:rPr>
      </w:pPr>
      <w:bookmarkStart w:id="12" w:name="_Hlk525990300"/>
      <w:bookmarkStart w:id="13" w:name="_Hlk526934006"/>
      <w:r w:rsidRPr="00016DB2">
        <w:rPr>
          <w:rFonts w:ascii="Corbel" w:hAnsi="Corbel"/>
          <w:sz w:val="28"/>
          <w:szCs w:val="28"/>
        </w:rPr>
        <w:t xml:space="preserve">Davenport, W. A., </w:t>
      </w:r>
      <w:r w:rsidRPr="00016DB2">
        <w:rPr>
          <w:rFonts w:ascii="Corbel" w:hAnsi="Corbel"/>
          <w:i/>
          <w:sz w:val="28"/>
          <w:szCs w:val="28"/>
        </w:rPr>
        <w:t xml:space="preserve">Chaucer: Complaint and Narrative, </w:t>
      </w:r>
      <w:r w:rsidRPr="00016DB2">
        <w:rPr>
          <w:rFonts w:ascii="Corbel" w:hAnsi="Corbel"/>
          <w:sz w:val="28"/>
          <w:szCs w:val="28"/>
        </w:rPr>
        <w:t>(Cambridge: D.S. Brewer, 1988)</w:t>
      </w:r>
      <w:bookmarkEnd w:id="12"/>
    </w:p>
    <w:p w:rsidR="00117255" w:rsidRPr="00016DB2" w:rsidRDefault="00117255" w:rsidP="00117255">
      <w:pPr>
        <w:spacing w:line="240" w:lineRule="auto"/>
        <w:rPr>
          <w:rFonts w:ascii="Corbel" w:hAnsi="Corbel"/>
          <w:i/>
          <w:sz w:val="28"/>
          <w:szCs w:val="28"/>
        </w:rPr>
      </w:pPr>
      <w:r w:rsidRPr="00016DB2">
        <w:rPr>
          <w:rFonts w:ascii="Corbel" w:hAnsi="Corbel"/>
          <w:sz w:val="28"/>
          <w:szCs w:val="28"/>
        </w:rPr>
        <w:t xml:space="preserve">Dillon, Janette, </w:t>
      </w:r>
      <w:r w:rsidRPr="00016DB2">
        <w:rPr>
          <w:rFonts w:ascii="Corbel" w:hAnsi="Corbel"/>
          <w:i/>
          <w:sz w:val="28"/>
          <w:szCs w:val="28"/>
        </w:rPr>
        <w:t xml:space="preserve">Geoffrey Chaucer, </w:t>
      </w:r>
      <w:r w:rsidRPr="00016DB2">
        <w:rPr>
          <w:rFonts w:ascii="Corbel" w:hAnsi="Corbel"/>
          <w:sz w:val="28"/>
          <w:szCs w:val="28"/>
        </w:rPr>
        <w:t>(London: The Macmillan Press Ltd, 1993)</w:t>
      </w:r>
      <w:bookmarkEnd w:id="13"/>
    </w:p>
    <w:p w:rsidR="00117255" w:rsidRPr="00016DB2" w:rsidRDefault="00117255" w:rsidP="00117255">
      <w:pPr>
        <w:spacing w:line="240" w:lineRule="auto"/>
        <w:rPr>
          <w:rFonts w:ascii="Corbel" w:hAnsi="Corbel"/>
          <w:sz w:val="28"/>
          <w:szCs w:val="28"/>
        </w:rPr>
      </w:pPr>
      <w:r w:rsidRPr="00016DB2">
        <w:rPr>
          <w:rFonts w:ascii="Corbel" w:hAnsi="Corbel"/>
          <w:sz w:val="28"/>
          <w:szCs w:val="28"/>
        </w:rPr>
        <w:t xml:space="preserve">Hansen, E., T., </w:t>
      </w:r>
      <w:r w:rsidRPr="00016DB2">
        <w:rPr>
          <w:rFonts w:ascii="Corbel" w:hAnsi="Corbel"/>
          <w:i/>
          <w:sz w:val="28"/>
          <w:szCs w:val="28"/>
        </w:rPr>
        <w:t xml:space="preserve">Chaucer and the Fictions of Gender, </w:t>
      </w:r>
      <w:r w:rsidRPr="00016DB2">
        <w:rPr>
          <w:rFonts w:ascii="Corbel" w:hAnsi="Corbel"/>
          <w:sz w:val="28"/>
          <w:szCs w:val="28"/>
        </w:rPr>
        <w:t>(Oxford: University of California Press, 1992), p11</w:t>
      </w:r>
    </w:p>
    <w:p w:rsidR="00117255" w:rsidRPr="00016DB2" w:rsidRDefault="00117255" w:rsidP="00117255">
      <w:pPr>
        <w:spacing w:line="240" w:lineRule="auto"/>
        <w:rPr>
          <w:rFonts w:ascii="Corbel" w:hAnsi="Corbel"/>
          <w:sz w:val="28"/>
          <w:szCs w:val="28"/>
        </w:rPr>
      </w:pPr>
      <w:r w:rsidRPr="00016DB2">
        <w:rPr>
          <w:rFonts w:ascii="Corbel" w:hAnsi="Corbel"/>
          <w:sz w:val="28"/>
          <w:szCs w:val="28"/>
        </w:rPr>
        <w:t xml:space="preserve">Mandel, Jerome, </w:t>
      </w:r>
      <w:r w:rsidRPr="00016DB2">
        <w:rPr>
          <w:rFonts w:ascii="Corbel" w:hAnsi="Corbel"/>
          <w:i/>
          <w:sz w:val="28"/>
          <w:szCs w:val="28"/>
        </w:rPr>
        <w:t xml:space="preserve">Geoffrey Chaucer, Building the Fragments of the Canterbury Tales, </w:t>
      </w:r>
      <w:r w:rsidRPr="00016DB2">
        <w:rPr>
          <w:rFonts w:ascii="Corbel" w:hAnsi="Corbel"/>
          <w:sz w:val="28"/>
          <w:szCs w:val="28"/>
        </w:rPr>
        <w:t>(London: Associated University Presses, 1992)</w:t>
      </w:r>
    </w:p>
    <w:p w:rsidR="00117255" w:rsidRPr="00016DB2" w:rsidRDefault="00117255" w:rsidP="00117255">
      <w:pPr>
        <w:spacing w:line="240" w:lineRule="auto"/>
        <w:rPr>
          <w:rFonts w:ascii="Corbel" w:hAnsi="Corbel"/>
          <w:sz w:val="28"/>
          <w:szCs w:val="28"/>
        </w:rPr>
      </w:pPr>
      <w:bookmarkStart w:id="14" w:name="_Hlk525983613"/>
      <w:r w:rsidRPr="00016DB2">
        <w:rPr>
          <w:rFonts w:ascii="Corbel" w:hAnsi="Corbel"/>
          <w:sz w:val="28"/>
          <w:szCs w:val="28"/>
        </w:rPr>
        <w:t xml:space="preserve">Mann, Jill, </w:t>
      </w:r>
      <w:r w:rsidRPr="00016DB2">
        <w:rPr>
          <w:rFonts w:ascii="Corbel" w:hAnsi="Corbel"/>
          <w:i/>
          <w:sz w:val="28"/>
          <w:szCs w:val="28"/>
        </w:rPr>
        <w:t>Feminizing Chaucer,</w:t>
      </w:r>
      <w:r w:rsidRPr="00016DB2">
        <w:rPr>
          <w:rFonts w:ascii="Corbel" w:hAnsi="Corbel"/>
          <w:sz w:val="28"/>
          <w:szCs w:val="28"/>
        </w:rPr>
        <w:t>2</w:t>
      </w:r>
      <w:r w:rsidRPr="00016DB2">
        <w:rPr>
          <w:rFonts w:ascii="Corbel" w:hAnsi="Corbel"/>
          <w:sz w:val="28"/>
          <w:szCs w:val="28"/>
          <w:vertAlign w:val="superscript"/>
        </w:rPr>
        <w:t>nd</w:t>
      </w:r>
      <w:r w:rsidRPr="00016DB2">
        <w:rPr>
          <w:rFonts w:ascii="Corbel" w:hAnsi="Corbel"/>
          <w:sz w:val="28"/>
          <w:szCs w:val="28"/>
        </w:rPr>
        <w:t xml:space="preserve"> edn.,</w:t>
      </w:r>
      <w:r w:rsidRPr="00016DB2">
        <w:rPr>
          <w:rFonts w:ascii="Corbel" w:hAnsi="Corbel"/>
          <w:i/>
          <w:sz w:val="28"/>
          <w:szCs w:val="28"/>
        </w:rPr>
        <w:t xml:space="preserve"> </w:t>
      </w:r>
      <w:r w:rsidRPr="00016DB2">
        <w:rPr>
          <w:rFonts w:ascii="Corbel" w:hAnsi="Corbel"/>
          <w:sz w:val="28"/>
          <w:szCs w:val="28"/>
        </w:rPr>
        <w:t>(London: Harvester Wheatsheaf, 1991)</w:t>
      </w:r>
      <w:bookmarkEnd w:id="14"/>
    </w:p>
    <w:p w:rsidR="00117255" w:rsidRPr="00016DB2" w:rsidRDefault="00117255" w:rsidP="00117255">
      <w:pPr>
        <w:spacing w:line="240" w:lineRule="auto"/>
        <w:rPr>
          <w:rFonts w:ascii="Corbel" w:hAnsi="Corbel"/>
          <w:sz w:val="28"/>
          <w:szCs w:val="28"/>
        </w:rPr>
      </w:pPr>
      <w:bookmarkStart w:id="15" w:name="_Hlk526934700"/>
      <w:r w:rsidRPr="00016DB2">
        <w:rPr>
          <w:rFonts w:ascii="Corbel" w:hAnsi="Corbel"/>
          <w:sz w:val="28"/>
          <w:szCs w:val="28"/>
        </w:rPr>
        <w:t xml:space="preserve">Rimmon-Kenan, Shlomith, </w:t>
      </w:r>
      <w:r w:rsidRPr="00016DB2">
        <w:rPr>
          <w:rFonts w:ascii="Corbel" w:hAnsi="Corbel"/>
          <w:i/>
          <w:sz w:val="28"/>
          <w:szCs w:val="28"/>
        </w:rPr>
        <w:t xml:space="preserve">Narrative Fiction, Contemporary Poetics, </w:t>
      </w:r>
      <w:r w:rsidRPr="00016DB2">
        <w:rPr>
          <w:rFonts w:ascii="Corbel" w:hAnsi="Corbel"/>
          <w:sz w:val="28"/>
          <w:szCs w:val="28"/>
        </w:rPr>
        <w:t>(London: Methuen &amp; Co Ltd, 1988)</w:t>
      </w:r>
      <w:bookmarkEnd w:id="15"/>
    </w:p>
    <w:p w:rsidR="00117255" w:rsidRPr="00016DB2" w:rsidRDefault="00117255" w:rsidP="00117255">
      <w:pPr>
        <w:spacing w:line="240" w:lineRule="auto"/>
        <w:rPr>
          <w:rFonts w:ascii="Corbel" w:hAnsi="Corbel"/>
          <w:i/>
          <w:sz w:val="28"/>
          <w:szCs w:val="28"/>
        </w:rPr>
      </w:pPr>
      <w:bookmarkStart w:id="16" w:name="_Hlk526933144"/>
      <w:r w:rsidRPr="00016DB2">
        <w:rPr>
          <w:rFonts w:ascii="Corbel" w:hAnsi="Corbel"/>
          <w:sz w:val="28"/>
          <w:szCs w:val="28"/>
        </w:rPr>
        <w:t xml:space="preserve">Patterson, Lee, </w:t>
      </w:r>
      <w:r w:rsidRPr="00016DB2">
        <w:rPr>
          <w:rFonts w:ascii="Corbel" w:hAnsi="Corbel"/>
          <w:i/>
          <w:sz w:val="28"/>
          <w:szCs w:val="28"/>
        </w:rPr>
        <w:t xml:space="preserve">Chaucer and the Subject of History, </w:t>
      </w:r>
      <w:r w:rsidRPr="00016DB2">
        <w:rPr>
          <w:rFonts w:ascii="Corbel" w:hAnsi="Corbel"/>
          <w:sz w:val="28"/>
          <w:szCs w:val="28"/>
        </w:rPr>
        <w:t>(Wisconsin: University of Wisconsin Press, 1991)</w:t>
      </w:r>
      <w:bookmarkEnd w:id="16"/>
    </w:p>
    <w:p w:rsidR="00117255" w:rsidRPr="00016DB2" w:rsidRDefault="00117255" w:rsidP="00117255">
      <w:pPr>
        <w:spacing w:line="240" w:lineRule="auto"/>
        <w:rPr>
          <w:rFonts w:ascii="Corbel" w:hAnsi="Corbel"/>
          <w:sz w:val="28"/>
          <w:szCs w:val="28"/>
        </w:rPr>
      </w:pPr>
      <w:r w:rsidRPr="00016DB2">
        <w:rPr>
          <w:rFonts w:ascii="Corbel" w:hAnsi="Corbel"/>
          <w:sz w:val="28"/>
          <w:szCs w:val="28"/>
        </w:rPr>
        <w:t xml:space="preserve">Pugh, T., </w:t>
      </w:r>
      <w:proofErr w:type="spellStart"/>
      <w:r w:rsidRPr="00016DB2">
        <w:rPr>
          <w:rFonts w:ascii="Corbel" w:hAnsi="Corbel"/>
          <w:sz w:val="28"/>
          <w:szCs w:val="28"/>
        </w:rPr>
        <w:t>Marzec</w:t>
      </w:r>
      <w:proofErr w:type="spellEnd"/>
      <w:r w:rsidRPr="00016DB2">
        <w:rPr>
          <w:rFonts w:ascii="Corbel" w:hAnsi="Corbel"/>
          <w:sz w:val="28"/>
          <w:szCs w:val="28"/>
        </w:rPr>
        <w:t xml:space="preserve">, M., S., eds. </w:t>
      </w:r>
      <w:r w:rsidRPr="00016DB2">
        <w:rPr>
          <w:rFonts w:ascii="Corbel" w:hAnsi="Corbel"/>
          <w:i/>
          <w:sz w:val="28"/>
          <w:szCs w:val="28"/>
        </w:rPr>
        <w:t xml:space="preserve">Men and Masculinities in Chaucer’s Troilus and Criseyde, </w:t>
      </w:r>
      <w:r w:rsidRPr="00016DB2">
        <w:rPr>
          <w:rFonts w:ascii="Corbel" w:hAnsi="Corbel"/>
          <w:sz w:val="28"/>
          <w:szCs w:val="28"/>
        </w:rPr>
        <w:t>Cambridge: D. S. Brewer, 2008)</w:t>
      </w:r>
    </w:p>
    <w:p w:rsidR="00117255" w:rsidRPr="00016DB2" w:rsidRDefault="00117255" w:rsidP="00117255">
      <w:pPr>
        <w:spacing w:line="240" w:lineRule="auto"/>
        <w:rPr>
          <w:rFonts w:ascii="Corbel" w:hAnsi="Corbel"/>
          <w:sz w:val="28"/>
          <w:szCs w:val="28"/>
        </w:rPr>
      </w:pPr>
      <w:bookmarkStart w:id="17" w:name="_Hlk526935498"/>
      <w:r w:rsidRPr="00016DB2">
        <w:rPr>
          <w:rFonts w:ascii="Corbel" w:hAnsi="Corbel"/>
          <w:sz w:val="28"/>
          <w:szCs w:val="28"/>
        </w:rPr>
        <w:t xml:space="preserve">Stevens, John, </w:t>
      </w:r>
      <w:r w:rsidRPr="00016DB2">
        <w:rPr>
          <w:rFonts w:ascii="Corbel" w:hAnsi="Corbel"/>
          <w:i/>
          <w:sz w:val="28"/>
          <w:szCs w:val="28"/>
        </w:rPr>
        <w:t xml:space="preserve">Medieval Romance, </w:t>
      </w:r>
      <w:r w:rsidRPr="00016DB2">
        <w:rPr>
          <w:rFonts w:ascii="Corbel" w:hAnsi="Corbel"/>
          <w:sz w:val="28"/>
          <w:szCs w:val="28"/>
        </w:rPr>
        <w:t>(New York: W.W. Norton &amp; Company Inc, 1973)</w:t>
      </w:r>
      <w:bookmarkStart w:id="18" w:name="_Hlk526932895"/>
      <w:bookmarkEnd w:id="17"/>
    </w:p>
    <w:p w:rsidR="00965724" w:rsidRDefault="00117255" w:rsidP="00117255">
      <w:proofErr w:type="spellStart"/>
      <w:r w:rsidRPr="00016DB2">
        <w:rPr>
          <w:rFonts w:ascii="Corbel" w:hAnsi="Corbel"/>
          <w:sz w:val="28"/>
          <w:szCs w:val="28"/>
        </w:rPr>
        <w:t>Strohm</w:t>
      </w:r>
      <w:proofErr w:type="spellEnd"/>
      <w:r w:rsidRPr="00016DB2">
        <w:rPr>
          <w:rFonts w:ascii="Corbel" w:hAnsi="Corbel"/>
          <w:sz w:val="28"/>
          <w:szCs w:val="28"/>
        </w:rPr>
        <w:t xml:space="preserve">, P, </w:t>
      </w:r>
      <w:r w:rsidRPr="00016DB2">
        <w:rPr>
          <w:rFonts w:ascii="Corbel" w:hAnsi="Corbel"/>
          <w:i/>
          <w:sz w:val="28"/>
          <w:szCs w:val="28"/>
        </w:rPr>
        <w:t xml:space="preserve">Social Chaucer, </w:t>
      </w:r>
      <w:r w:rsidRPr="00016DB2">
        <w:rPr>
          <w:rFonts w:ascii="Corbel" w:hAnsi="Corbel"/>
          <w:sz w:val="28"/>
          <w:szCs w:val="28"/>
        </w:rPr>
        <w:t>(London: Harvard University Press, 1989)</w:t>
      </w:r>
      <w:bookmarkEnd w:id="18"/>
    </w:p>
    <w:sectPr w:rsidR="0096572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6CEC" w:rsidRDefault="00F76CEC" w:rsidP="00117255">
      <w:pPr>
        <w:spacing w:after="0" w:line="240" w:lineRule="auto"/>
      </w:pPr>
      <w:r>
        <w:separator/>
      </w:r>
    </w:p>
  </w:endnote>
  <w:endnote w:type="continuationSeparator" w:id="0">
    <w:p w:rsidR="00F76CEC" w:rsidRDefault="00F76CEC" w:rsidP="00117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060572"/>
      <w:docPartObj>
        <w:docPartGallery w:val="Page Numbers (Bottom of Page)"/>
        <w:docPartUnique/>
      </w:docPartObj>
    </w:sdtPr>
    <w:sdtEndPr>
      <w:rPr>
        <w:noProof/>
      </w:rPr>
    </w:sdtEndPr>
    <w:sdtContent>
      <w:p w:rsidR="00862CFD" w:rsidRDefault="00862C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62CFD" w:rsidRDefault="00862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6CEC" w:rsidRDefault="00F76CEC" w:rsidP="00117255">
      <w:pPr>
        <w:spacing w:after="0" w:line="240" w:lineRule="auto"/>
      </w:pPr>
      <w:r>
        <w:separator/>
      </w:r>
    </w:p>
  </w:footnote>
  <w:footnote w:type="continuationSeparator" w:id="0">
    <w:p w:rsidR="00F76CEC" w:rsidRDefault="00F76CEC" w:rsidP="00117255">
      <w:pPr>
        <w:spacing w:after="0" w:line="240" w:lineRule="auto"/>
      </w:pPr>
      <w:r>
        <w:continuationSeparator/>
      </w:r>
    </w:p>
  </w:footnote>
  <w:footnote w:id="1">
    <w:p w:rsidR="00117255" w:rsidRDefault="00117255" w:rsidP="00117255">
      <w:pPr>
        <w:spacing w:line="240" w:lineRule="auto"/>
      </w:pPr>
      <w:r>
        <w:rPr>
          <w:rStyle w:val="FootnoteReference"/>
        </w:rPr>
        <w:footnoteRef/>
      </w:r>
      <w:r>
        <w:t xml:space="preserve"> </w:t>
      </w:r>
      <w:bookmarkStart w:id="0" w:name="_Hlk527109209"/>
      <w:r w:rsidRPr="00081284">
        <w:rPr>
          <w:rFonts w:ascii="Corbel" w:hAnsi="Corbel"/>
          <w:sz w:val="20"/>
          <w:szCs w:val="20"/>
        </w:rPr>
        <w:t xml:space="preserve">Geoffrey, Chaucer, </w:t>
      </w:r>
      <w:r w:rsidRPr="00081284">
        <w:rPr>
          <w:rFonts w:ascii="Corbel" w:hAnsi="Corbel"/>
          <w:i/>
          <w:sz w:val="20"/>
          <w:szCs w:val="20"/>
        </w:rPr>
        <w:t xml:space="preserve">The Riverside Chaucer, </w:t>
      </w:r>
      <w:r w:rsidRPr="00081284">
        <w:rPr>
          <w:rFonts w:ascii="Corbel" w:hAnsi="Corbel"/>
          <w:sz w:val="20"/>
          <w:szCs w:val="20"/>
        </w:rPr>
        <w:t>ed. by Larry Benson,</w:t>
      </w:r>
      <w:r w:rsidRPr="00081284">
        <w:rPr>
          <w:rFonts w:ascii="Corbel" w:hAnsi="Corbel"/>
          <w:i/>
          <w:sz w:val="20"/>
          <w:szCs w:val="20"/>
        </w:rPr>
        <w:t xml:space="preserve"> </w:t>
      </w:r>
      <w:r w:rsidRPr="00081284">
        <w:rPr>
          <w:rFonts w:ascii="Corbel" w:hAnsi="Corbel"/>
          <w:sz w:val="20"/>
          <w:szCs w:val="20"/>
        </w:rPr>
        <w:t>3</w:t>
      </w:r>
      <w:r w:rsidRPr="00081284">
        <w:rPr>
          <w:rFonts w:ascii="Corbel" w:hAnsi="Corbel"/>
          <w:sz w:val="20"/>
          <w:szCs w:val="20"/>
          <w:vertAlign w:val="superscript"/>
        </w:rPr>
        <w:t>rd</w:t>
      </w:r>
      <w:r w:rsidRPr="00081284">
        <w:rPr>
          <w:rFonts w:ascii="Corbel" w:hAnsi="Corbel"/>
          <w:sz w:val="20"/>
          <w:szCs w:val="20"/>
        </w:rPr>
        <w:t xml:space="preserve"> edn., (Oxford: Oxford University Press, 2008), p328</w:t>
      </w:r>
      <w:r>
        <w:rPr>
          <w:rFonts w:ascii="Corbel" w:hAnsi="Corbel"/>
          <w:sz w:val="20"/>
          <w:szCs w:val="20"/>
        </w:rPr>
        <w:t>.</w:t>
      </w:r>
    </w:p>
    <w:bookmarkEnd w:id="0"/>
  </w:footnote>
  <w:footnote w:id="2">
    <w:p w:rsidR="00117255" w:rsidRDefault="00117255" w:rsidP="00117255">
      <w:pPr>
        <w:spacing w:line="240" w:lineRule="auto"/>
      </w:pPr>
      <w:r>
        <w:rPr>
          <w:rStyle w:val="FootnoteReference"/>
        </w:rPr>
        <w:footnoteRef/>
      </w:r>
      <w:r>
        <w:t xml:space="preserve"> </w:t>
      </w:r>
      <w:r w:rsidRPr="00081284">
        <w:rPr>
          <w:rFonts w:ascii="Corbel" w:hAnsi="Corbel"/>
          <w:sz w:val="20"/>
          <w:szCs w:val="20"/>
        </w:rPr>
        <w:t xml:space="preserve">Geoffrey, Chaucer, </w:t>
      </w:r>
      <w:r w:rsidRPr="00081284">
        <w:rPr>
          <w:rFonts w:ascii="Corbel" w:hAnsi="Corbel"/>
          <w:i/>
          <w:sz w:val="20"/>
          <w:szCs w:val="20"/>
        </w:rPr>
        <w:t xml:space="preserve">The Riverside Chaucer, </w:t>
      </w:r>
      <w:r w:rsidRPr="00081284">
        <w:rPr>
          <w:rFonts w:ascii="Corbel" w:hAnsi="Corbel"/>
          <w:sz w:val="20"/>
          <w:szCs w:val="20"/>
        </w:rPr>
        <w:t>ed. by Larry Benson,</w:t>
      </w:r>
      <w:r w:rsidRPr="00081284">
        <w:rPr>
          <w:rFonts w:ascii="Corbel" w:hAnsi="Corbel"/>
          <w:i/>
          <w:sz w:val="20"/>
          <w:szCs w:val="20"/>
        </w:rPr>
        <w:t xml:space="preserve"> </w:t>
      </w:r>
      <w:r w:rsidRPr="00081284">
        <w:rPr>
          <w:rFonts w:ascii="Corbel" w:hAnsi="Corbel"/>
          <w:sz w:val="20"/>
          <w:szCs w:val="20"/>
        </w:rPr>
        <w:t>3</w:t>
      </w:r>
      <w:r w:rsidRPr="00081284">
        <w:rPr>
          <w:rFonts w:ascii="Corbel" w:hAnsi="Corbel"/>
          <w:sz w:val="20"/>
          <w:szCs w:val="20"/>
          <w:vertAlign w:val="superscript"/>
        </w:rPr>
        <w:t>rd</w:t>
      </w:r>
      <w:r w:rsidRPr="00081284">
        <w:rPr>
          <w:rFonts w:ascii="Corbel" w:hAnsi="Corbel"/>
          <w:sz w:val="20"/>
          <w:szCs w:val="20"/>
        </w:rPr>
        <w:t xml:space="preserve"> edn., (Oxford: Oxford University Press, 2008)</w:t>
      </w:r>
      <w:r>
        <w:rPr>
          <w:rFonts w:ascii="Corbel" w:hAnsi="Corbel"/>
          <w:sz w:val="20"/>
          <w:szCs w:val="20"/>
        </w:rPr>
        <w:t>.</w:t>
      </w:r>
    </w:p>
  </w:footnote>
  <w:footnote w:id="3">
    <w:p w:rsidR="00117255" w:rsidRDefault="00117255" w:rsidP="00117255">
      <w:pPr>
        <w:spacing w:line="240" w:lineRule="auto"/>
      </w:pPr>
      <w:r>
        <w:rPr>
          <w:rStyle w:val="FootnoteReference"/>
        </w:rPr>
        <w:footnoteRef/>
      </w:r>
      <w:r>
        <w:t xml:space="preserve"> </w:t>
      </w:r>
      <w:r>
        <w:rPr>
          <w:rFonts w:ascii="Corbel" w:hAnsi="Corbel"/>
          <w:sz w:val="20"/>
          <w:szCs w:val="20"/>
        </w:rPr>
        <w:t xml:space="preserve">The Collins, </w:t>
      </w:r>
      <w:r>
        <w:rPr>
          <w:rFonts w:ascii="Corbel" w:hAnsi="Corbel"/>
          <w:i/>
          <w:sz w:val="20"/>
          <w:szCs w:val="20"/>
        </w:rPr>
        <w:t xml:space="preserve">Paperback Thesaurus in A-to-Z Form, </w:t>
      </w:r>
      <w:r>
        <w:rPr>
          <w:rFonts w:ascii="Corbel" w:hAnsi="Corbel"/>
          <w:sz w:val="20"/>
          <w:szCs w:val="20"/>
        </w:rPr>
        <w:t>(Glasgow: William Collins Sons &amp; Co Ltd, 1986), p416.</w:t>
      </w:r>
    </w:p>
  </w:footnote>
  <w:footnote w:id="4">
    <w:p w:rsidR="00117255" w:rsidRDefault="00117255" w:rsidP="00117255">
      <w:pPr>
        <w:pStyle w:val="FootnoteText"/>
      </w:pPr>
      <w:r>
        <w:rPr>
          <w:rStyle w:val="FootnoteReference"/>
        </w:rPr>
        <w:footnoteRef/>
      </w:r>
      <w:r>
        <w:t xml:space="preserve"> Available at &lt; </w:t>
      </w:r>
      <w:hyperlink w:history="1">
        <w:r w:rsidRPr="004B0CA2">
          <w:rPr>
            <w:rStyle w:val="Hyperlink"/>
          </w:rPr>
          <w:t>https://oxford dictionaries.com/definition/narrative</w:t>
        </w:r>
      </w:hyperlink>
      <w:r>
        <w:t xml:space="preserve"> &gt; accessed 12.10.2018.</w:t>
      </w:r>
    </w:p>
  </w:footnote>
  <w:footnote w:id="5">
    <w:p w:rsidR="00117255" w:rsidRPr="00E94941" w:rsidRDefault="00117255" w:rsidP="00117255">
      <w:pPr>
        <w:spacing w:line="240" w:lineRule="auto"/>
        <w:rPr>
          <w:rFonts w:ascii="Corbel" w:hAnsi="Corbel"/>
          <w:sz w:val="20"/>
          <w:szCs w:val="20"/>
        </w:rPr>
      </w:pPr>
      <w:r w:rsidRPr="00E94941">
        <w:rPr>
          <w:rStyle w:val="FootnoteReference"/>
          <w:rFonts w:ascii="Corbel" w:hAnsi="Corbel"/>
          <w:sz w:val="20"/>
          <w:szCs w:val="20"/>
        </w:rPr>
        <w:footnoteRef/>
      </w:r>
      <w:r w:rsidRPr="00E94941">
        <w:rPr>
          <w:rFonts w:ascii="Corbel" w:hAnsi="Corbel"/>
          <w:sz w:val="20"/>
          <w:szCs w:val="20"/>
        </w:rPr>
        <w:t>Elton D. Higgs, “’The Olde’ Order and the ‘</w:t>
      </w:r>
      <w:proofErr w:type="spellStart"/>
      <w:r w:rsidRPr="00E94941">
        <w:rPr>
          <w:rFonts w:ascii="Corbel" w:hAnsi="Corbel"/>
          <w:sz w:val="20"/>
          <w:szCs w:val="20"/>
        </w:rPr>
        <w:t>Newe</w:t>
      </w:r>
      <w:proofErr w:type="spellEnd"/>
      <w:r w:rsidRPr="00E94941">
        <w:rPr>
          <w:rFonts w:ascii="Corbel" w:hAnsi="Corbel"/>
          <w:sz w:val="20"/>
          <w:szCs w:val="20"/>
        </w:rPr>
        <w:t xml:space="preserve">’ World in the General Prologue to the Canterbury Tales’”, in  </w:t>
      </w:r>
      <w:r w:rsidRPr="00E94941">
        <w:rPr>
          <w:rFonts w:ascii="Corbel" w:hAnsi="Corbel"/>
          <w:i/>
          <w:sz w:val="20"/>
          <w:szCs w:val="20"/>
        </w:rPr>
        <w:t xml:space="preserve">Huntingdon Library Quarterly, </w:t>
      </w:r>
      <w:r w:rsidRPr="00E94941">
        <w:rPr>
          <w:rFonts w:ascii="Corbel" w:hAnsi="Corbel"/>
          <w:sz w:val="20"/>
          <w:szCs w:val="20"/>
        </w:rPr>
        <w:t xml:space="preserve">vol 45, no 2, 1982, pp 155-173 available at&lt; </w:t>
      </w:r>
      <w:hyperlink r:id="rId1" w:history="1">
        <w:r w:rsidRPr="00E94941">
          <w:rPr>
            <w:rStyle w:val="Hyperlink"/>
            <w:rFonts w:ascii="Corbel" w:hAnsi="Corbel"/>
            <w:sz w:val="20"/>
            <w:szCs w:val="20"/>
          </w:rPr>
          <w:t xml:space="preserve">www.jstor.org/stable/3817150 &gt; &gt;accessed </w:t>
        </w:r>
      </w:hyperlink>
      <w:r w:rsidRPr="00E94941">
        <w:rPr>
          <w:rFonts w:ascii="Corbel" w:hAnsi="Corbel"/>
          <w:sz w:val="20"/>
          <w:szCs w:val="20"/>
        </w:rPr>
        <w:t xml:space="preserve"> 30.09.18.</w:t>
      </w:r>
    </w:p>
  </w:footnote>
  <w:footnote w:id="6">
    <w:p w:rsidR="00117255" w:rsidRPr="00E94941" w:rsidRDefault="00117255" w:rsidP="00117255">
      <w:pPr>
        <w:spacing w:line="240" w:lineRule="auto"/>
        <w:rPr>
          <w:rFonts w:ascii="Corbel" w:hAnsi="Corbel"/>
          <w:sz w:val="20"/>
          <w:szCs w:val="20"/>
        </w:rPr>
      </w:pPr>
      <w:r w:rsidRPr="00E94941">
        <w:rPr>
          <w:rStyle w:val="FootnoteReference"/>
          <w:rFonts w:ascii="Corbel" w:hAnsi="Corbel"/>
          <w:sz w:val="20"/>
          <w:szCs w:val="20"/>
        </w:rPr>
        <w:footnoteRef/>
      </w:r>
      <w:r w:rsidRPr="00E94941">
        <w:rPr>
          <w:rFonts w:ascii="Corbel" w:hAnsi="Corbel"/>
          <w:sz w:val="20"/>
          <w:szCs w:val="20"/>
        </w:rPr>
        <w:t xml:space="preserve"> </w:t>
      </w:r>
      <w:bookmarkStart w:id="1" w:name="_Hlk527114676"/>
      <w:r w:rsidRPr="00E94941">
        <w:rPr>
          <w:rFonts w:ascii="Corbel" w:hAnsi="Corbel"/>
          <w:sz w:val="20"/>
          <w:szCs w:val="20"/>
        </w:rPr>
        <w:t xml:space="preserve">Janette Dillon, </w:t>
      </w:r>
      <w:r w:rsidRPr="00E94941">
        <w:rPr>
          <w:rFonts w:ascii="Corbel" w:hAnsi="Corbel"/>
          <w:i/>
          <w:sz w:val="20"/>
          <w:szCs w:val="20"/>
        </w:rPr>
        <w:t xml:space="preserve">Geoffrey Chaucer, </w:t>
      </w:r>
      <w:r w:rsidRPr="00E94941">
        <w:rPr>
          <w:rFonts w:ascii="Corbel" w:hAnsi="Corbel"/>
          <w:sz w:val="20"/>
          <w:szCs w:val="20"/>
        </w:rPr>
        <w:t>(London: Palgrave MacMillan, 1993), p44.</w:t>
      </w:r>
    </w:p>
    <w:bookmarkEnd w:id="1"/>
  </w:footnote>
  <w:footnote w:id="7">
    <w:p w:rsidR="00117255" w:rsidRPr="00E94941" w:rsidRDefault="00117255" w:rsidP="00117255">
      <w:pPr>
        <w:pStyle w:val="FootnoteText"/>
        <w:rPr>
          <w:rFonts w:ascii="Corbel" w:hAnsi="Corbel"/>
        </w:rPr>
      </w:pPr>
      <w:bookmarkStart w:id="2" w:name="_Hlk527209811"/>
      <w:r w:rsidRPr="00E94941">
        <w:rPr>
          <w:rStyle w:val="FootnoteReference"/>
          <w:rFonts w:ascii="Corbel" w:hAnsi="Corbel"/>
        </w:rPr>
        <w:footnoteRef/>
      </w:r>
      <w:r w:rsidRPr="00E94941">
        <w:rPr>
          <w:rFonts w:ascii="Corbel" w:hAnsi="Corbel"/>
        </w:rPr>
        <w:t xml:space="preserve">  Mike </w:t>
      </w:r>
      <w:proofErr w:type="spellStart"/>
      <w:r w:rsidRPr="00E94941">
        <w:rPr>
          <w:rFonts w:ascii="Corbel" w:hAnsi="Corbel"/>
        </w:rPr>
        <w:t>Ibeji</w:t>
      </w:r>
      <w:proofErr w:type="spellEnd"/>
      <w:r w:rsidRPr="00E94941">
        <w:rPr>
          <w:rFonts w:ascii="Corbel" w:hAnsi="Corbel"/>
          <w:i/>
        </w:rPr>
        <w:t xml:space="preserve">, Black Death, </w:t>
      </w:r>
      <w:r w:rsidRPr="00E94941">
        <w:rPr>
          <w:rFonts w:ascii="Corbel" w:hAnsi="Corbel"/>
        </w:rPr>
        <w:t xml:space="preserve">03.10.2011, available at &lt; </w:t>
      </w:r>
      <w:hyperlink r:id="rId2" w:history="1">
        <w:r w:rsidRPr="00E94941">
          <w:rPr>
            <w:rStyle w:val="Hyperlink"/>
            <w:rFonts w:ascii="Corbel" w:hAnsi="Corbel"/>
          </w:rPr>
          <w:t>www.bbc.co.uk/history</w:t>
        </w:r>
      </w:hyperlink>
      <w:r w:rsidRPr="00E94941">
        <w:rPr>
          <w:rFonts w:ascii="Corbel" w:hAnsi="Corbel"/>
        </w:rPr>
        <w:t xml:space="preserve">&gt; accessed 29.09.18. </w:t>
      </w:r>
      <w:bookmarkEnd w:id="2"/>
    </w:p>
  </w:footnote>
  <w:footnote w:id="8">
    <w:p w:rsidR="00117255" w:rsidRPr="00E94941" w:rsidRDefault="00117255" w:rsidP="00117255">
      <w:pPr>
        <w:pStyle w:val="FootnoteText"/>
        <w:rPr>
          <w:rFonts w:ascii="Corbel" w:hAnsi="Corbel"/>
        </w:rPr>
      </w:pPr>
      <w:r w:rsidRPr="00E94941">
        <w:rPr>
          <w:rStyle w:val="FootnoteReference"/>
          <w:rFonts w:ascii="Corbel" w:hAnsi="Corbel"/>
        </w:rPr>
        <w:footnoteRef/>
      </w:r>
      <w:r w:rsidRPr="00E94941">
        <w:rPr>
          <w:rFonts w:ascii="Corbel" w:hAnsi="Corbel"/>
        </w:rPr>
        <w:t xml:space="preserve"> Encyclopaedia Britannica, eds., </w:t>
      </w:r>
      <w:r w:rsidRPr="00E94941">
        <w:rPr>
          <w:rFonts w:ascii="Corbel" w:hAnsi="Corbel"/>
          <w:i/>
        </w:rPr>
        <w:t xml:space="preserve">The Peasant’s Revolt, </w:t>
      </w:r>
      <w:r w:rsidRPr="00E94941">
        <w:rPr>
          <w:rFonts w:ascii="Corbel" w:hAnsi="Corbel"/>
        </w:rPr>
        <w:t xml:space="preserve">available at&lt; </w:t>
      </w:r>
      <w:hyperlink r:id="rId3" w:history="1">
        <w:r w:rsidRPr="00E94941">
          <w:rPr>
            <w:rStyle w:val="Hyperlink"/>
            <w:rFonts w:ascii="Corbel" w:hAnsi="Corbel"/>
          </w:rPr>
          <w:t>https://www.britannica.com/e</w:t>
        </w:r>
      </w:hyperlink>
      <w:r w:rsidRPr="00E94941">
        <w:rPr>
          <w:rFonts w:ascii="Corbel" w:hAnsi="Corbel"/>
        </w:rPr>
        <w:t xml:space="preserve"> </w:t>
      </w:r>
      <w:r w:rsidRPr="00E94941">
        <w:rPr>
          <w:rFonts w:ascii="Corbel" w:hAnsi="Corbel"/>
          <w:color w:val="2F5496" w:themeColor="accent1" w:themeShade="BF"/>
          <w:u w:val="single"/>
        </w:rPr>
        <w:t>vent/Peasants-Revolt</w:t>
      </w:r>
      <w:r w:rsidRPr="00E94941">
        <w:rPr>
          <w:rFonts w:ascii="Corbel" w:hAnsi="Corbel"/>
        </w:rPr>
        <w:t xml:space="preserve">&gt; accessed 29.09.18. </w:t>
      </w:r>
    </w:p>
  </w:footnote>
  <w:footnote w:id="9">
    <w:p w:rsidR="00117255" w:rsidRPr="00E94941" w:rsidRDefault="00117255" w:rsidP="00117255">
      <w:pPr>
        <w:spacing w:line="240" w:lineRule="auto"/>
        <w:rPr>
          <w:rFonts w:ascii="Corbel" w:hAnsi="Corbel"/>
          <w:sz w:val="20"/>
          <w:szCs w:val="20"/>
        </w:rPr>
      </w:pPr>
      <w:r w:rsidRPr="00E94941">
        <w:rPr>
          <w:rStyle w:val="FootnoteReference"/>
          <w:rFonts w:ascii="Corbel" w:hAnsi="Corbel"/>
          <w:sz w:val="20"/>
          <w:szCs w:val="20"/>
        </w:rPr>
        <w:footnoteRef/>
      </w:r>
      <w:r w:rsidRPr="00E94941">
        <w:rPr>
          <w:rFonts w:ascii="Corbel" w:hAnsi="Corbel"/>
          <w:sz w:val="20"/>
          <w:szCs w:val="20"/>
        </w:rPr>
        <w:t xml:space="preserve"> Terry Noble, </w:t>
      </w:r>
      <w:proofErr w:type="gramStart"/>
      <w:r w:rsidRPr="00E94941">
        <w:rPr>
          <w:rFonts w:ascii="Corbel" w:hAnsi="Corbel"/>
          <w:i/>
          <w:sz w:val="20"/>
          <w:szCs w:val="20"/>
        </w:rPr>
        <w:t>How</w:t>
      </w:r>
      <w:proofErr w:type="gramEnd"/>
      <w:r w:rsidRPr="00E94941">
        <w:rPr>
          <w:rFonts w:ascii="Corbel" w:hAnsi="Corbel"/>
          <w:i/>
          <w:sz w:val="20"/>
          <w:szCs w:val="20"/>
        </w:rPr>
        <w:t xml:space="preserve"> did we get our first English bible?</w:t>
      </w:r>
      <w:r w:rsidRPr="00E94941">
        <w:rPr>
          <w:rFonts w:ascii="Corbel" w:hAnsi="Corbel"/>
          <w:sz w:val="20"/>
          <w:szCs w:val="20"/>
        </w:rPr>
        <w:t xml:space="preserve"> 16.10.12 available at &lt;</w:t>
      </w:r>
      <w:hyperlink r:id="rId4" w:history="1">
        <w:r w:rsidRPr="00E94941">
          <w:rPr>
            <w:rStyle w:val="Hyperlink"/>
            <w:rFonts w:ascii="Corbel" w:hAnsi="Corbel"/>
            <w:sz w:val="20"/>
            <w:szCs w:val="20"/>
          </w:rPr>
          <w:t>https://www.christianitytoday.com/biblestudies/bible-answers/theology/our-first-english-bible.html</w:t>
        </w:r>
      </w:hyperlink>
      <w:r w:rsidRPr="00E94941">
        <w:rPr>
          <w:rFonts w:ascii="Corbel" w:hAnsi="Corbel"/>
          <w:sz w:val="20"/>
          <w:szCs w:val="20"/>
        </w:rPr>
        <w:t xml:space="preserve"> &gt; accessed 01.10.18.</w:t>
      </w:r>
    </w:p>
  </w:footnote>
  <w:footnote w:id="10">
    <w:p w:rsidR="00117255" w:rsidRPr="00E94941" w:rsidRDefault="00117255" w:rsidP="00117255">
      <w:pPr>
        <w:pStyle w:val="FootnoteText"/>
        <w:rPr>
          <w:rFonts w:ascii="Corbel" w:hAnsi="Corbel"/>
        </w:rPr>
      </w:pPr>
      <w:r w:rsidRPr="00E94941">
        <w:rPr>
          <w:rStyle w:val="FootnoteReference"/>
          <w:rFonts w:ascii="Corbel" w:hAnsi="Corbel"/>
        </w:rPr>
        <w:footnoteRef/>
      </w:r>
      <w:r w:rsidRPr="00E94941">
        <w:rPr>
          <w:rFonts w:ascii="Corbel" w:hAnsi="Corbel"/>
        </w:rPr>
        <w:t xml:space="preserve"> Christianity was an integral part of life, imagery was how the bible story would be delivered as most of the population would not speak Latin, therefore their knowledge of the scriptures would come from what they were told by the clergy, paintings in the church, statues, mystery plays and pageants and what would be handed down from previous generations.</w:t>
      </w:r>
    </w:p>
  </w:footnote>
  <w:footnote w:id="11">
    <w:p w:rsidR="00117255" w:rsidRPr="00E94941" w:rsidRDefault="00117255" w:rsidP="00117255">
      <w:pPr>
        <w:spacing w:line="240" w:lineRule="auto"/>
        <w:rPr>
          <w:rFonts w:ascii="Corbel" w:hAnsi="Corbel"/>
          <w:sz w:val="20"/>
          <w:szCs w:val="20"/>
        </w:rPr>
      </w:pPr>
      <w:r w:rsidRPr="00E94941">
        <w:rPr>
          <w:rStyle w:val="FootnoteReference"/>
          <w:rFonts w:ascii="Corbel" w:hAnsi="Corbel"/>
          <w:sz w:val="20"/>
          <w:szCs w:val="20"/>
        </w:rPr>
        <w:footnoteRef/>
      </w:r>
      <w:r w:rsidRPr="00E94941">
        <w:rPr>
          <w:rFonts w:ascii="Corbel" w:hAnsi="Corbel"/>
          <w:sz w:val="20"/>
          <w:szCs w:val="20"/>
        </w:rPr>
        <w:t xml:space="preserve"> Janette Dillon, </w:t>
      </w:r>
      <w:r w:rsidRPr="00E94941">
        <w:rPr>
          <w:rFonts w:ascii="Corbel" w:hAnsi="Corbel"/>
          <w:i/>
          <w:sz w:val="20"/>
          <w:szCs w:val="20"/>
        </w:rPr>
        <w:t xml:space="preserve">Geoffrey Chaucer, </w:t>
      </w:r>
      <w:r w:rsidRPr="00E94941">
        <w:rPr>
          <w:rFonts w:ascii="Corbel" w:hAnsi="Corbel"/>
          <w:sz w:val="20"/>
          <w:szCs w:val="20"/>
        </w:rPr>
        <w:t>(London: Palgrave MacMillan, 1993), p25.</w:t>
      </w:r>
    </w:p>
  </w:footnote>
  <w:footnote w:id="12">
    <w:p w:rsidR="00117255" w:rsidRPr="00E94941" w:rsidRDefault="00117255" w:rsidP="00117255">
      <w:pPr>
        <w:pStyle w:val="FootnoteText"/>
        <w:rPr>
          <w:rFonts w:ascii="Corbel" w:hAnsi="Corbel"/>
        </w:rPr>
      </w:pPr>
      <w:r w:rsidRPr="00E94941">
        <w:rPr>
          <w:rStyle w:val="FootnoteReference"/>
          <w:rFonts w:ascii="Corbel" w:hAnsi="Corbel"/>
        </w:rPr>
        <w:footnoteRef/>
      </w:r>
      <w:r w:rsidRPr="00E94941">
        <w:rPr>
          <w:rFonts w:ascii="Corbel" w:hAnsi="Corbel"/>
        </w:rPr>
        <w:t xml:space="preserve"> This is my supposition, as the writing of a play or radio story for an audience, is very different to a story to be read by the reader.</w:t>
      </w:r>
    </w:p>
  </w:footnote>
  <w:footnote w:id="13">
    <w:p w:rsidR="00117255" w:rsidRPr="00E94941" w:rsidRDefault="00117255" w:rsidP="00117255">
      <w:pPr>
        <w:spacing w:line="240" w:lineRule="auto"/>
        <w:rPr>
          <w:rFonts w:ascii="Corbel" w:hAnsi="Corbel"/>
          <w:sz w:val="20"/>
          <w:szCs w:val="20"/>
        </w:rPr>
      </w:pPr>
      <w:r w:rsidRPr="00E94941">
        <w:rPr>
          <w:rStyle w:val="FootnoteReference"/>
          <w:rFonts w:ascii="Corbel" w:hAnsi="Corbel"/>
          <w:sz w:val="20"/>
          <w:szCs w:val="20"/>
        </w:rPr>
        <w:footnoteRef/>
      </w:r>
      <w:r w:rsidRPr="00E94941">
        <w:rPr>
          <w:rFonts w:ascii="Corbel" w:hAnsi="Corbel"/>
          <w:sz w:val="20"/>
          <w:szCs w:val="20"/>
        </w:rPr>
        <w:t xml:space="preserve"> Peter, Barry, </w:t>
      </w:r>
      <w:r w:rsidRPr="00E94941">
        <w:rPr>
          <w:rFonts w:ascii="Corbel" w:hAnsi="Corbel"/>
          <w:i/>
          <w:sz w:val="20"/>
          <w:szCs w:val="20"/>
        </w:rPr>
        <w:t xml:space="preserve">Beginning Theory, An Introduction to Literary and Cultural Theory, </w:t>
      </w:r>
      <w:r w:rsidRPr="00E94941">
        <w:rPr>
          <w:rFonts w:ascii="Corbel" w:hAnsi="Corbel"/>
          <w:sz w:val="20"/>
          <w:szCs w:val="20"/>
        </w:rPr>
        <w:t>2</w:t>
      </w:r>
      <w:r w:rsidRPr="00E94941">
        <w:rPr>
          <w:rFonts w:ascii="Corbel" w:hAnsi="Corbel"/>
          <w:sz w:val="20"/>
          <w:szCs w:val="20"/>
          <w:vertAlign w:val="superscript"/>
        </w:rPr>
        <w:t>nd</w:t>
      </w:r>
      <w:r w:rsidRPr="00E94941">
        <w:rPr>
          <w:rFonts w:ascii="Corbel" w:hAnsi="Corbel"/>
          <w:sz w:val="20"/>
          <w:szCs w:val="20"/>
        </w:rPr>
        <w:t xml:space="preserve"> edn. (Manchester: Manchester University Press, 2002), p214.</w:t>
      </w:r>
    </w:p>
  </w:footnote>
  <w:footnote w:id="14">
    <w:p w:rsidR="00117255" w:rsidRPr="00E94941" w:rsidRDefault="00117255" w:rsidP="00117255">
      <w:pPr>
        <w:spacing w:line="240" w:lineRule="auto"/>
        <w:rPr>
          <w:rFonts w:ascii="Corbel" w:hAnsi="Corbel"/>
          <w:sz w:val="20"/>
          <w:szCs w:val="20"/>
        </w:rPr>
      </w:pPr>
      <w:r w:rsidRPr="00E94941">
        <w:rPr>
          <w:rStyle w:val="FootnoteReference"/>
          <w:rFonts w:ascii="Corbel" w:hAnsi="Corbel"/>
          <w:sz w:val="20"/>
          <w:szCs w:val="20"/>
        </w:rPr>
        <w:footnoteRef/>
      </w:r>
      <w:r w:rsidRPr="00E94941">
        <w:rPr>
          <w:rFonts w:ascii="Corbel" w:hAnsi="Corbel"/>
          <w:sz w:val="20"/>
          <w:szCs w:val="20"/>
        </w:rPr>
        <w:t xml:space="preserve"> Shlomith, Rimmon-Kenan, </w:t>
      </w:r>
      <w:r w:rsidRPr="00E94941">
        <w:rPr>
          <w:rFonts w:ascii="Corbel" w:hAnsi="Corbel"/>
          <w:i/>
          <w:sz w:val="20"/>
          <w:szCs w:val="20"/>
        </w:rPr>
        <w:t xml:space="preserve">Narrative Fiction, Contemporary Poetics, </w:t>
      </w:r>
      <w:r w:rsidRPr="00E94941">
        <w:rPr>
          <w:rFonts w:ascii="Corbel" w:hAnsi="Corbel"/>
          <w:sz w:val="20"/>
          <w:szCs w:val="20"/>
        </w:rPr>
        <w:t>(London: Methuen &amp; Co Ltd, 1988), p91.</w:t>
      </w:r>
    </w:p>
  </w:footnote>
  <w:footnote w:id="15">
    <w:p w:rsidR="00117255" w:rsidRPr="00E94941" w:rsidRDefault="00117255" w:rsidP="00117255">
      <w:pPr>
        <w:pStyle w:val="FootnoteText"/>
        <w:rPr>
          <w:rFonts w:ascii="Corbel" w:hAnsi="Corbel"/>
        </w:rPr>
      </w:pPr>
      <w:r w:rsidRPr="00E94941">
        <w:rPr>
          <w:rStyle w:val="FootnoteReference"/>
          <w:rFonts w:ascii="Corbel" w:hAnsi="Corbel"/>
        </w:rPr>
        <w:footnoteRef/>
      </w:r>
      <w:r w:rsidRPr="00E94941">
        <w:rPr>
          <w:rFonts w:ascii="Corbel" w:hAnsi="Corbel"/>
        </w:rPr>
        <w:t xml:space="preserve"> Ibid p93.</w:t>
      </w:r>
    </w:p>
  </w:footnote>
  <w:footnote w:id="16">
    <w:p w:rsidR="00117255" w:rsidRPr="001837B7" w:rsidRDefault="00117255" w:rsidP="00862CFD">
      <w:pPr>
        <w:spacing w:line="240" w:lineRule="auto"/>
        <w:rPr>
          <w:rFonts w:ascii="Corbel" w:hAnsi="Corbel"/>
          <w:sz w:val="20"/>
          <w:szCs w:val="20"/>
        </w:rPr>
      </w:pPr>
      <w:r w:rsidRPr="001837B7">
        <w:rPr>
          <w:rStyle w:val="FootnoteReference"/>
          <w:rFonts w:ascii="Corbel" w:hAnsi="Corbel"/>
          <w:sz w:val="20"/>
          <w:szCs w:val="20"/>
        </w:rPr>
        <w:footnoteRef/>
      </w:r>
      <w:r w:rsidRPr="001837B7">
        <w:rPr>
          <w:rFonts w:ascii="Corbel" w:hAnsi="Corbel"/>
          <w:sz w:val="20"/>
          <w:szCs w:val="20"/>
        </w:rPr>
        <w:t xml:space="preserve"> L., D., Benson, </w:t>
      </w:r>
      <w:r w:rsidRPr="001837B7">
        <w:rPr>
          <w:rFonts w:ascii="Corbel" w:hAnsi="Corbel"/>
          <w:i/>
          <w:sz w:val="20"/>
          <w:szCs w:val="20"/>
        </w:rPr>
        <w:t xml:space="preserve">The Geoffrey Chaucer Page, The General Prologue, </w:t>
      </w:r>
      <w:r w:rsidRPr="001837B7">
        <w:rPr>
          <w:rFonts w:ascii="Corbel" w:hAnsi="Corbel"/>
          <w:sz w:val="20"/>
          <w:szCs w:val="20"/>
        </w:rPr>
        <w:t xml:space="preserve">May 2000, available at  </w:t>
      </w:r>
      <w:hyperlink r:id="rId5" w:history="1">
        <w:r w:rsidRPr="001837B7">
          <w:rPr>
            <w:rStyle w:val="Hyperlink"/>
            <w:rFonts w:ascii="Corbel" w:hAnsi="Corbel"/>
            <w:sz w:val="20"/>
            <w:szCs w:val="20"/>
          </w:rPr>
          <w:t>http://sites.fas.harvard.edu/~chaucer/canttales/gp</w:t>
        </w:r>
      </w:hyperlink>
      <w:r w:rsidRPr="001837B7">
        <w:rPr>
          <w:rFonts w:ascii="Corbel" w:hAnsi="Corbel"/>
          <w:sz w:val="20"/>
          <w:szCs w:val="20"/>
        </w:rPr>
        <w:t xml:space="preserve"> accessed 10.10.2018.</w:t>
      </w:r>
    </w:p>
  </w:footnote>
  <w:footnote w:id="17">
    <w:p w:rsidR="00117255" w:rsidRPr="001837B7" w:rsidRDefault="00117255" w:rsidP="00117255">
      <w:pPr>
        <w:pStyle w:val="FootnoteText"/>
        <w:rPr>
          <w:rFonts w:ascii="Corbel" w:hAnsi="Corbel"/>
        </w:rPr>
      </w:pPr>
      <w:r w:rsidRPr="001837B7">
        <w:rPr>
          <w:rStyle w:val="FootnoteReference"/>
          <w:rFonts w:ascii="Corbel" w:hAnsi="Corbel"/>
        </w:rPr>
        <w:footnoteRef/>
      </w:r>
      <w:r w:rsidRPr="001837B7">
        <w:rPr>
          <w:rFonts w:ascii="Corbel" w:hAnsi="Corbel"/>
        </w:rPr>
        <w:t xml:space="preserve"> Dolores, Warwick </w:t>
      </w:r>
      <w:proofErr w:type="spellStart"/>
      <w:r w:rsidRPr="001837B7">
        <w:rPr>
          <w:rFonts w:ascii="Corbel" w:hAnsi="Corbel"/>
        </w:rPr>
        <w:t>Frese</w:t>
      </w:r>
      <w:proofErr w:type="spellEnd"/>
      <w:r w:rsidRPr="001837B7">
        <w:rPr>
          <w:rFonts w:ascii="Corbel" w:hAnsi="Corbel"/>
        </w:rPr>
        <w:t xml:space="preserve">, ‘The “Nun’s Priest’ Tale”: Chaucer’s Identified Master Piece?’ </w:t>
      </w:r>
    </w:p>
    <w:p w:rsidR="00117255" w:rsidRPr="001837B7" w:rsidRDefault="00117255" w:rsidP="00117255">
      <w:pPr>
        <w:pStyle w:val="FootnoteText"/>
        <w:rPr>
          <w:rFonts w:ascii="Corbel" w:hAnsi="Corbel"/>
        </w:rPr>
      </w:pPr>
      <w:r w:rsidRPr="001837B7">
        <w:rPr>
          <w:rFonts w:ascii="Corbel" w:hAnsi="Corbel"/>
          <w:i/>
        </w:rPr>
        <w:t xml:space="preserve">The Chaucer Review, </w:t>
      </w:r>
      <w:r w:rsidRPr="001837B7">
        <w:rPr>
          <w:rFonts w:ascii="Corbel" w:hAnsi="Corbel"/>
        </w:rPr>
        <w:t>vol. 16, no. 4, (Spring 1982), p330-343.</w:t>
      </w:r>
    </w:p>
  </w:footnote>
  <w:footnote w:id="18">
    <w:p w:rsidR="00117255" w:rsidRPr="001837B7" w:rsidRDefault="00117255" w:rsidP="00117255">
      <w:pPr>
        <w:spacing w:line="240" w:lineRule="auto"/>
        <w:rPr>
          <w:rFonts w:ascii="Corbel" w:hAnsi="Corbel"/>
          <w:sz w:val="20"/>
          <w:szCs w:val="20"/>
        </w:rPr>
      </w:pPr>
      <w:r w:rsidRPr="001837B7">
        <w:rPr>
          <w:rStyle w:val="FootnoteReference"/>
          <w:rFonts w:ascii="Corbel" w:hAnsi="Corbel"/>
          <w:sz w:val="20"/>
          <w:szCs w:val="20"/>
        </w:rPr>
        <w:footnoteRef/>
      </w:r>
      <w:r w:rsidRPr="001837B7">
        <w:rPr>
          <w:rFonts w:ascii="Corbel" w:hAnsi="Corbel"/>
          <w:sz w:val="20"/>
          <w:szCs w:val="20"/>
        </w:rPr>
        <w:t xml:space="preserve"> </w:t>
      </w:r>
      <w:r w:rsidRPr="001837B7">
        <w:rPr>
          <w:rFonts w:ascii="Corbel" w:hAnsi="Corbel" w:cs="Arial"/>
          <w:color w:val="333333"/>
          <w:sz w:val="20"/>
          <w:szCs w:val="20"/>
        </w:rPr>
        <w:t>Warner, Lawrence. “Woman Is Man's Babylon: Chaucer's ‘</w:t>
      </w:r>
      <w:proofErr w:type="spellStart"/>
      <w:r w:rsidRPr="001837B7">
        <w:rPr>
          <w:rFonts w:ascii="Corbel" w:hAnsi="Corbel" w:cs="Arial"/>
          <w:color w:val="333333"/>
          <w:sz w:val="20"/>
          <w:szCs w:val="20"/>
        </w:rPr>
        <w:t>Nembrot</w:t>
      </w:r>
      <w:proofErr w:type="spellEnd"/>
      <w:r w:rsidRPr="001837B7">
        <w:rPr>
          <w:rFonts w:ascii="Corbel" w:hAnsi="Corbel" w:cs="Arial"/>
          <w:color w:val="333333"/>
          <w:sz w:val="20"/>
          <w:szCs w:val="20"/>
        </w:rPr>
        <w:t xml:space="preserve">’ and the Tyranny of Enclosure in the ‘Nun's Priest's Tale.’” </w:t>
      </w:r>
      <w:r w:rsidRPr="001837B7">
        <w:rPr>
          <w:rFonts w:ascii="Corbel" w:hAnsi="Corbel" w:cs="Arial"/>
          <w:i/>
          <w:iCs/>
          <w:color w:val="333333"/>
          <w:sz w:val="20"/>
          <w:szCs w:val="20"/>
        </w:rPr>
        <w:t>The Chaucer Review</w:t>
      </w:r>
      <w:r w:rsidRPr="001837B7">
        <w:rPr>
          <w:rFonts w:ascii="Corbel" w:hAnsi="Corbel" w:cs="Arial"/>
          <w:color w:val="333333"/>
          <w:sz w:val="20"/>
          <w:szCs w:val="20"/>
        </w:rPr>
        <w:t xml:space="preserve">, vol. 32, no. 1, 1997, pp. 82–107. </w:t>
      </w:r>
      <w:r w:rsidRPr="001837B7">
        <w:rPr>
          <w:rFonts w:ascii="Corbel" w:hAnsi="Corbel" w:cs="Arial"/>
          <w:i/>
          <w:iCs/>
          <w:color w:val="333333"/>
          <w:sz w:val="20"/>
          <w:szCs w:val="20"/>
        </w:rPr>
        <w:t>JSTOR</w:t>
      </w:r>
      <w:r w:rsidRPr="001837B7">
        <w:rPr>
          <w:rFonts w:ascii="Corbel" w:hAnsi="Corbel" w:cs="Arial"/>
          <w:color w:val="333333"/>
          <w:sz w:val="20"/>
          <w:szCs w:val="20"/>
        </w:rPr>
        <w:t>, JSTOR, www.jstor.org/stable/25095999.</w:t>
      </w:r>
    </w:p>
  </w:footnote>
  <w:footnote w:id="19">
    <w:p w:rsidR="00117255" w:rsidRPr="001837B7" w:rsidRDefault="00117255" w:rsidP="00117255">
      <w:pPr>
        <w:spacing w:line="240" w:lineRule="auto"/>
        <w:rPr>
          <w:rFonts w:ascii="Corbel" w:hAnsi="Corbel"/>
          <w:sz w:val="20"/>
          <w:szCs w:val="20"/>
        </w:rPr>
      </w:pPr>
      <w:r w:rsidRPr="001837B7">
        <w:rPr>
          <w:rStyle w:val="FootnoteReference"/>
          <w:rFonts w:ascii="Corbel" w:hAnsi="Corbel"/>
          <w:sz w:val="20"/>
          <w:szCs w:val="20"/>
        </w:rPr>
        <w:footnoteRef/>
      </w:r>
      <w:r w:rsidRPr="001837B7">
        <w:rPr>
          <w:rFonts w:ascii="Corbel" w:hAnsi="Corbel"/>
          <w:sz w:val="20"/>
          <w:szCs w:val="20"/>
        </w:rPr>
        <w:t xml:space="preserve"> </w:t>
      </w:r>
      <w:r w:rsidRPr="001837B7">
        <w:rPr>
          <w:rFonts w:ascii="Corbel" w:hAnsi="Corbel" w:cs="Arial"/>
          <w:color w:val="333333"/>
          <w:sz w:val="20"/>
          <w:szCs w:val="20"/>
        </w:rPr>
        <w:t xml:space="preserve">Oerlemans, </w:t>
      </w:r>
      <w:proofErr w:type="spellStart"/>
      <w:r w:rsidRPr="001837B7">
        <w:rPr>
          <w:rFonts w:ascii="Corbel" w:hAnsi="Corbel" w:cs="Arial"/>
          <w:color w:val="333333"/>
          <w:sz w:val="20"/>
          <w:szCs w:val="20"/>
        </w:rPr>
        <w:t>Onno</w:t>
      </w:r>
      <w:proofErr w:type="spellEnd"/>
      <w:r w:rsidRPr="001837B7">
        <w:rPr>
          <w:rFonts w:ascii="Corbel" w:hAnsi="Corbel" w:cs="Arial"/>
          <w:color w:val="333333"/>
          <w:sz w:val="20"/>
          <w:szCs w:val="20"/>
        </w:rPr>
        <w:t xml:space="preserve">. “The Seriousness of the ‘Nun's Priest's Tale.’” </w:t>
      </w:r>
      <w:r w:rsidRPr="001837B7">
        <w:rPr>
          <w:rFonts w:ascii="Corbel" w:hAnsi="Corbel" w:cs="Arial"/>
          <w:i/>
          <w:iCs/>
          <w:color w:val="333333"/>
          <w:sz w:val="20"/>
          <w:szCs w:val="20"/>
        </w:rPr>
        <w:t>The Chaucer Review</w:t>
      </w:r>
      <w:r w:rsidRPr="001837B7">
        <w:rPr>
          <w:rFonts w:ascii="Corbel" w:hAnsi="Corbel" w:cs="Arial"/>
          <w:color w:val="333333"/>
          <w:sz w:val="20"/>
          <w:szCs w:val="20"/>
        </w:rPr>
        <w:t xml:space="preserve">, vol. 26, no. 3, 1992, p. 317–328. </w:t>
      </w:r>
      <w:r w:rsidRPr="001837B7">
        <w:rPr>
          <w:rFonts w:ascii="Corbel" w:hAnsi="Corbel" w:cs="Arial"/>
          <w:i/>
          <w:iCs/>
          <w:color w:val="333333"/>
          <w:sz w:val="20"/>
          <w:szCs w:val="20"/>
        </w:rPr>
        <w:t>JSTOR</w:t>
      </w:r>
      <w:r w:rsidRPr="001837B7">
        <w:rPr>
          <w:rFonts w:ascii="Corbel" w:hAnsi="Corbel" w:cs="Arial"/>
          <w:color w:val="333333"/>
          <w:sz w:val="20"/>
          <w:szCs w:val="20"/>
        </w:rPr>
        <w:t xml:space="preserve">, JSTOR, </w:t>
      </w:r>
      <w:hyperlink r:id="rId6" w:history="1">
        <w:r w:rsidRPr="001837B7">
          <w:rPr>
            <w:rStyle w:val="Hyperlink"/>
            <w:rFonts w:ascii="Corbel" w:hAnsi="Corbel" w:cs="Arial"/>
            <w:sz w:val="20"/>
            <w:szCs w:val="20"/>
          </w:rPr>
          <w:t>www.jstor.org/stable/25094204</w:t>
        </w:r>
      </w:hyperlink>
      <w:r w:rsidRPr="001837B7">
        <w:rPr>
          <w:rFonts w:ascii="Corbel" w:hAnsi="Corbel" w:cs="Arial"/>
          <w:color w:val="333333"/>
          <w:sz w:val="20"/>
          <w:szCs w:val="20"/>
        </w:rPr>
        <w:t>, accessed 09.10.2018.</w:t>
      </w:r>
    </w:p>
  </w:footnote>
  <w:footnote w:id="20">
    <w:p w:rsidR="00117255" w:rsidRPr="001837B7" w:rsidRDefault="00117255" w:rsidP="00117255">
      <w:pPr>
        <w:pStyle w:val="FootnoteText"/>
        <w:rPr>
          <w:rFonts w:ascii="Corbel" w:hAnsi="Corbel"/>
        </w:rPr>
      </w:pPr>
      <w:r w:rsidRPr="001837B7">
        <w:rPr>
          <w:rStyle w:val="FootnoteReference"/>
          <w:rFonts w:ascii="Corbel" w:hAnsi="Corbel"/>
        </w:rPr>
        <w:footnoteRef/>
      </w:r>
      <w:r w:rsidRPr="001837B7">
        <w:rPr>
          <w:rFonts w:ascii="Corbel" w:hAnsi="Corbel"/>
        </w:rPr>
        <w:t xml:space="preserve"> Ibid p319.</w:t>
      </w:r>
    </w:p>
  </w:footnote>
  <w:footnote w:id="21">
    <w:p w:rsidR="00117255" w:rsidRPr="001837B7" w:rsidRDefault="00117255" w:rsidP="00117255">
      <w:pPr>
        <w:pStyle w:val="FootnoteText"/>
        <w:rPr>
          <w:rFonts w:ascii="Corbel" w:hAnsi="Corbel"/>
        </w:rPr>
      </w:pPr>
      <w:r w:rsidRPr="001837B7">
        <w:rPr>
          <w:rStyle w:val="FootnoteReference"/>
          <w:rFonts w:ascii="Corbel" w:hAnsi="Corbel"/>
        </w:rPr>
        <w:footnoteRef/>
      </w:r>
      <w:r w:rsidRPr="001837B7">
        <w:rPr>
          <w:rFonts w:ascii="Corbel" w:hAnsi="Corbel"/>
        </w:rPr>
        <w:t xml:space="preserve"> Richard W. Fehrenbacher, ’A </w:t>
      </w:r>
      <w:proofErr w:type="spellStart"/>
      <w:r w:rsidRPr="001837B7">
        <w:rPr>
          <w:rFonts w:ascii="Corbel" w:hAnsi="Corbel"/>
        </w:rPr>
        <w:t>Yeerd</w:t>
      </w:r>
      <w:proofErr w:type="spellEnd"/>
      <w:r w:rsidRPr="001837B7">
        <w:rPr>
          <w:rFonts w:ascii="Corbel" w:hAnsi="Corbel"/>
        </w:rPr>
        <w:t xml:space="preserve"> Enclosed al </w:t>
      </w:r>
      <w:proofErr w:type="spellStart"/>
      <w:r w:rsidRPr="001837B7">
        <w:rPr>
          <w:rFonts w:ascii="Corbel" w:hAnsi="Corbel"/>
        </w:rPr>
        <w:t>Aboute</w:t>
      </w:r>
      <w:proofErr w:type="spellEnd"/>
      <w:r w:rsidRPr="001837B7">
        <w:rPr>
          <w:rFonts w:ascii="Corbel" w:hAnsi="Corbel"/>
        </w:rPr>
        <w:t>: Literature and History in the “Nun’s Priest’s Tale”’, The</w:t>
      </w:r>
      <w:r w:rsidRPr="001837B7">
        <w:rPr>
          <w:rFonts w:ascii="Corbel" w:hAnsi="Corbel"/>
          <w:i/>
        </w:rPr>
        <w:t xml:space="preserve"> Chaucer Review, </w:t>
      </w:r>
      <w:r w:rsidRPr="001837B7">
        <w:rPr>
          <w:rFonts w:ascii="Corbel" w:hAnsi="Corbel"/>
        </w:rPr>
        <w:t>vol 29, no 2, (1994), pp. 134-148.</w:t>
      </w:r>
    </w:p>
  </w:footnote>
  <w:footnote w:id="22">
    <w:p w:rsidR="00117255" w:rsidRPr="001837B7" w:rsidRDefault="00117255" w:rsidP="00117255">
      <w:pPr>
        <w:pStyle w:val="FootnoteText"/>
        <w:rPr>
          <w:rFonts w:ascii="Corbel" w:hAnsi="Corbel"/>
        </w:rPr>
      </w:pPr>
      <w:r w:rsidRPr="001837B7">
        <w:rPr>
          <w:rStyle w:val="FootnoteReference"/>
          <w:rFonts w:ascii="Corbel" w:hAnsi="Corbel"/>
        </w:rPr>
        <w:footnoteRef/>
      </w:r>
      <w:r w:rsidRPr="001837B7">
        <w:rPr>
          <w:rFonts w:ascii="Corbel" w:hAnsi="Corbel"/>
        </w:rPr>
        <w:t xml:space="preserve"> Lynn, Staley Johnson, ‘”To Make in </w:t>
      </w:r>
      <w:proofErr w:type="spellStart"/>
      <w:r w:rsidRPr="001837B7">
        <w:rPr>
          <w:rFonts w:ascii="Corbel" w:hAnsi="Corbel"/>
        </w:rPr>
        <w:t>Som</w:t>
      </w:r>
      <w:proofErr w:type="spellEnd"/>
      <w:r w:rsidRPr="001837B7">
        <w:rPr>
          <w:rFonts w:ascii="Corbel" w:hAnsi="Corbel"/>
        </w:rPr>
        <w:t xml:space="preserve"> </w:t>
      </w:r>
      <w:proofErr w:type="spellStart"/>
      <w:r w:rsidRPr="001837B7">
        <w:rPr>
          <w:rFonts w:ascii="Corbel" w:hAnsi="Corbel"/>
        </w:rPr>
        <w:t>Comedye</w:t>
      </w:r>
      <w:proofErr w:type="spellEnd"/>
      <w:r w:rsidRPr="001837B7">
        <w:rPr>
          <w:rFonts w:ascii="Corbel" w:hAnsi="Corbel"/>
        </w:rPr>
        <w:t xml:space="preserve">’: Chauntecleer, Son of Troy”, </w:t>
      </w:r>
      <w:r w:rsidRPr="001837B7">
        <w:rPr>
          <w:rFonts w:ascii="Corbel" w:hAnsi="Corbel"/>
          <w:i/>
        </w:rPr>
        <w:t xml:space="preserve">The Chaucer Review, </w:t>
      </w:r>
      <w:r w:rsidRPr="001837B7">
        <w:rPr>
          <w:rFonts w:ascii="Corbel" w:hAnsi="Corbel"/>
        </w:rPr>
        <w:t>vol 19, no 3, 1985, p225-24 ,.</w:t>
      </w:r>
      <w:r w:rsidRPr="001837B7">
        <w:rPr>
          <w:rFonts w:ascii="Corbel" w:hAnsi="Corbel"/>
          <w:i/>
        </w:rPr>
        <w:t xml:space="preserve">JSTOR,  </w:t>
      </w:r>
      <w:r w:rsidRPr="001837B7">
        <w:rPr>
          <w:rFonts w:ascii="Corbel" w:hAnsi="Corbel"/>
        </w:rPr>
        <w:t xml:space="preserve">JSTOR available at&lt; </w:t>
      </w:r>
      <w:hyperlink r:id="rId7" w:history="1">
        <w:r w:rsidRPr="001837B7">
          <w:rPr>
            <w:rStyle w:val="Hyperlink"/>
            <w:rFonts w:ascii="Corbel" w:hAnsi="Corbel"/>
          </w:rPr>
          <w:t>www.jstor.org/stable/25093920</w:t>
        </w:r>
      </w:hyperlink>
      <w:r w:rsidRPr="001837B7">
        <w:rPr>
          <w:rFonts w:ascii="Corbel" w:hAnsi="Corbel"/>
        </w:rPr>
        <w:t xml:space="preserve"> &gt; accessed 09.10.2018.</w:t>
      </w:r>
    </w:p>
  </w:footnote>
  <w:footnote w:id="23">
    <w:p w:rsidR="00117255" w:rsidRPr="001837B7" w:rsidRDefault="00117255" w:rsidP="00117255">
      <w:pPr>
        <w:pStyle w:val="FootnoteText"/>
        <w:rPr>
          <w:rFonts w:ascii="Corbel" w:hAnsi="Corbel"/>
        </w:rPr>
      </w:pPr>
      <w:r w:rsidRPr="001837B7">
        <w:rPr>
          <w:rStyle w:val="FootnoteReference"/>
          <w:rFonts w:ascii="Corbel" w:hAnsi="Corbel"/>
        </w:rPr>
        <w:footnoteRef/>
      </w:r>
      <w:r w:rsidRPr="001837B7">
        <w:rPr>
          <w:rFonts w:ascii="Corbel" w:hAnsi="Corbel"/>
        </w:rPr>
        <w:t xml:space="preserve"> </w:t>
      </w:r>
      <w:bookmarkStart w:id="3" w:name="_Hlk527130001"/>
      <w:r w:rsidRPr="001837B7">
        <w:rPr>
          <w:rFonts w:ascii="Corbel" w:hAnsi="Corbel"/>
        </w:rPr>
        <w:t xml:space="preserve">Lynn, Staley Johnson, ‘”To Make in </w:t>
      </w:r>
      <w:proofErr w:type="spellStart"/>
      <w:r w:rsidRPr="001837B7">
        <w:rPr>
          <w:rFonts w:ascii="Corbel" w:hAnsi="Corbel"/>
        </w:rPr>
        <w:t>Som</w:t>
      </w:r>
      <w:proofErr w:type="spellEnd"/>
      <w:r w:rsidRPr="001837B7">
        <w:rPr>
          <w:rFonts w:ascii="Corbel" w:hAnsi="Corbel"/>
        </w:rPr>
        <w:t xml:space="preserve"> </w:t>
      </w:r>
      <w:proofErr w:type="spellStart"/>
      <w:r w:rsidRPr="001837B7">
        <w:rPr>
          <w:rFonts w:ascii="Corbel" w:hAnsi="Corbel"/>
        </w:rPr>
        <w:t>Comedye</w:t>
      </w:r>
      <w:proofErr w:type="spellEnd"/>
      <w:r w:rsidRPr="001837B7">
        <w:rPr>
          <w:rFonts w:ascii="Corbel" w:hAnsi="Corbel"/>
        </w:rPr>
        <w:t xml:space="preserve">’: Chauntecleer, Son of Troy”, </w:t>
      </w:r>
      <w:r w:rsidRPr="001837B7">
        <w:rPr>
          <w:rFonts w:ascii="Corbel" w:hAnsi="Corbel"/>
          <w:i/>
        </w:rPr>
        <w:t xml:space="preserve">The Chaucer Review, </w:t>
      </w:r>
      <w:r w:rsidRPr="001837B7">
        <w:rPr>
          <w:rFonts w:ascii="Corbel" w:hAnsi="Corbel"/>
        </w:rPr>
        <w:t>vol 19, no 3, 1985, p225-24 ,.</w:t>
      </w:r>
      <w:r w:rsidRPr="001837B7">
        <w:rPr>
          <w:rFonts w:ascii="Corbel" w:hAnsi="Corbel"/>
          <w:i/>
        </w:rPr>
        <w:t xml:space="preserve">JSTOR,  </w:t>
      </w:r>
      <w:r w:rsidRPr="001837B7">
        <w:rPr>
          <w:rFonts w:ascii="Corbel" w:hAnsi="Corbel"/>
        </w:rPr>
        <w:t xml:space="preserve">JSTOR available at&lt; </w:t>
      </w:r>
      <w:hyperlink r:id="rId8" w:history="1">
        <w:r w:rsidRPr="001837B7">
          <w:rPr>
            <w:rStyle w:val="Hyperlink"/>
            <w:rFonts w:ascii="Corbel" w:hAnsi="Corbel"/>
          </w:rPr>
          <w:t>www.jstor.org/stable/25093920</w:t>
        </w:r>
      </w:hyperlink>
      <w:r w:rsidRPr="001837B7">
        <w:rPr>
          <w:rFonts w:ascii="Corbel" w:hAnsi="Corbel"/>
        </w:rPr>
        <w:t xml:space="preserve"> &gt; accessed 09.10.2018.</w:t>
      </w:r>
    </w:p>
    <w:bookmarkEnd w:id="3"/>
  </w:footnote>
  <w:footnote w:id="24">
    <w:p w:rsidR="00117255" w:rsidRDefault="00117255" w:rsidP="00117255">
      <w:pPr>
        <w:pStyle w:val="FootnoteText"/>
      </w:pPr>
      <w:r>
        <w:rPr>
          <w:rStyle w:val="FootnoteReference"/>
        </w:rPr>
        <w:footnoteRef/>
      </w:r>
      <w:r>
        <w:t xml:space="preserve"> Ibid p225.</w:t>
      </w:r>
    </w:p>
  </w:footnote>
  <w:footnote w:id="25">
    <w:p w:rsidR="00117255" w:rsidRDefault="00117255" w:rsidP="00117255">
      <w:pPr>
        <w:spacing w:after="0" w:line="240" w:lineRule="auto"/>
        <w:ind w:right="-334"/>
      </w:pPr>
      <w:r>
        <w:rPr>
          <w:rStyle w:val="FootnoteReference"/>
        </w:rPr>
        <w:footnoteRef/>
      </w:r>
      <w:r>
        <w:t xml:space="preserve"> </w:t>
      </w:r>
      <w:r w:rsidRPr="00360EA8">
        <w:rPr>
          <w:rFonts w:ascii="Corbel" w:hAnsi="Corbel"/>
          <w:sz w:val="20"/>
          <w:szCs w:val="20"/>
        </w:rPr>
        <w:t>This is how I see Chaucer struggling/wrestling with how to say what he wished without any comeback from the court.</w:t>
      </w:r>
    </w:p>
  </w:footnote>
  <w:footnote w:id="26">
    <w:p w:rsidR="00117255" w:rsidRPr="00072EDF" w:rsidRDefault="00117255" w:rsidP="00117255">
      <w:pPr>
        <w:pStyle w:val="FootnoteText"/>
      </w:pPr>
      <w:r>
        <w:rPr>
          <w:rStyle w:val="FootnoteReference"/>
        </w:rPr>
        <w:footnoteRef/>
      </w:r>
      <w:r>
        <w:t xml:space="preserve"> </w:t>
      </w:r>
      <w:bookmarkStart w:id="4" w:name="_Hlk527140650"/>
      <w:r>
        <w:t xml:space="preserve">Doran </w:t>
      </w:r>
      <w:proofErr w:type="spellStart"/>
      <w:r>
        <w:t>Narkiss</w:t>
      </w:r>
      <w:proofErr w:type="spellEnd"/>
      <w:r>
        <w:t xml:space="preserve">, ‘The Fox, the Cock, and the Priest: Chaucer’s escape from the Fable’ </w:t>
      </w:r>
      <w:r>
        <w:rPr>
          <w:i/>
        </w:rPr>
        <w:t xml:space="preserve">The Chaucer Review, </w:t>
      </w:r>
      <w:r w:rsidRPr="00072EDF">
        <w:t>vol32, no 1, 1997</w:t>
      </w:r>
      <w:r>
        <w:rPr>
          <w:i/>
        </w:rPr>
        <w:t xml:space="preserve">, </w:t>
      </w:r>
      <w:r>
        <w:t>p46-63, JSTOR</w:t>
      </w:r>
      <w:r>
        <w:rPr>
          <w:i/>
        </w:rPr>
        <w:t xml:space="preserve">, </w:t>
      </w:r>
      <w:r>
        <w:t>JSTOR, available at &lt;</w:t>
      </w:r>
      <w:hyperlink r:id="rId9" w:history="1">
        <w:r w:rsidRPr="00983E19">
          <w:rPr>
            <w:rStyle w:val="Hyperlink"/>
          </w:rPr>
          <w:t>www.jstor.org/stable/25095997</w:t>
        </w:r>
      </w:hyperlink>
      <w:r>
        <w:t>&gt; accessed 10.10.2018</w:t>
      </w:r>
      <w:bookmarkEnd w:id="4"/>
      <w:r>
        <w:t>.</w:t>
      </w:r>
    </w:p>
  </w:footnote>
  <w:footnote w:id="27">
    <w:p w:rsidR="00117255" w:rsidRDefault="00117255" w:rsidP="00117255">
      <w:pPr>
        <w:spacing w:line="240" w:lineRule="auto"/>
      </w:pPr>
      <w:r>
        <w:rPr>
          <w:rStyle w:val="FootnoteReference"/>
        </w:rPr>
        <w:footnoteRef/>
      </w:r>
      <w:r>
        <w:t xml:space="preserve"> </w:t>
      </w:r>
      <w:r w:rsidRPr="0031524A">
        <w:rPr>
          <w:rFonts w:ascii="Corbel" w:hAnsi="Corbel"/>
          <w:sz w:val="20"/>
          <w:szCs w:val="20"/>
        </w:rPr>
        <w:t xml:space="preserve">Janette Dillon, </w:t>
      </w:r>
      <w:r w:rsidRPr="0031524A">
        <w:rPr>
          <w:rFonts w:ascii="Corbel" w:hAnsi="Corbel"/>
          <w:i/>
          <w:sz w:val="20"/>
          <w:szCs w:val="20"/>
        </w:rPr>
        <w:t xml:space="preserve">Geoffrey </w:t>
      </w:r>
      <w:r w:rsidRPr="00072EDF">
        <w:rPr>
          <w:rFonts w:ascii="Corbel" w:hAnsi="Corbel"/>
          <w:sz w:val="20"/>
          <w:szCs w:val="20"/>
        </w:rPr>
        <w:t>Chaucer</w:t>
      </w:r>
      <w:r w:rsidRPr="0031524A">
        <w:rPr>
          <w:rFonts w:ascii="Corbel" w:hAnsi="Corbel"/>
          <w:i/>
          <w:sz w:val="20"/>
          <w:szCs w:val="20"/>
        </w:rPr>
        <w:t xml:space="preserve">, </w:t>
      </w:r>
      <w:r w:rsidRPr="0031524A">
        <w:rPr>
          <w:rFonts w:ascii="Corbel" w:hAnsi="Corbel"/>
          <w:sz w:val="20"/>
          <w:szCs w:val="20"/>
        </w:rPr>
        <w:t>(London: Palgrave MacMillan, 1993)</w:t>
      </w:r>
      <w:r>
        <w:rPr>
          <w:rFonts w:ascii="Corbel" w:hAnsi="Corbel"/>
          <w:sz w:val="20"/>
          <w:szCs w:val="20"/>
        </w:rPr>
        <w:t>, p44</w:t>
      </w:r>
      <w:r w:rsidRPr="0031524A">
        <w:rPr>
          <w:rFonts w:ascii="Corbel" w:hAnsi="Corbel"/>
          <w:sz w:val="20"/>
          <w:szCs w:val="20"/>
        </w:rPr>
        <w:t>.</w:t>
      </w:r>
    </w:p>
  </w:footnote>
  <w:footnote w:id="28">
    <w:p w:rsidR="00117255" w:rsidRDefault="00117255" w:rsidP="00117255">
      <w:pPr>
        <w:pStyle w:val="FootnoteText"/>
      </w:pPr>
      <w:r>
        <w:rPr>
          <w:rStyle w:val="FootnoteReference"/>
        </w:rPr>
        <w:footnoteRef/>
      </w:r>
      <w:r>
        <w:t xml:space="preserve"> Doran </w:t>
      </w:r>
      <w:proofErr w:type="spellStart"/>
      <w:r>
        <w:t>Narkiss</w:t>
      </w:r>
      <w:proofErr w:type="spellEnd"/>
      <w:r>
        <w:t xml:space="preserve">, ‘The Fox, the Cock, and the Priest: Chaucer’s escape from the Fable’ </w:t>
      </w:r>
      <w:r>
        <w:rPr>
          <w:i/>
        </w:rPr>
        <w:t xml:space="preserve">The Chaucer Review, </w:t>
      </w:r>
      <w:r w:rsidRPr="00072EDF">
        <w:t>vol32, no 1, 1997</w:t>
      </w:r>
      <w:r>
        <w:rPr>
          <w:i/>
        </w:rPr>
        <w:t xml:space="preserve">, </w:t>
      </w:r>
      <w:r>
        <w:t>p46-63, JSTOR</w:t>
      </w:r>
      <w:r>
        <w:rPr>
          <w:i/>
        </w:rPr>
        <w:t xml:space="preserve">, </w:t>
      </w:r>
      <w:r>
        <w:t>JSTOR, available at &lt;</w:t>
      </w:r>
      <w:hyperlink r:id="rId10" w:history="1">
        <w:r w:rsidRPr="00983E19">
          <w:rPr>
            <w:rStyle w:val="Hyperlink"/>
          </w:rPr>
          <w:t>www.jstor.org/stable/25095997</w:t>
        </w:r>
      </w:hyperlink>
      <w:r>
        <w:t>&gt; accessed 10.10.2018</w:t>
      </w:r>
      <w:r w:rsidR="00862CFD">
        <w:t>.</w:t>
      </w:r>
    </w:p>
  </w:footnote>
  <w:footnote w:id="29">
    <w:p w:rsidR="00117255" w:rsidRDefault="00117255" w:rsidP="00117255">
      <w:pPr>
        <w:pStyle w:val="FootnoteText"/>
      </w:pPr>
      <w:r>
        <w:rPr>
          <w:rStyle w:val="FootnoteReference"/>
        </w:rPr>
        <w:footnoteRef/>
      </w:r>
      <w:r>
        <w:t xml:space="preserve"> Encyclopaedia Britannica, eds., </w:t>
      </w:r>
      <w:r w:rsidRPr="00E51992">
        <w:rPr>
          <w:i/>
        </w:rPr>
        <w:t>The Peasant’s Revolt</w:t>
      </w:r>
      <w:r>
        <w:rPr>
          <w:i/>
        </w:rPr>
        <w:t xml:space="preserve">, </w:t>
      </w:r>
      <w:r>
        <w:t xml:space="preserve">available at&lt; </w:t>
      </w:r>
      <w:hyperlink r:id="rId11" w:history="1">
        <w:r w:rsidRPr="000F24B5">
          <w:rPr>
            <w:rStyle w:val="Hyperlink"/>
          </w:rPr>
          <w:t>https://www.britannica.com/e</w:t>
        </w:r>
      </w:hyperlink>
      <w:r>
        <w:t xml:space="preserve"> </w:t>
      </w:r>
      <w:r w:rsidRPr="009B117D">
        <w:rPr>
          <w:color w:val="2F5496" w:themeColor="accent1" w:themeShade="BF"/>
          <w:u w:val="single"/>
        </w:rPr>
        <w:t>vent/Peasants-Revolt</w:t>
      </w:r>
      <w:r>
        <w:t xml:space="preserve">&gt; accessed 29.09.18. </w:t>
      </w:r>
    </w:p>
  </w:footnote>
  <w:footnote w:id="30">
    <w:p w:rsidR="00117255" w:rsidRDefault="00117255" w:rsidP="00E95E6B">
      <w:pPr>
        <w:spacing w:line="240" w:lineRule="auto"/>
      </w:pPr>
      <w:r>
        <w:rPr>
          <w:rStyle w:val="FootnoteReference"/>
        </w:rPr>
        <w:footnoteRef/>
      </w:r>
      <w:r>
        <w:t xml:space="preserve"> </w:t>
      </w:r>
      <w:r w:rsidRPr="007635C0">
        <w:rPr>
          <w:rFonts w:ascii="Corbel" w:hAnsi="Corbel"/>
          <w:sz w:val="20"/>
          <w:szCs w:val="20"/>
        </w:rPr>
        <w:t xml:space="preserve">Piero, </w:t>
      </w:r>
      <w:proofErr w:type="spellStart"/>
      <w:r w:rsidRPr="007635C0">
        <w:rPr>
          <w:rFonts w:ascii="Corbel" w:hAnsi="Corbel"/>
          <w:sz w:val="20"/>
          <w:szCs w:val="20"/>
        </w:rPr>
        <w:t>Boitani</w:t>
      </w:r>
      <w:proofErr w:type="spellEnd"/>
      <w:r w:rsidRPr="007635C0">
        <w:rPr>
          <w:rFonts w:ascii="Corbel" w:hAnsi="Corbel"/>
          <w:sz w:val="20"/>
          <w:szCs w:val="20"/>
        </w:rPr>
        <w:t xml:space="preserve">, Mann, J, eds. </w:t>
      </w:r>
      <w:r w:rsidRPr="007635C0">
        <w:rPr>
          <w:rFonts w:ascii="Corbel" w:hAnsi="Corbel"/>
          <w:i/>
          <w:sz w:val="20"/>
          <w:szCs w:val="20"/>
        </w:rPr>
        <w:t xml:space="preserve">The Cambridge Companion to Chaucer, </w:t>
      </w:r>
      <w:r w:rsidRPr="007635C0">
        <w:rPr>
          <w:rFonts w:ascii="Corbel" w:hAnsi="Corbel"/>
          <w:sz w:val="20"/>
          <w:szCs w:val="20"/>
        </w:rPr>
        <w:t>(Cambridge: Cambridge University Press, 2003)</w:t>
      </w:r>
      <w:r>
        <w:rPr>
          <w:rFonts w:ascii="Corbel" w:hAnsi="Corbel"/>
          <w:sz w:val="20"/>
          <w:szCs w:val="20"/>
        </w:rPr>
        <w:t>, p14.</w:t>
      </w:r>
    </w:p>
  </w:footnote>
  <w:footnote w:id="31">
    <w:p w:rsidR="00117255" w:rsidRPr="001837B7" w:rsidRDefault="00117255" w:rsidP="00117255">
      <w:pPr>
        <w:spacing w:line="240" w:lineRule="auto"/>
        <w:rPr>
          <w:rFonts w:ascii="Corbel" w:hAnsi="Corbel"/>
          <w:sz w:val="20"/>
          <w:szCs w:val="20"/>
        </w:rPr>
      </w:pPr>
      <w:r w:rsidRPr="005A38A7">
        <w:rPr>
          <w:rStyle w:val="FootnoteReference"/>
          <w:rFonts w:ascii="Corbel" w:hAnsi="Corbel"/>
        </w:rPr>
        <w:footnoteRef/>
      </w:r>
      <w:r w:rsidRPr="005A38A7">
        <w:rPr>
          <w:rFonts w:ascii="Corbel" w:hAnsi="Corbel"/>
        </w:rPr>
        <w:t xml:space="preserve"> </w:t>
      </w:r>
      <w:r w:rsidRPr="001837B7">
        <w:rPr>
          <w:rFonts w:ascii="Corbel" w:hAnsi="Corbel"/>
          <w:iCs/>
          <w:color w:val="000000"/>
          <w:sz w:val="20"/>
          <w:szCs w:val="20"/>
        </w:rPr>
        <w:t xml:space="preserve">Steven Kreis, </w:t>
      </w:r>
      <w:r w:rsidRPr="001837B7">
        <w:rPr>
          <w:rFonts w:ascii="Corbel" w:hAnsi="Corbel"/>
          <w:i/>
          <w:iCs/>
          <w:color w:val="000000"/>
          <w:sz w:val="20"/>
          <w:szCs w:val="20"/>
        </w:rPr>
        <w:t xml:space="preserve">The Death of Wat Tyler 1381, </w:t>
      </w:r>
      <w:r w:rsidRPr="001837B7">
        <w:rPr>
          <w:rFonts w:ascii="Corbel" w:hAnsi="Corbel"/>
          <w:iCs/>
          <w:color w:val="000000"/>
          <w:sz w:val="20"/>
          <w:szCs w:val="20"/>
        </w:rPr>
        <w:t>2006, available at &lt;</w:t>
      </w:r>
      <w:hyperlink r:id="rId12" w:history="1">
        <w:r w:rsidRPr="001837B7">
          <w:rPr>
            <w:rStyle w:val="Hyperlink"/>
            <w:rFonts w:ascii="Corbel" w:hAnsi="Corbel"/>
            <w:sz w:val="20"/>
            <w:szCs w:val="20"/>
          </w:rPr>
          <w:t>http://www.historyguide.org/ancient/wat_tyler.html</w:t>
        </w:r>
      </w:hyperlink>
      <w:r w:rsidRPr="001837B7">
        <w:rPr>
          <w:rFonts w:ascii="Corbel" w:hAnsi="Corbel"/>
          <w:sz w:val="20"/>
          <w:szCs w:val="20"/>
        </w:rPr>
        <w:t>&gt; accessed 13.10.2018.</w:t>
      </w:r>
    </w:p>
  </w:footnote>
  <w:footnote w:id="32">
    <w:p w:rsidR="00117255" w:rsidRPr="001837B7" w:rsidRDefault="00117255" w:rsidP="00117255">
      <w:pPr>
        <w:spacing w:after="0" w:line="240" w:lineRule="auto"/>
        <w:rPr>
          <w:rFonts w:ascii="Corbel" w:hAnsi="Corbel"/>
          <w:sz w:val="20"/>
          <w:szCs w:val="20"/>
        </w:rPr>
      </w:pPr>
      <w:r w:rsidRPr="001837B7">
        <w:rPr>
          <w:rStyle w:val="FootnoteReference"/>
          <w:rFonts w:ascii="Corbel" w:hAnsi="Corbel"/>
          <w:sz w:val="20"/>
          <w:szCs w:val="20"/>
        </w:rPr>
        <w:footnoteRef/>
      </w:r>
      <w:r w:rsidRPr="001837B7">
        <w:rPr>
          <w:rFonts w:ascii="Corbel" w:hAnsi="Corbel"/>
          <w:sz w:val="20"/>
          <w:szCs w:val="20"/>
        </w:rPr>
        <w:t xml:space="preserve"> </w:t>
      </w:r>
      <w:r w:rsidRPr="001837B7">
        <w:rPr>
          <w:rFonts w:ascii="Corbel" w:eastAsia="Times New Roman" w:hAnsi="Corbel" w:cs="Arial"/>
          <w:color w:val="404040"/>
          <w:sz w:val="20"/>
          <w:szCs w:val="20"/>
          <w:lang w:eastAsia="en-GB"/>
        </w:rPr>
        <w:t xml:space="preserve">American Heritage® Dictionary of the English Language, Fifth Edition. Copyright © 2016 by Houghton Mifflin Harcourt Publishing Company. Published by Houghton Mifflin Harcourt Publishing Company, available at &lt; </w:t>
      </w:r>
      <w:hyperlink r:id="rId13" w:history="1">
        <w:r w:rsidRPr="001837B7">
          <w:rPr>
            <w:rStyle w:val="Hyperlink"/>
            <w:rFonts w:ascii="Corbel" w:eastAsia="Times New Roman" w:hAnsi="Corbel" w:cs="Arial"/>
            <w:sz w:val="20"/>
            <w:szCs w:val="20"/>
            <w:lang w:eastAsia="en-GB"/>
          </w:rPr>
          <w:t>https://www.thefreedictionary.com/pardoner</w:t>
        </w:r>
      </w:hyperlink>
      <w:r w:rsidRPr="001837B7">
        <w:rPr>
          <w:rFonts w:ascii="Corbel" w:eastAsia="Times New Roman" w:hAnsi="Corbel" w:cs="Arial"/>
          <w:color w:val="404040"/>
          <w:sz w:val="20"/>
          <w:szCs w:val="20"/>
          <w:lang w:eastAsia="en-GB"/>
        </w:rPr>
        <w:t xml:space="preserve"> &gt; accessed 13.10.2018.</w:t>
      </w:r>
    </w:p>
  </w:footnote>
  <w:footnote w:id="33">
    <w:p w:rsidR="00117255" w:rsidRPr="001837B7" w:rsidRDefault="00117255" w:rsidP="00117255">
      <w:pPr>
        <w:spacing w:line="240" w:lineRule="auto"/>
        <w:rPr>
          <w:rFonts w:ascii="Corbel" w:hAnsi="Corbel"/>
          <w:sz w:val="20"/>
          <w:szCs w:val="20"/>
        </w:rPr>
      </w:pPr>
      <w:r w:rsidRPr="001837B7">
        <w:rPr>
          <w:rStyle w:val="FootnoteReference"/>
          <w:rFonts w:ascii="Corbel" w:hAnsi="Corbel"/>
          <w:sz w:val="20"/>
          <w:szCs w:val="20"/>
        </w:rPr>
        <w:footnoteRef/>
      </w:r>
      <w:r w:rsidRPr="001837B7">
        <w:rPr>
          <w:rFonts w:ascii="Corbel" w:hAnsi="Corbel"/>
          <w:sz w:val="20"/>
          <w:szCs w:val="20"/>
        </w:rPr>
        <w:t xml:space="preserve"> </w:t>
      </w:r>
      <w:bookmarkStart w:id="5" w:name="_Hlk527223428"/>
      <w:r w:rsidRPr="001837B7">
        <w:rPr>
          <w:rFonts w:ascii="Corbel" w:hAnsi="Corbel"/>
          <w:sz w:val="20"/>
          <w:szCs w:val="20"/>
        </w:rPr>
        <w:t xml:space="preserve">Martin </w:t>
      </w:r>
      <w:proofErr w:type="gramStart"/>
      <w:r w:rsidRPr="001837B7">
        <w:rPr>
          <w:rFonts w:ascii="Corbel" w:hAnsi="Corbel" w:cs="Arial"/>
          <w:color w:val="333333"/>
          <w:sz w:val="20"/>
          <w:szCs w:val="20"/>
        </w:rPr>
        <w:t>Stevens,  Kathleen</w:t>
      </w:r>
      <w:proofErr w:type="gramEnd"/>
      <w:r w:rsidRPr="001837B7">
        <w:rPr>
          <w:rFonts w:ascii="Corbel" w:hAnsi="Corbel" w:cs="Arial"/>
          <w:color w:val="333333"/>
          <w:sz w:val="20"/>
          <w:szCs w:val="20"/>
        </w:rPr>
        <w:t xml:space="preserve"> Falvey. “Substance, Accident, and Transformations: A Reading of the ‘Pardoner's Tale.’” </w:t>
      </w:r>
      <w:r w:rsidRPr="001837B7">
        <w:rPr>
          <w:rFonts w:ascii="Corbel" w:hAnsi="Corbel" w:cs="Arial"/>
          <w:i/>
          <w:iCs/>
          <w:color w:val="333333"/>
          <w:sz w:val="20"/>
          <w:szCs w:val="20"/>
        </w:rPr>
        <w:t>The Chaucer Review</w:t>
      </w:r>
      <w:r w:rsidRPr="001837B7">
        <w:rPr>
          <w:rFonts w:ascii="Corbel" w:hAnsi="Corbel" w:cs="Arial"/>
          <w:color w:val="333333"/>
          <w:sz w:val="20"/>
          <w:szCs w:val="20"/>
        </w:rPr>
        <w:t xml:space="preserve">, vol. 17, no. 2, 1982, pp. 142–158. </w:t>
      </w:r>
      <w:r w:rsidRPr="001837B7">
        <w:rPr>
          <w:rFonts w:ascii="Corbel" w:hAnsi="Corbel" w:cs="Arial"/>
          <w:i/>
          <w:iCs/>
          <w:color w:val="333333"/>
          <w:sz w:val="20"/>
          <w:szCs w:val="20"/>
        </w:rPr>
        <w:t>JSTOR</w:t>
      </w:r>
      <w:r w:rsidRPr="001837B7">
        <w:rPr>
          <w:rFonts w:ascii="Corbel" w:hAnsi="Corbel" w:cs="Arial"/>
          <w:color w:val="333333"/>
          <w:sz w:val="20"/>
          <w:szCs w:val="20"/>
        </w:rPr>
        <w:t>, JSTOR, &lt;</w:t>
      </w:r>
      <w:hyperlink r:id="rId14" w:history="1">
        <w:r w:rsidRPr="001837B7">
          <w:rPr>
            <w:rStyle w:val="Hyperlink"/>
            <w:rFonts w:ascii="Corbel" w:hAnsi="Corbel" w:cs="Arial"/>
            <w:sz w:val="20"/>
            <w:szCs w:val="20"/>
          </w:rPr>
          <w:t>www.jstor.org/stable/25093824</w:t>
        </w:r>
      </w:hyperlink>
      <w:r w:rsidRPr="001837B7">
        <w:rPr>
          <w:rStyle w:val="Hyperlink"/>
          <w:rFonts w:ascii="Corbel" w:hAnsi="Corbel" w:cs="Arial"/>
          <w:sz w:val="20"/>
          <w:szCs w:val="20"/>
        </w:rPr>
        <w:t>&gt;</w:t>
      </w:r>
      <w:r w:rsidRPr="001837B7">
        <w:rPr>
          <w:rFonts w:ascii="Corbel" w:hAnsi="Corbel" w:cs="Arial"/>
          <w:color w:val="333333"/>
          <w:sz w:val="20"/>
          <w:szCs w:val="20"/>
        </w:rPr>
        <w:t>, p28, accessed 10.10.2018.</w:t>
      </w:r>
    </w:p>
    <w:bookmarkEnd w:id="5"/>
    <w:p w:rsidR="00117255" w:rsidRDefault="00117255" w:rsidP="00117255">
      <w:pPr>
        <w:spacing w:line="240" w:lineRule="auto"/>
      </w:pPr>
      <w:r w:rsidRPr="00270E71">
        <w:rPr>
          <w:rFonts w:ascii="Corbel" w:eastAsia="Times New Roman" w:hAnsi="Corbel" w:cs="Times New Roman"/>
          <w:bCs/>
          <w:sz w:val="20"/>
          <w:szCs w:val="20"/>
          <w:lang w:eastAsia="en-GB"/>
        </w:rPr>
        <w:t xml:space="preserve">Lee W. Patterson, Chaucerian Confession: </w:t>
      </w:r>
      <w:r w:rsidRPr="00270E71">
        <w:rPr>
          <w:rFonts w:ascii="Corbel" w:eastAsia="Times New Roman" w:hAnsi="Corbel" w:cs="Times New Roman"/>
          <w:bCs/>
          <w:iCs/>
          <w:sz w:val="20"/>
          <w:szCs w:val="20"/>
          <w:lang w:eastAsia="en-GB"/>
        </w:rPr>
        <w:t xml:space="preserve">Penitential Literature and the Pardoner, </w:t>
      </w:r>
      <w:r w:rsidRPr="00270E71">
        <w:rPr>
          <w:rFonts w:ascii="Corbel" w:eastAsia="Times New Roman" w:hAnsi="Corbel" w:cs="Times New Roman"/>
          <w:b/>
          <w:bCs/>
          <w:i/>
          <w:iCs/>
          <w:color w:val="000000"/>
          <w:sz w:val="20"/>
          <w:szCs w:val="20"/>
          <w:lang w:eastAsia="en-GB"/>
        </w:rPr>
        <w:t xml:space="preserve">Printed from </w:t>
      </w:r>
      <w:proofErr w:type="spellStart"/>
      <w:r w:rsidRPr="00270E71">
        <w:rPr>
          <w:rFonts w:ascii="Corbel" w:eastAsia="Times New Roman" w:hAnsi="Corbel" w:cs="Times New Roman"/>
          <w:b/>
          <w:bCs/>
          <w:i/>
          <w:iCs/>
          <w:color w:val="000000"/>
          <w:sz w:val="20"/>
          <w:szCs w:val="20"/>
          <w:lang w:eastAsia="en-GB"/>
        </w:rPr>
        <w:t>Medievalia</w:t>
      </w:r>
      <w:proofErr w:type="spellEnd"/>
      <w:r w:rsidRPr="00270E71">
        <w:rPr>
          <w:rFonts w:ascii="Corbel" w:eastAsia="Times New Roman" w:hAnsi="Corbel" w:cs="Times New Roman"/>
          <w:b/>
          <w:bCs/>
          <w:i/>
          <w:iCs/>
          <w:color w:val="000000"/>
          <w:sz w:val="20"/>
          <w:szCs w:val="20"/>
          <w:lang w:eastAsia="en-GB"/>
        </w:rPr>
        <w:t xml:space="preserve"> et </w:t>
      </w:r>
      <w:proofErr w:type="spellStart"/>
      <w:r w:rsidRPr="00270E71">
        <w:rPr>
          <w:rFonts w:ascii="Corbel" w:eastAsia="Times New Roman" w:hAnsi="Corbel" w:cs="Times New Roman"/>
          <w:b/>
          <w:bCs/>
          <w:i/>
          <w:iCs/>
          <w:color w:val="000000"/>
          <w:sz w:val="20"/>
          <w:szCs w:val="20"/>
          <w:lang w:eastAsia="en-GB"/>
        </w:rPr>
        <w:t>Humanistica</w:t>
      </w:r>
      <w:proofErr w:type="spellEnd"/>
      <w:r w:rsidRPr="00270E71">
        <w:rPr>
          <w:rFonts w:ascii="Corbel" w:eastAsia="Times New Roman" w:hAnsi="Corbel" w:cs="Times New Roman"/>
          <w:b/>
          <w:bCs/>
          <w:i/>
          <w:iCs/>
          <w:color w:val="000000"/>
          <w:sz w:val="20"/>
          <w:szCs w:val="20"/>
          <w:lang w:eastAsia="en-GB"/>
        </w:rPr>
        <w:t xml:space="preserve"> </w:t>
      </w:r>
      <w:r w:rsidRPr="00270E71">
        <w:rPr>
          <w:rFonts w:ascii="Corbel" w:eastAsia="Times New Roman" w:hAnsi="Corbel" w:cs="Times New Roman"/>
          <w:bCs/>
          <w:iCs/>
          <w:color w:val="000000"/>
          <w:sz w:val="20"/>
          <w:szCs w:val="20"/>
          <w:lang w:eastAsia="en-GB"/>
        </w:rPr>
        <w:t>7 (1976), p166,</w:t>
      </w:r>
      <w:r w:rsidRPr="00270E71">
        <w:rPr>
          <w:rFonts w:ascii="Corbel" w:eastAsia="Times New Roman" w:hAnsi="Corbel" w:cs="Times New Roman"/>
          <w:b/>
          <w:bCs/>
          <w:i/>
          <w:iCs/>
          <w:color w:val="000000"/>
          <w:sz w:val="20"/>
          <w:szCs w:val="20"/>
          <w:lang w:eastAsia="en-GB"/>
        </w:rPr>
        <w:t xml:space="preserve"> </w:t>
      </w:r>
      <w:r w:rsidRPr="00270E71">
        <w:rPr>
          <w:rFonts w:ascii="Corbel" w:eastAsia="Times New Roman" w:hAnsi="Corbel" w:cs="Times New Roman"/>
          <w:bCs/>
          <w:iCs/>
          <w:color w:val="000000"/>
          <w:sz w:val="20"/>
          <w:szCs w:val="20"/>
          <w:lang w:eastAsia="en-GB"/>
        </w:rPr>
        <w:t>available at&lt;</w:t>
      </w:r>
      <w:r w:rsidRPr="00270E71">
        <w:rPr>
          <w:rFonts w:ascii="Corbel" w:eastAsia="Times New Roman" w:hAnsi="Corbel" w:cs="Times New Roman"/>
          <w:b/>
          <w:bCs/>
          <w:i/>
          <w:iCs/>
          <w:color w:val="000000"/>
          <w:sz w:val="20"/>
          <w:szCs w:val="20"/>
          <w:lang w:eastAsia="en-GB"/>
        </w:rPr>
        <w:t xml:space="preserve">, </w:t>
      </w:r>
      <w:r w:rsidRPr="00270E71">
        <w:rPr>
          <w:rStyle w:val="Hyperlink"/>
          <w:rFonts w:ascii="Corbel" w:hAnsi="Corbel"/>
          <w:b/>
          <w:sz w:val="20"/>
          <w:szCs w:val="20"/>
        </w:rPr>
        <w:t xml:space="preserve"> </w:t>
      </w:r>
      <w:hyperlink r:id="rId15" w:history="1">
        <w:r w:rsidRPr="00270E71">
          <w:rPr>
            <w:rStyle w:val="Hyperlink"/>
            <w:rFonts w:ascii="Corbel" w:hAnsi="Corbel"/>
            <w:b/>
            <w:sz w:val="20"/>
            <w:szCs w:val="20"/>
          </w:rPr>
          <w:t>http://sites.fas.harvard.edu/~chaucer/canttales/pardt/pat-pard.htm</w:t>
        </w:r>
      </w:hyperlink>
      <w:r w:rsidRPr="00270E71">
        <w:rPr>
          <w:rFonts w:ascii="Corbel" w:hAnsi="Corbel"/>
          <w:b/>
          <w:color w:val="FF0000"/>
          <w:sz w:val="20"/>
          <w:szCs w:val="20"/>
          <w:u w:val="single"/>
        </w:rPr>
        <w:t xml:space="preserve"> </w:t>
      </w:r>
      <w:r w:rsidRPr="00270E71">
        <w:rPr>
          <w:rFonts w:ascii="Corbel" w:hAnsi="Corbel"/>
          <w:sz w:val="20"/>
          <w:szCs w:val="20"/>
        </w:rPr>
        <w:t xml:space="preserve">&gt; accessed 09.10.2018. </w:t>
      </w:r>
    </w:p>
  </w:footnote>
  <w:footnote w:id="34">
    <w:p w:rsidR="00117255" w:rsidRDefault="00117255" w:rsidP="00117255">
      <w:pPr>
        <w:spacing w:line="240" w:lineRule="auto"/>
      </w:pPr>
      <w:r>
        <w:rPr>
          <w:rStyle w:val="FootnoteReference"/>
        </w:rPr>
        <w:footnoteRef/>
      </w:r>
      <w:r>
        <w:t xml:space="preserve"> </w:t>
      </w:r>
      <w:r w:rsidRPr="00270E71">
        <w:rPr>
          <w:rFonts w:ascii="Corbel" w:eastAsia="Times New Roman" w:hAnsi="Corbel" w:cs="Times New Roman"/>
          <w:bCs/>
          <w:sz w:val="20"/>
          <w:szCs w:val="20"/>
          <w:lang w:eastAsia="en-GB"/>
        </w:rPr>
        <w:t xml:space="preserve">Lee W. Patterson, </w:t>
      </w:r>
      <w:r>
        <w:rPr>
          <w:rFonts w:ascii="Corbel" w:eastAsia="Times New Roman" w:hAnsi="Corbel" w:cs="Times New Roman"/>
          <w:bCs/>
          <w:sz w:val="20"/>
          <w:szCs w:val="20"/>
          <w:lang w:eastAsia="en-GB"/>
        </w:rPr>
        <w:t>‘</w:t>
      </w:r>
      <w:r w:rsidRPr="00270E71">
        <w:rPr>
          <w:rFonts w:ascii="Corbel" w:eastAsia="Times New Roman" w:hAnsi="Corbel" w:cs="Times New Roman"/>
          <w:bCs/>
          <w:sz w:val="20"/>
          <w:szCs w:val="20"/>
          <w:lang w:eastAsia="en-GB"/>
        </w:rPr>
        <w:t xml:space="preserve">Chaucerian Confession: </w:t>
      </w:r>
      <w:r w:rsidRPr="00270E71">
        <w:rPr>
          <w:rFonts w:ascii="Corbel" w:eastAsia="Times New Roman" w:hAnsi="Corbel" w:cs="Times New Roman"/>
          <w:bCs/>
          <w:iCs/>
          <w:sz w:val="20"/>
          <w:szCs w:val="20"/>
          <w:lang w:eastAsia="en-GB"/>
        </w:rPr>
        <w:t>Penitential Literature and the Pardoner</w:t>
      </w:r>
      <w:r>
        <w:rPr>
          <w:rFonts w:ascii="Corbel" w:eastAsia="Times New Roman" w:hAnsi="Corbel" w:cs="Times New Roman"/>
          <w:bCs/>
          <w:iCs/>
          <w:sz w:val="20"/>
          <w:szCs w:val="20"/>
          <w:lang w:eastAsia="en-GB"/>
        </w:rPr>
        <w:t>’</w:t>
      </w:r>
      <w:r w:rsidRPr="00270E71">
        <w:rPr>
          <w:rFonts w:ascii="Corbel" w:eastAsia="Times New Roman" w:hAnsi="Corbel" w:cs="Times New Roman"/>
          <w:bCs/>
          <w:iCs/>
          <w:sz w:val="20"/>
          <w:szCs w:val="20"/>
          <w:lang w:eastAsia="en-GB"/>
        </w:rPr>
        <w:t xml:space="preserve">, </w:t>
      </w:r>
      <w:r w:rsidRPr="00862CFD">
        <w:rPr>
          <w:rFonts w:ascii="Corbel" w:eastAsia="Times New Roman" w:hAnsi="Corbel" w:cs="Times New Roman"/>
          <w:bCs/>
          <w:i/>
          <w:iCs/>
          <w:color w:val="000000"/>
          <w:sz w:val="20"/>
          <w:szCs w:val="20"/>
          <w:lang w:eastAsia="en-GB"/>
        </w:rPr>
        <w:t xml:space="preserve">Printed from </w:t>
      </w:r>
      <w:proofErr w:type="spellStart"/>
      <w:r w:rsidRPr="00862CFD">
        <w:rPr>
          <w:rFonts w:ascii="Corbel" w:eastAsia="Times New Roman" w:hAnsi="Corbel" w:cs="Times New Roman"/>
          <w:bCs/>
          <w:i/>
          <w:iCs/>
          <w:color w:val="000000"/>
          <w:sz w:val="20"/>
          <w:szCs w:val="20"/>
          <w:lang w:eastAsia="en-GB"/>
        </w:rPr>
        <w:t>Medievalia</w:t>
      </w:r>
      <w:proofErr w:type="spellEnd"/>
      <w:r w:rsidRPr="00862CFD">
        <w:rPr>
          <w:rFonts w:ascii="Corbel" w:eastAsia="Times New Roman" w:hAnsi="Corbel" w:cs="Times New Roman"/>
          <w:bCs/>
          <w:i/>
          <w:iCs/>
          <w:color w:val="000000"/>
          <w:sz w:val="20"/>
          <w:szCs w:val="20"/>
          <w:lang w:eastAsia="en-GB"/>
        </w:rPr>
        <w:t xml:space="preserve"> et </w:t>
      </w:r>
      <w:proofErr w:type="spellStart"/>
      <w:r w:rsidRPr="00862CFD">
        <w:rPr>
          <w:rFonts w:ascii="Corbel" w:eastAsia="Times New Roman" w:hAnsi="Corbel" w:cs="Times New Roman"/>
          <w:bCs/>
          <w:i/>
          <w:iCs/>
          <w:color w:val="000000"/>
          <w:sz w:val="20"/>
          <w:szCs w:val="20"/>
          <w:lang w:eastAsia="en-GB"/>
        </w:rPr>
        <w:t>Humanistica</w:t>
      </w:r>
      <w:proofErr w:type="spellEnd"/>
      <w:r w:rsidRPr="00862CFD">
        <w:rPr>
          <w:rFonts w:ascii="Corbel" w:eastAsia="Times New Roman" w:hAnsi="Corbel" w:cs="Times New Roman"/>
          <w:bCs/>
          <w:i/>
          <w:iCs/>
          <w:color w:val="000000"/>
          <w:sz w:val="20"/>
          <w:szCs w:val="20"/>
          <w:lang w:eastAsia="en-GB"/>
        </w:rPr>
        <w:t xml:space="preserve"> </w:t>
      </w:r>
      <w:r w:rsidRPr="00862CFD">
        <w:rPr>
          <w:rFonts w:ascii="Corbel" w:eastAsia="Times New Roman" w:hAnsi="Corbel" w:cs="Times New Roman"/>
          <w:bCs/>
          <w:iCs/>
          <w:color w:val="000000"/>
          <w:sz w:val="20"/>
          <w:szCs w:val="20"/>
          <w:lang w:eastAsia="en-GB"/>
        </w:rPr>
        <w:t>7 (1976), p166,</w:t>
      </w:r>
      <w:r w:rsidRPr="00862CFD">
        <w:rPr>
          <w:rFonts w:ascii="Corbel" w:eastAsia="Times New Roman" w:hAnsi="Corbel" w:cs="Times New Roman"/>
          <w:bCs/>
          <w:i/>
          <w:iCs/>
          <w:color w:val="000000"/>
          <w:sz w:val="20"/>
          <w:szCs w:val="20"/>
          <w:lang w:eastAsia="en-GB"/>
        </w:rPr>
        <w:t xml:space="preserve"> </w:t>
      </w:r>
      <w:r w:rsidRPr="00862CFD">
        <w:rPr>
          <w:rFonts w:ascii="Corbel" w:eastAsia="Times New Roman" w:hAnsi="Corbel" w:cs="Times New Roman"/>
          <w:bCs/>
          <w:iCs/>
          <w:color w:val="000000"/>
          <w:sz w:val="20"/>
          <w:szCs w:val="20"/>
          <w:lang w:eastAsia="en-GB"/>
        </w:rPr>
        <w:t>available at</w:t>
      </w:r>
      <w:r w:rsidRPr="00270E71">
        <w:rPr>
          <w:rFonts w:ascii="Corbel" w:eastAsia="Times New Roman" w:hAnsi="Corbel" w:cs="Times New Roman"/>
          <w:b/>
          <w:bCs/>
          <w:i/>
          <w:iCs/>
          <w:color w:val="000000"/>
          <w:sz w:val="20"/>
          <w:szCs w:val="20"/>
          <w:lang w:eastAsia="en-GB"/>
        </w:rPr>
        <w:t xml:space="preserve"> </w:t>
      </w:r>
      <w:r w:rsidRPr="00270E71">
        <w:rPr>
          <w:rStyle w:val="Hyperlink"/>
          <w:rFonts w:ascii="Corbel" w:hAnsi="Corbel"/>
          <w:b/>
          <w:sz w:val="20"/>
          <w:szCs w:val="20"/>
        </w:rPr>
        <w:t xml:space="preserve"> </w:t>
      </w:r>
      <w:r w:rsidR="00862CFD">
        <w:rPr>
          <w:rStyle w:val="Hyperlink"/>
          <w:rFonts w:ascii="Corbel" w:hAnsi="Corbel"/>
          <w:b/>
          <w:sz w:val="20"/>
          <w:szCs w:val="20"/>
        </w:rPr>
        <w:t>&lt;</w:t>
      </w:r>
      <w:hyperlink r:id="rId16" w:history="1">
        <w:r w:rsidR="00862CFD" w:rsidRPr="00AD4745">
          <w:rPr>
            <w:rStyle w:val="Hyperlink"/>
            <w:rFonts w:ascii="Corbel" w:hAnsi="Corbel"/>
            <w:b/>
            <w:sz w:val="20"/>
            <w:szCs w:val="20"/>
          </w:rPr>
          <w:t>http://sites.fas.harvard.edu/~chaucer/canttales/pardt/pat-pard.htm</w:t>
        </w:r>
      </w:hyperlink>
      <w:r w:rsidRPr="00270E71">
        <w:rPr>
          <w:rFonts w:ascii="Corbel" w:hAnsi="Corbel"/>
          <w:b/>
          <w:color w:val="FF0000"/>
          <w:sz w:val="20"/>
          <w:szCs w:val="20"/>
          <w:u w:val="single"/>
        </w:rPr>
        <w:t xml:space="preserve"> </w:t>
      </w:r>
      <w:r w:rsidRPr="00270E71">
        <w:rPr>
          <w:rFonts w:ascii="Corbel" w:hAnsi="Corbel"/>
          <w:sz w:val="20"/>
          <w:szCs w:val="20"/>
        </w:rPr>
        <w:t xml:space="preserve">&gt; accessed 09.10.2018. </w:t>
      </w:r>
    </w:p>
  </w:footnote>
  <w:footnote w:id="35">
    <w:p w:rsidR="00117255" w:rsidRDefault="00117255" w:rsidP="00117255">
      <w:pPr>
        <w:pStyle w:val="FootnoteText"/>
      </w:pPr>
      <w:r>
        <w:rPr>
          <w:rStyle w:val="FootnoteReference"/>
        </w:rPr>
        <w:footnoteRef/>
      </w:r>
      <w:r>
        <w:t xml:space="preserve">   Mike </w:t>
      </w:r>
      <w:proofErr w:type="spellStart"/>
      <w:r>
        <w:t>Ibeji</w:t>
      </w:r>
      <w:proofErr w:type="spellEnd"/>
      <w:r w:rsidRPr="00ED08D5">
        <w:rPr>
          <w:i/>
        </w:rPr>
        <w:t>, Black Death</w:t>
      </w:r>
      <w:r>
        <w:rPr>
          <w:i/>
        </w:rPr>
        <w:t xml:space="preserve">, </w:t>
      </w:r>
      <w:r>
        <w:t xml:space="preserve">03.10.2011, available at &lt; </w:t>
      </w:r>
      <w:hyperlink r:id="rId17" w:history="1">
        <w:r w:rsidRPr="000F24B5">
          <w:rPr>
            <w:rStyle w:val="Hyperlink"/>
          </w:rPr>
          <w:t>www.bbc.co.uk/history</w:t>
        </w:r>
      </w:hyperlink>
      <w:r>
        <w:t xml:space="preserve">&gt; accessed 29.09.18. </w:t>
      </w:r>
    </w:p>
  </w:footnote>
  <w:footnote w:id="36">
    <w:p w:rsidR="00117255" w:rsidRPr="00760663" w:rsidRDefault="00117255" w:rsidP="00117255">
      <w:pPr>
        <w:pStyle w:val="FootnoteText"/>
      </w:pPr>
      <w:r>
        <w:rPr>
          <w:rStyle w:val="FootnoteReference"/>
        </w:rPr>
        <w:footnoteRef/>
      </w:r>
      <w:r>
        <w:t xml:space="preserve"> </w:t>
      </w:r>
      <w:bookmarkStart w:id="6" w:name="_Hlk527221540"/>
      <w:r>
        <w:t xml:space="preserve">Peter G. </w:t>
      </w:r>
      <w:proofErr w:type="spellStart"/>
      <w:r>
        <w:t>Beidler</w:t>
      </w:r>
      <w:proofErr w:type="spellEnd"/>
      <w:r>
        <w:t>, ‘The Plague and Chaucer’s Pardoner’, The</w:t>
      </w:r>
      <w:r>
        <w:rPr>
          <w:i/>
        </w:rPr>
        <w:t xml:space="preserve"> Chaucer Review</w:t>
      </w:r>
      <w:r w:rsidRPr="00760663">
        <w:t xml:space="preserve">, vol 16, </w:t>
      </w:r>
      <w:r>
        <w:t>no 3, (Winter 1982), pp257-269.</w:t>
      </w:r>
    </w:p>
    <w:bookmarkEnd w:id="6"/>
  </w:footnote>
  <w:footnote w:id="37">
    <w:p w:rsidR="00117255" w:rsidRDefault="00117255" w:rsidP="00117255">
      <w:pPr>
        <w:pStyle w:val="FootnoteText"/>
      </w:pPr>
      <w:r>
        <w:rPr>
          <w:rStyle w:val="FootnoteReference"/>
        </w:rPr>
        <w:footnoteRef/>
      </w:r>
      <w:r>
        <w:t xml:space="preserve"> The Pardoner drags the Pilgrims to a Tavern, where there is drinking, dancing, gambling, swearing – killing Christ again, whores.</w:t>
      </w:r>
    </w:p>
  </w:footnote>
  <w:footnote w:id="38">
    <w:p w:rsidR="00117255" w:rsidRPr="0085515E" w:rsidRDefault="00117255" w:rsidP="00117255">
      <w:pPr>
        <w:pStyle w:val="FootnoteText"/>
      </w:pPr>
      <w:r>
        <w:rPr>
          <w:rStyle w:val="FootnoteReference"/>
        </w:rPr>
        <w:footnoteRef/>
      </w:r>
      <w:r>
        <w:t xml:space="preserve"> Melvin Storm, ‘The Pardoner’s Invitation: Quaestor’s Bag or Becket’s Shrine?’ </w:t>
      </w:r>
      <w:r>
        <w:rPr>
          <w:i/>
        </w:rPr>
        <w:t xml:space="preserve">PMLA, </w:t>
      </w:r>
      <w:r>
        <w:t xml:space="preserve">vol97, no 5, (Oct 1982), pp810-818. </w:t>
      </w:r>
    </w:p>
  </w:footnote>
  <w:footnote w:id="39">
    <w:p w:rsidR="00117255" w:rsidRPr="001837B7" w:rsidRDefault="00117255" w:rsidP="00117255">
      <w:pPr>
        <w:spacing w:line="240" w:lineRule="auto"/>
        <w:rPr>
          <w:rFonts w:ascii="Corbel" w:hAnsi="Corbel"/>
          <w:sz w:val="20"/>
          <w:szCs w:val="20"/>
        </w:rPr>
      </w:pPr>
      <w:r w:rsidRPr="001837B7">
        <w:rPr>
          <w:rStyle w:val="FootnoteReference"/>
          <w:rFonts w:ascii="Corbel" w:hAnsi="Corbel"/>
          <w:sz w:val="20"/>
          <w:szCs w:val="20"/>
        </w:rPr>
        <w:footnoteRef/>
      </w:r>
      <w:r w:rsidRPr="001837B7">
        <w:rPr>
          <w:rFonts w:ascii="Corbel" w:hAnsi="Corbel"/>
          <w:sz w:val="20"/>
          <w:szCs w:val="20"/>
        </w:rPr>
        <w:t xml:space="preserve"> W., A., Davenport, </w:t>
      </w:r>
      <w:r w:rsidRPr="001837B7">
        <w:rPr>
          <w:rFonts w:ascii="Corbel" w:hAnsi="Corbel"/>
          <w:i/>
          <w:sz w:val="20"/>
          <w:szCs w:val="20"/>
        </w:rPr>
        <w:t xml:space="preserve">Chaucer: Complaint and Narrative, </w:t>
      </w:r>
      <w:r w:rsidRPr="001837B7">
        <w:rPr>
          <w:rFonts w:ascii="Corbel" w:hAnsi="Corbel"/>
          <w:sz w:val="20"/>
          <w:szCs w:val="20"/>
        </w:rPr>
        <w:t>(Cambridge: D.S. Brewer, 1988), p58</w:t>
      </w:r>
      <w:r w:rsidR="00862CFD">
        <w:rPr>
          <w:rFonts w:ascii="Corbel" w:hAnsi="Corbel"/>
          <w:sz w:val="20"/>
          <w:szCs w:val="20"/>
        </w:rPr>
        <w:t>.</w:t>
      </w:r>
    </w:p>
  </w:footnote>
  <w:footnote w:id="40">
    <w:p w:rsidR="00117255" w:rsidRPr="001837B7" w:rsidRDefault="00117255" w:rsidP="00117255">
      <w:pPr>
        <w:spacing w:line="240" w:lineRule="auto"/>
        <w:rPr>
          <w:rFonts w:ascii="Corbel" w:hAnsi="Corbel"/>
          <w:sz w:val="20"/>
          <w:szCs w:val="20"/>
        </w:rPr>
      </w:pPr>
      <w:r w:rsidRPr="001837B7">
        <w:rPr>
          <w:rStyle w:val="FootnoteReference"/>
          <w:rFonts w:ascii="Corbel" w:hAnsi="Corbel"/>
          <w:sz w:val="20"/>
          <w:szCs w:val="20"/>
        </w:rPr>
        <w:footnoteRef/>
      </w:r>
      <w:r w:rsidRPr="001837B7">
        <w:rPr>
          <w:rFonts w:ascii="Corbel" w:hAnsi="Corbel"/>
          <w:sz w:val="20"/>
          <w:szCs w:val="20"/>
        </w:rPr>
        <w:t xml:space="preserve"> Jill Mann, </w:t>
      </w:r>
      <w:r w:rsidRPr="001837B7">
        <w:rPr>
          <w:rFonts w:ascii="Corbel" w:hAnsi="Corbel"/>
          <w:i/>
          <w:sz w:val="20"/>
          <w:szCs w:val="20"/>
        </w:rPr>
        <w:t xml:space="preserve">Chaucer in the Medieval Estates Satire, </w:t>
      </w:r>
      <w:r w:rsidRPr="001837B7">
        <w:rPr>
          <w:rFonts w:ascii="Corbel" w:hAnsi="Corbel"/>
          <w:sz w:val="20"/>
          <w:szCs w:val="20"/>
        </w:rPr>
        <w:t xml:space="preserve">(Cambridge: Cambridge University Press), 1973, p202 </w:t>
      </w:r>
      <w:r w:rsidRPr="001837B7">
        <w:rPr>
          <w:rFonts w:ascii="Corbel" w:hAnsi="Corbel"/>
          <w:b/>
          <w:sz w:val="20"/>
          <w:szCs w:val="20"/>
        </w:rPr>
        <w:t>in</w:t>
      </w:r>
      <w:bookmarkStart w:id="7" w:name="_Hlk527200687"/>
      <w:r w:rsidRPr="001837B7">
        <w:rPr>
          <w:rFonts w:ascii="Corbel" w:hAnsi="Corbel"/>
          <w:b/>
          <w:sz w:val="20"/>
          <w:szCs w:val="20"/>
        </w:rPr>
        <w:t xml:space="preserve"> </w:t>
      </w:r>
      <w:r w:rsidRPr="001837B7">
        <w:rPr>
          <w:rFonts w:ascii="Corbel" w:hAnsi="Corbel"/>
          <w:sz w:val="20"/>
          <w:szCs w:val="20"/>
        </w:rPr>
        <w:t xml:space="preserve">Piero, </w:t>
      </w:r>
      <w:proofErr w:type="spellStart"/>
      <w:r w:rsidRPr="001837B7">
        <w:rPr>
          <w:rFonts w:ascii="Corbel" w:hAnsi="Corbel"/>
          <w:sz w:val="20"/>
          <w:szCs w:val="20"/>
        </w:rPr>
        <w:t>Boitani</w:t>
      </w:r>
      <w:proofErr w:type="spellEnd"/>
      <w:r w:rsidRPr="001837B7">
        <w:rPr>
          <w:rFonts w:ascii="Corbel" w:hAnsi="Corbel"/>
          <w:sz w:val="20"/>
          <w:szCs w:val="20"/>
        </w:rPr>
        <w:t xml:space="preserve">, Mann, J, eds. </w:t>
      </w:r>
      <w:r w:rsidRPr="001837B7">
        <w:rPr>
          <w:rFonts w:ascii="Corbel" w:hAnsi="Corbel"/>
          <w:i/>
          <w:sz w:val="20"/>
          <w:szCs w:val="20"/>
        </w:rPr>
        <w:t xml:space="preserve">The Cambridge Companion to Chaucer, </w:t>
      </w:r>
      <w:r w:rsidRPr="001837B7">
        <w:rPr>
          <w:rFonts w:ascii="Corbel" w:hAnsi="Corbel"/>
          <w:sz w:val="20"/>
          <w:szCs w:val="20"/>
        </w:rPr>
        <w:t>(Cambridge: Cambridge University Press, 2003), p14.</w:t>
      </w:r>
      <w:bookmarkEnd w:id="7"/>
    </w:p>
  </w:footnote>
  <w:footnote w:id="41">
    <w:p w:rsidR="00117255" w:rsidRPr="001837B7" w:rsidRDefault="00117255" w:rsidP="00117255">
      <w:pPr>
        <w:pStyle w:val="FootnoteText"/>
        <w:rPr>
          <w:rFonts w:ascii="Corbel" w:hAnsi="Corbel"/>
        </w:rPr>
      </w:pPr>
      <w:r w:rsidRPr="001837B7">
        <w:rPr>
          <w:rStyle w:val="FootnoteReference"/>
          <w:rFonts w:ascii="Corbel" w:hAnsi="Corbel"/>
        </w:rPr>
        <w:footnoteRef/>
      </w:r>
      <w:r w:rsidRPr="001837B7">
        <w:rPr>
          <w:rFonts w:ascii="Corbel" w:hAnsi="Corbel"/>
        </w:rPr>
        <w:t xml:space="preserve"> Ibid p15.</w:t>
      </w:r>
    </w:p>
  </w:footnote>
  <w:footnote w:id="42">
    <w:p w:rsidR="00117255" w:rsidRPr="000119F7" w:rsidRDefault="00117255" w:rsidP="00117255">
      <w:pPr>
        <w:pStyle w:val="FootnoteText"/>
        <w:rPr>
          <w:rFonts w:ascii="Corbel" w:hAnsi="Corbel"/>
        </w:rPr>
      </w:pPr>
      <w:r w:rsidRPr="000119F7">
        <w:rPr>
          <w:rStyle w:val="FootnoteReference"/>
          <w:rFonts w:ascii="Corbel" w:hAnsi="Corbel"/>
        </w:rPr>
        <w:footnoteRef/>
      </w:r>
      <w:r w:rsidRPr="000119F7">
        <w:rPr>
          <w:rFonts w:ascii="Corbel" w:hAnsi="Corbel"/>
        </w:rPr>
        <w:t xml:space="preserve"> Peter G. </w:t>
      </w:r>
      <w:proofErr w:type="spellStart"/>
      <w:r w:rsidRPr="000119F7">
        <w:rPr>
          <w:rFonts w:ascii="Corbel" w:hAnsi="Corbel"/>
        </w:rPr>
        <w:t>Beidler</w:t>
      </w:r>
      <w:proofErr w:type="spellEnd"/>
      <w:r w:rsidRPr="000119F7">
        <w:rPr>
          <w:rFonts w:ascii="Corbel" w:hAnsi="Corbel"/>
        </w:rPr>
        <w:t>, ‘The Plague and Chaucer’s Pardoner’, The</w:t>
      </w:r>
      <w:r w:rsidRPr="000119F7">
        <w:rPr>
          <w:rFonts w:ascii="Corbel" w:hAnsi="Corbel"/>
          <w:i/>
        </w:rPr>
        <w:t xml:space="preserve"> Chaucer Review</w:t>
      </w:r>
      <w:r w:rsidRPr="000119F7">
        <w:rPr>
          <w:rFonts w:ascii="Corbel" w:hAnsi="Corbel"/>
        </w:rPr>
        <w:t>, vol 16, no 3, (Winter 1982), pp257-269.</w:t>
      </w:r>
    </w:p>
  </w:footnote>
  <w:footnote w:id="43">
    <w:p w:rsidR="00117255" w:rsidRPr="000119F7" w:rsidRDefault="00117255" w:rsidP="00117255">
      <w:pPr>
        <w:spacing w:line="240" w:lineRule="auto"/>
        <w:rPr>
          <w:rFonts w:ascii="Corbel" w:hAnsi="Corbel"/>
          <w:sz w:val="20"/>
          <w:szCs w:val="20"/>
        </w:rPr>
      </w:pPr>
      <w:r w:rsidRPr="000119F7">
        <w:rPr>
          <w:rStyle w:val="FootnoteReference"/>
          <w:rFonts w:ascii="Corbel" w:hAnsi="Corbel"/>
          <w:sz w:val="20"/>
          <w:szCs w:val="20"/>
        </w:rPr>
        <w:footnoteRef/>
      </w:r>
      <w:r w:rsidRPr="000119F7">
        <w:rPr>
          <w:rFonts w:ascii="Corbel" w:hAnsi="Corbel"/>
          <w:sz w:val="20"/>
          <w:szCs w:val="20"/>
        </w:rPr>
        <w:t xml:space="preserve"> Martin </w:t>
      </w:r>
      <w:r w:rsidRPr="000119F7">
        <w:rPr>
          <w:rFonts w:ascii="Corbel" w:hAnsi="Corbel" w:cs="Arial"/>
          <w:color w:val="333333"/>
          <w:sz w:val="20"/>
          <w:szCs w:val="20"/>
        </w:rPr>
        <w:t xml:space="preserve">Stevens, Kathleen Falvey. “Substance, Accident, and Transformations: A Reading of the ‘Pardoner's Tale.’” </w:t>
      </w:r>
      <w:r w:rsidRPr="000119F7">
        <w:rPr>
          <w:rFonts w:ascii="Corbel" w:hAnsi="Corbel" w:cs="Arial"/>
          <w:i/>
          <w:iCs/>
          <w:color w:val="333333"/>
          <w:sz w:val="20"/>
          <w:szCs w:val="20"/>
        </w:rPr>
        <w:t>The Chaucer Review</w:t>
      </w:r>
      <w:r w:rsidRPr="000119F7">
        <w:rPr>
          <w:rFonts w:ascii="Corbel" w:hAnsi="Corbel" w:cs="Arial"/>
          <w:color w:val="333333"/>
          <w:sz w:val="20"/>
          <w:szCs w:val="20"/>
        </w:rPr>
        <w:t xml:space="preserve">, vol. 17, no. 2, 1982, pp. 142–158. </w:t>
      </w:r>
      <w:r w:rsidRPr="000119F7">
        <w:rPr>
          <w:rFonts w:ascii="Corbel" w:hAnsi="Corbel" w:cs="Arial"/>
          <w:i/>
          <w:iCs/>
          <w:color w:val="333333"/>
          <w:sz w:val="20"/>
          <w:szCs w:val="20"/>
        </w:rPr>
        <w:t>JSTOR</w:t>
      </w:r>
      <w:r w:rsidRPr="000119F7">
        <w:rPr>
          <w:rFonts w:ascii="Corbel" w:hAnsi="Corbel" w:cs="Arial"/>
          <w:color w:val="333333"/>
          <w:sz w:val="20"/>
          <w:szCs w:val="20"/>
        </w:rPr>
        <w:t>, JSTOR, &lt;</w:t>
      </w:r>
      <w:hyperlink r:id="rId18" w:history="1">
        <w:r w:rsidRPr="000119F7">
          <w:rPr>
            <w:rStyle w:val="Hyperlink"/>
            <w:rFonts w:ascii="Corbel" w:hAnsi="Corbel" w:cs="Arial"/>
            <w:sz w:val="20"/>
            <w:szCs w:val="20"/>
          </w:rPr>
          <w:t>www.jstor.org/stable/25093824</w:t>
        </w:r>
      </w:hyperlink>
      <w:r w:rsidRPr="000119F7">
        <w:rPr>
          <w:rStyle w:val="Hyperlink"/>
          <w:rFonts w:ascii="Corbel" w:hAnsi="Corbel" w:cs="Arial"/>
          <w:sz w:val="20"/>
          <w:szCs w:val="20"/>
        </w:rPr>
        <w:t>&gt;</w:t>
      </w:r>
      <w:r w:rsidRPr="000119F7">
        <w:rPr>
          <w:rFonts w:ascii="Corbel" w:hAnsi="Corbel" w:cs="Arial"/>
          <w:color w:val="333333"/>
          <w:sz w:val="20"/>
          <w:szCs w:val="20"/>
        </w:rPr>
        <w:t>, p148, accessed 10.10.2018.</w:t>
      </w:r>
    </w:p>
    <w:p w:rsidR="00117255" w:rsidRDefault="00117255" w:rsidP="0011725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2CFD" w:rsidRPr="00862CFD" w:rsidRDefault="00862CFD">
    <w:pPr>
      <w:pStyle w:val="Header"/>
      <w:rPr>
        <w:rFonts w:ascii="Lucida Handwriting" w:hAnsi="Lucida Handwriting"/>
        <w:color w:val="CC3399"/>
        <w:sz w:val="24"/>
        <w:szCs w:val="24"/>
      </w:rPr>
    </w:pPr>
    <w:r w:rsidRPr="00862CFD">
      <w:rPr>
        <w:rFonts w:ascii="Lucida Handwriting" w:hAnsi="Lucida Handwriting"/>
        <w:color w:val="CC3399"/>
        <w:sz w:val="24"/>
        <w:szCs w:val="24"/>
      </w:rPr>
      <w:t xml:space="preserve">HPEN5001-2 </w:t>
    </w:r>
    <w:r w:rsidRPr="00862CFD">
      <w:rPr>
        <w:rFonts w:ascii="Lucida Handwriting" w:hAnsi="Lucida Handwriting"/>
        <w:color w:val="CC3399"/>
        <w:sz w:val="24"/>
        <w:szCs w:val="24"/>
      </w:rPr>
      <w:ptab w:relativeTo="margin" w:alignment="center" w:leader="none"/>
    </w:r>
    <w:r w:rsidRPr="00862CFD">
      <w:rPr>
        <w:rFonts w:ascii="Lucida Handwriting" w:hAnsi="Lucida Handwriting"/>
        <w:color w:val="CC3399"/>
        <w:sz w:val="24"/>
        <w:szCs w:val="24"/>
      </w:rPr>
      <w:ptab w:relativeTo="margin" w:alignment="right" w:leader="none"/>
    </w:r>
    <w:r w:rsidRPr="00862CFD">
      <w:rPr>
        <w:rFonts w:ascii="Lucida Handwriting" w:hAnsi="Lucida Handwriting"/>
        <w:color w:val="CC3399"/>
        <w:sz w:val="24"/>
        <w:szCs w:val="24"/>
      </w:rPr>
      <w:t>0202616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255"/>
    <w:rsid w:val="000D08B7"/>
    <w:rsid w:val="00117255"/>
    <w:rsid w:val="00165446"/>
    <w:rsid w:val="001659B9"/>
    <w:rsid w:val="00236E7C"/>
    <w:rsid w:val="00246641"/>
    <w:rsid w:val="002471E7"/>
    <w:rsid w:val="00286966"/>
    <w:rsid w:val="002A7343"/>
    <w:rsid w:val="002F4BC1"/>
    <w:rsid w:val="0034386F"/>
    <w:rsid w:val="003B53CF"/>
    <w:rsid w:val="00494730"/>
    <w:rsid w:val="004C2F63"/>
    <w:rsid w:val="0050276C"/>
    <w:rsid w:val="005377B6"/>
    <w:rsid w:val="005473C9"/>
    <w:rsid w:val="005E1FD6"/>
    <w:rsid w:val="00862CFD"/>
    <w:rsid w:val="008C0AD2"/>
    <w:rsid w:val="008D46F0"/>
    <w:rsid w:val="00965724"/>
    <w:rsid w:val="00A059F7"/>
    <w:rsid w:val="00A248C7"/>
    <w:rsid w:val="00A459FA"/>
    <w:rsid w:val="00A62A97"/>
    <w:rsid w:val="00AB0493"/>
    <w:rsid w:val="00B82C55"/>
    <w:rsid w:val="00BA54C3"/>
    <w:rsid w:val="00BF72E1"/>
    <w:rsid w:val="00C14CBC"/>
    <w:rsid w:val="00CB716E"/>
    <w:rsid w:val="00CD5898"/>
    <w:rsid w:val="00D65316"/>
    <w:rsid w:val="00E24A83"/>
    <w:rsid w:val="00E95E6B"/>
    <w:rsid w:val="00EB2999"/>
    <w:rsid w:val="00F337AA"/>
    <w:rsid w:val="00F76CEC"/>
    <w:rsid w:val="00FB2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AB14F"/>
  <w15:chartTrackingRefBased/>
  <w15:docId w15:val="{3C904874-EE2D-43A4-9465-492D30C2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7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17255"/>
    <w:pPr>
      <w:spacing w:after="0" w:line="240" w:lineRule="auto"/>
    </w:pPr>
    <w:rPr>
      <w:sz w:val="20"/>
      <w:szCs w:val="20"/>
    </w:rPr>
  </w:style>
  <w:style w:type="character" w:customStyle="1" w:styleId="FootnoteTextChar">
    <w:name w:val="Footnote Text Char"/>
    <w:basedOn w:val="DefaultParagraphFont"/>
    <w:link w:val="FootnoteText"/>
    <w:uiPriority w:val="99"/>
    <w:rsid w:val="00117255"/>
    <w:rPr>
      <w:sz w:val="20"/>
      <w:szCs w:val="20"/>
    </w:rPr>
  </w:style>
  <w:style w:type="character" w:styleId="FootnoteReference">
    <w:name w:val="footnote reference"/>
    <w:basedOn w:val="DefaultParagraphFont"/>
    <w:uiPriority w:val="99"/>
    <w:semiHidden/>
    <w:unhideWhenUsed/>
    <w:rsid w:val="00117255"/>
    <w:rPr>
      <w:vertAlign w:val="superscript"/>
    </w:rPr>
  </w:style>
  <w:style w:type="character" w:styleId="Hyperlink">
    <w:name w:val="Hyperlink"/>
    <w:basedOn w:val="DefaultParagraphFont"/>
    <w:uiPriority w:val="99"/>
    <w:unhideWhenUsed/>
    <w:rsid w:val="00117255"/>
    <w:rPr>
      <w:color w:val="0563C1" w:themeColor="hyperlink"/>
      <w:u w:val="single"/>
    </w:rPr>
  </w:style>
  <w:style w:type="paragraph" w:styleId="Header">
    <w:name w:val="header"/>
    <w:basedOn w:val="Normal"/>
    <w:link w:val="HeaderChar"/>
    <w:uiPriority w:val="99"/>
    <w:unhideWhenUsed/>
    <w:rsid w:val="00862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CFD"/>
  </w:style>
  <w:style w:type="paragraph" w:styleId="Footer">
    <w:name w:val="footer"/>
    <w:basedOn w:val="Normal"/>
    <w:link w:val="FooterChar"/>
    <w:uiPriority w:val="99"/>
    <w:unhideWhenUsed/>
    <w:rsid w:val="00862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CFD"/>
  </w:style>
  <w:style w:type="character" w:styleId="UnresolvedMention">
    <w:name w:val="Unresolved Mention"/>
    <w:basedOn w:val="DefaultParagraphFont"/>
    <w:uiPriority w:val="99"/>
    <w:semiHidden/>
    <w:unhideWhenUsed/>
    <w:rsid w:val="00862C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25093920" TargetMode="External"/><Relationship Id="rId13" Type="http://schemas.openxmlformats.org/officeDocument/2006/relationships/hyperlink" Target="https://www.thefreedictionary.com/pardoner" TargetMode="External"/><Relationship Id="rId18" Type="http://schemas.openxmlformats.org/officeDocument/2006/relationships/hyperlink" Target="http://www.jstor.org/stable/25093824" TargetMode="External"/><Relationship Id="rId3" Type="http://schemas.openxmlformats.org/officeDocument/2006/relationships/hyperlink" Target="https://www.britannica.com/e" TargetMode="External"/><Relationship Id="rId7" Type="http://schemas.openxmlformats.org/officeDocument/2006/relationships/hyperlink" Target="http://www.jstor.org/stable/25093920" TargetMode="External"/><Relationship Id="rId12" Type="http://schemas.openxmlformats.org/officeDocument/2006/relationships/hyperlink" Target="http://www.historyguide.org/ancient/wat_tyler.html" TargetMode="External"/><Relationship Id="rId17" Type="http://schemas.openxmlformats.org/officeDocument/2006/relationships/hyperlink" Target="http://www.bbc.co.uk/history" TargetMode="External"/><Relationship Id="rId2" Type="http://schemas.openxmlformats.org/officeDocument/2006/relationships/hyperlink" Target="http://www.bbc.co.uk/history" TargetMode="External"/><Relationship Id="rId16" Type="http://schemas.openxmlformats.org/officeDocument/2006/relationships/hyperlink" Target="http://sites.fas.harvard.edu/~chaucer/canttales/pardt/pat-pard.htm" TargetMode="External"/><Relationship Id="rId1" Type="http://schemas.openxmlformats.org/officeDocument/2006/relationships/hyperlink" Target="http://www.jstor.org/stable/3817150%20%3e%20%3eaccessed%20" TargetMode="External"/><Relationship Id="rId6" Type="http://schemas.openxmlformats.org/officeDocument/2006/relationships/hyperlink" Target="http://www.jstor.org/stable/25094204" TargetMode="External"/><Relationship Id="rId11" Type="http://schemas.openxmlformats.org/officeDocument/2006/relationships/hyperlink" Target="https://www.britannica.com/e" TargetMode="External"/><Relationship Id="rId5" Type="http://schemas.openxmlformats.org/officeDocument/2006/relationships/hyperlink" Target="http://sites.fas.harvard.edu/~chaucer/canttales/gp" TargetMode="External"/><Relationship Id="rId15" Type="http://schemas.openxmlformats.org/officeDocument/2006/relationships/hyperlink" Target="http://sites.fas.harvard.edu/~chaucer/canttales/pardt/pat-pard.htm" TargetMode="External"/><Relationship Id="rId10" Type="http://schemas.openxmlformats.org/officeDocument/2006/relationships/hyperlink" Target="http://www.jstor.org/stable/25095997" TargetMode="External"/><Relationship Id="rId4" Type="http://schemas.openxmlformats.org/officeDocument/2006/relationships/hyperlink" Target="https://www.christianitytoday.com/biblestudies/bible-answers/theology/our-first-english-bible.html" TargetMode="External"/><Relationship Id="rId9" Type="http://schemas.openxmlformats.org/officeDocument/2006/relationships/hyperlink" Target="http://www.jstor.org/stable/25095997" TargetMode="External"/><Relationship Id="rId14" Type="http://schemas.openxmlformats.org/officeDocument/2006/relationships/hyperlink" Target="http://www.jstor.org/stable/250938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13</Pages>
  <Words>2675</Words>
  <Characters>15249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35</cp:revision>
  <dcterms:created xsi:type="dcterms:W3CDTF">2018-10-13T19:18:00Z</dcterms:created>
  <dcterms:modified xsi:type="dcterms:W3CDTF">2018-10-13T23:43:00Z</dcterms:modified>
</cp:coreProperties>
</file>