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Heading3"/>
        <w:keepNext w:val="0"/>
        <w:keepLines w:val="0"/>
        <w:shd w:fill="ffffff" w:val="clear"/>
        <w:spacing w:before="280" w:line="480" w:lineRule="auto"/>
        <w:rPr>
          <w:rFonts w:ascii="Times New Roman" w:cs="Times New Roman" w:eastAsia="Times New Roman" w:hAnsi="Times New Roman"/>
          <w:color w:val="000000"/>
          <w:sz w:val="24"/>
          <w:szCs w:val="24"/>
          <w:highlight w:val="yellow"/>
        </w:rPr>
      </w:pPr>
      <w:bookmarkStart w:colFirst="0" w:colLast="0" w:name="_heading=h.g5n6zelk66e" w:id="0"/>
      <w:bookmarkEnd w:id="0"/>
      <w:r w:rsidDel="00000000" w:rsidR="00000000" w:rsidRPr="00000000">
        <w:rPr>
          <w:rtl w:val="0"/>
        </w:rPr>
      </w:r>
    </w:p>
    <w:p w:rsidR="00000000" w:rsidDel="00000000" w:rsidP="00000000" w:rsidRDefault="00000000" w:rsidRPr="00000000" w14:paraId="00000002">
      <w:pPr>
        <w:rPr>
          <w:rFonts w:ascii="Times New Roman" w:cs="Times New Roman" w:eastAsia="Times New Roman" w:hAnsi="Times New Roman"/>
          <w:sz w:val="24"/>
          <w:szCs w:val="24"/>
          <w:highlight w:val="yellow"/>
        </w:rPr>
      </w:pPr>
      <w:bookmarkStart w:colFirst="0" w:colLast="0" w:name="_heading=h.jtv7mdc9x3ys" w:id="1"/>
      <w:bookmarkEnd w:id="1"/>
      <w:r w:rsidDel="00000000" w:rsidR="00000000" w:rsidRPr="00000000">
        <w:rPr>
          <w:rtl w:val="0"/>
        </w:rPr>
      </w:r>
    </w:p>
    <w:p w:rsidR="00000000" w:rsidDel="00000000" w:rsidP="00000000" w:rsidRDefault="00000000" w:rsidRPr="00000000" w14:paraId="00000003">
      <w:pPr>
        <w:rPr>
          <w:rFonts w:ascii="Times New Roman" w:cs="Times New Roman" w:eastAsia="Times New Roman" w:hAnsi="Times New Roman"/>
          <w:sz w:val="24"/>
          <w:szCs w:val="24"/>
          <w:highlight w:val="yellow"/>
        </w:rPr>
      </w:pPr>
      <w:r w:rsidDel="00000000" w:rsidR="00000000" w:rsidRPr="00000000">
        <w:rPr>
          <w:rtl w:val="0"/>
        </w:rPr>
      </w:r>
    </w:p>
    <w:p w:rsidR="00000000" w:rsidDel="00000000" w:rsidP="00000000" w:rsidRDefault="00000000" w:rsidRPr="00000000" w14:paraId="00000004">
      <w:pPr>
        <w:spacing w:line="480" w:lineRule="auto"/>
        <w:rPr>
          <w:rFonts w:ascii="Times New Roman" w:cs="Times New Roman" w:eastAsia="Times New Roman" w:hAnsi="Times New Roman"/>
          <w:sz w:val="24"/>
          <w:szCs w:val="24"/>
          <w:highlight w:val="white"/>
        </w:rPr>
      </w:pPr>
      <w:bookmarkStart w:colFirst="0" w:colLast="0" w:name="_heading=h.jpdlbsgpozqy" w:id="2"/>
      <w:bookmarkEnd w:id="2"/>
      <w:r w:rsidDel="00000000" w:rsidR="00000000" w:rsidRPr="00000000">
        <w:rPr>
          <w:rtl w:val="0"/>
        </w:rPr>
      </w:r>
    </w:p>
    <w:p w:rsidR="00000000" w:rsidDel="00000000" w:rsidP="00000000" w:rsidRDefault="00000000" w:rsidRPr="00000000" w14:paraId="00000005">
      <w:pPr>
        <w:spacing w:line="48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06">
      <w:pPr>
        <w:jc w:val="center"/>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07">
      <w:pPr>
        <w:jc w:val="center"/>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08">
      <w:pPr>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Challenges Faced by Working Mothers in UK School Leadership: Barriers, Identity Negotiation, and Implications for Inclusive Organisational Practice</w:t>
      </w:r>
    </w:p>
    <w:p w:rsidR="00000000" w:rsidDel="00000000" w:rsidP="00000000" w:rsidRDefault="00000000" w:rsidRPr="00000000" w14:paraId="00000009">
      <w:pPr>
        <w:jc w:val="center"/>
        <w:rPr>
          <w:rFonts w:ascii="Times New Roman" w:cs="Times New Roman" w:eastAsia="Times New Roman" w:hAnsi="Times New Roman"/>
          <w:color w:val="ff0000"/>
          <w:sz w:val="24"/>
          <w:szCs w:val="24"/>
        </w:rPr>
      </w:pPr>
      <w:r w:rsidDel="00000000" w:rsidR="00000000" w:rsidRPr="00000000">
        <w:rPr>
          <w:rtl w:val="0"/>
        </w:rPr>
      </w:r>
    </w:p>
    <w:p w:rsidR="00000000" w:rsidDel="00000000" w:rsidP="00000000" w:rsidRDefault="00000000" w:rsidRPr="00000000" w14:paraId="0000000A">
      <w:pPr>
        <w:jc w:val="center"/>
        <w:rPr>
          <w:rFonts w:ascii="Times New Roman" w:cs="Times New Roman" w:eastAsia="Times New Roman" w:hAnsi="Times New Roman"/>
          <w:color w:val="ff0000"/>
          <w:sz w:val="24"/>
          <w:szCs w:val="24"/>
        </w:rPr>
      </w:pPr>
      <w:r w:rsidDel="00000000" w:rsidR="00000000" w:rsidRPr="00000000">
        <w:rPr>
          <w:rtl w:val="0"/>
        </w:rPr>
      </w:r>
    </w:p>
    <w:p w:rsidR="00000000" w:rsidDel="00000000" w:rsidP="00000000" w:rsidRDefault="00000000" w:rsidRPr="00000000" w14:paraId="0000000B">
      <w:pPr>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C">
      <w:pPr>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D">
      <w:pPr>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Coreen Grant-Nembhard</w:t>
      </w:r>
    </w:p>
    <w:p w:rsidR="00000000" w:rsidDel="00000000" w:rsidP="00000000" w:rsidRDefault="00000000" w:rsidRPr="00000000" w14:paraId="0000000E">
      <w:pPr>
        <w:spacing w:after="240" w:before="240" w:lineRule="auto"/>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17790366</w:t>
      </w:r>
    </w:p>
    <w:p w:rsidR="00000000" w:rsidDel="00000000" w:rsidP="00000000" w:rsidRDefault="00000000" w:rsidRPr="00000000" w14:paraId="0000000F">
      <w:pPr>
        <w:pStyle w:val="Heading1"/>
        <w:keepNext w:val="0"/>
        <w:keepLines w:val="0"/>
        <w:spacing w:after="220" w:before="0" w:line="288" w:lineRule="auto"/>
        <w:jc w:val="center"/>
        <w:rPr>
          <w:rFonts w:ascii="Times New Roman" w:cs="Times New Roman" w:eastAsia="Times New Roman" w:hAnsi="Times New Roman"/>
          <w:b w:val="1"/>
          <w:bCs w:val="1"/>
          <w:sz w:val="24"/>
          <w:szCs w:val="24"/>
        </w:rPr>
      </w:pPr>
      <w:bookmarkStart w:colFirst="0" w:colLast="0" w:name="_heading=h.6fxo57eggvr2" w:id="3"/>
      <w:bookmarkEnd w:id="3"/>
      <w:r w:rsidDel="00000000" w:rsidR="00000000" w:rsidRPr="00000000">
        <w:rPr>
          <w:rFonts w:ascii="Times New Roman" w:cs="Times New Roman" w:eastAsia="Times New Roman" w:hAnsi="Times New Roman"/>
          <w:b w:val="1"/>
          <w:bCs w:val="1"/>
          <w:sz w:val="24"/>
          <w:szCs w:val="24"/>
          <w:rtl w:val="0"/>
        </w:rPr>
        <w:t xml:space="preserve">UEL-SG-7002 Applied Business Project</w:t>
      </w:r>
    </w:p>
    <w:p w:rsidR="00000000" w:rsidDel="00000000" w:rsidP="00000000" w:rsidRDefault="00000000" w:rsidRPr="00000000" w14:paraId="00000010">
      <w:pPr>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University of East London</w:t>
      </w:r>
    </w:p>
    <w:p w:rsidR="00000000" w:rsidDel="00000000" w:rsidP="00000000" w:rsidRDefault="00000000" w:rsidRPr="00000000" w14:paraId="00000011">
      <w:pPr>
        <w:jc w:val="center"/>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12">
      <w:pPr>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Lecturer: Evangelia Siachou</w:t>
      </w:r>
    </w:p>
    <w:p w:rsidR="00000000" w:rsidDel="00000000" w:rsidP="00000000" w:rsidRDefault="00000000" w:rsidRPr="00000000" w14:paraId="00000013">
      <w:pPr>
        <w:pStyle w:val="Heading2"/>
        <w:keepNext w:val="0"/>
        <w:keepLines w:val="0"/>
        <w:shd w:fill="ffffff" w:val="clear"/>
        <w:spacing w:after="80" w:line="480" w:lineRule="auto"/>
        <w:ind w:left="940" w:hanging="360"/>
        <w:rPr>
          <w:rFonts w:ascii="Times New Roman" w:cs="Times New Roman" w:eastAsia="Times New Roman" w:hAnsi="Times New Roman"/>
          <w:b w:val="1"/>
          <w:bCs w:val="1"/>
          <w:sz w:val="24"/>
          <w:szCs w:val="24"/>
        </w:rPr>
      </w:pPr>
      <w:bookmarkStart w:colFirst="0" w:colLast="0" w:name="_heading=h.tgsvbn7nmn7r" w:id="4"/>
      <w:bookmarkEnd w:id="4"/>
      <w:r w:rsidDel="00000000" w:rsidR="00000000" w:rsidRPr="00000000">
        <w:rPr>
          <w:rtl w:val="0"/>
        </w:rPr>
      </w:r>
    </w:p>
    <w:p w:rsidR="00000000" w:rsidDel="00000000" w:rsidP="00000000" w:rsidRDefault="00000000" w:rsidRPr="00000000" w14:paraId="00000014">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5">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6">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7">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8">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9">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A">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B">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C">
      <w:pPr>
        <w:pStyle w:val="Heading1"/>
        <w:rPr>
          <w:rFonts w:ascii="Times New Roman" w:cs="Times New Roman" w:eastAsia="Times New Roman" w:hAnsi="Times New Roman"/>
          <w:b w:val="1"/>
          <w:bCs w:val="1"/>
          <w:sz w:val="24"/>
          <w:szCs w:val="24"/>
        </w:rPr>
      </w:pPr>
      <w:bookmarkStart w:colFirst="0" w:colLast="0" w:name="_heading=h.2q8wqgepacn2" w:id="5"/>
      <w:bookmarkEnd w:id="5"/>
      <w:r w:rsidDel="00000000" w:rsidR="00000000" w:rsidRPr="00000000">
        <w:rPr>
          <w:rFonts w:ascii="Times New Roman" w:cs="Times New Roman" w:eastAsia="Times New Roman" w:hAnsi="Times New Roman"/>
          <w:b w:val="1"/>
          <w:bCs w:val="1"/>
          <w:sz w:val="24"/>
          <w:szCs w:val="24"/>
          <w:rtl w:val="0"/>
        </w:rPr>
        <w:t xml:space="preserve">Executive Summary</w:t>
      </w:r>
    </w:p>
    <w:p w:rsidR="00000000" w:rsidDel="00000000" w:rsidP="00000000" w:rsidRDefault="00000000" w:rsidRPr="00000000" w14:paraId="0000001D">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report addresses a strategic workforce challenge within the UK education sector: the under-progression and attrition of working mothers from senior leadership roles. Organisational structures, expectations of constant leadership availability, and the uneven application of family-friendly policies create systemic barriers that disproportionately disadvantage working mothers. These barriers are embedded within institutional practices and gendered leadership norms rather than individual choice, resulting in slower career progression, higher attrition, and reduced leadership pipeline diversity.</w:t>
      </w:r>
    </w:p>
    <w:p w:rsidR="00000000" w:rsidDel="00000000" w:rsidP="00000000" w:rsidRDefault="00000000" w:rsidRPr="00000000" w14:paraId="0000001E">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analysis draws on a mixed-methods review of secondary data. Quantitative secondary data examine patterns in workforce representation, career progression, and retention, while qualitative secondary data provide insight into lived experiences, identity negotiation, and perceptions of organisational support. Integrating these perspectives enables assessment of the gap between policy commitments and operational practice across schools and trusts.</w:t>
      </w:r>
    </w:p>
    <w:p w:rsidR="00000000" w:rsidDel="00000000" w:rsidP="00000000" w:rsidRDefault="00000000" w:rsidRPr="00000000" w14:paraId="0000001F">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Key findings indicate that progression barriers are primarily structural and cultural. High workload expectations, limited access to flexible or part-time leadership roles, and “always-on” leadership norms restrict advancement opportunities for working mothers. Persistent tension between professional and caregiving identities reinforces perceptions that senior leadership is incompatible with motherhood. In contrast, organisations that embed flexible working practices, supportive cultures, and childcare accommodations demonstrate stronger retention and leadership continuity.</w:t>
      </w:r>
    </w:p>
    <w:p w:rsidR="00000000" w:rsidDel="00000000" w:rsidP="00000000" w:rsidRDefault="00000000" w:rsidRPr="00000000" w14:paraId="00000020">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Four strategic interventions are recommended. First, priority childcare provision, including wraparound care, for all education employees to support retention. Second, a sector-wide commitment to gender parity in school leadership, supported by transparent monitoring. Third, refreshed recruitment messaging promoting visible role models who balance leadership and family responsibilities. Finally, funded Flexible Working Champions to embed flexible practices and drive sustained cultural change. These actions support an inclusive leadership workforce.</w:t>
      </w:r>
    </w:p>
    <w:p w:rsidR="00000000" w:rsidDel="00000000" w:rsidP="00000000" w:rsidRDefault="00000000" w:rsidRPr="00000000" w14:paraId="00000021">
      <w:pPr>
        <w:spacing w:after="240" w:before="240"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2">
      <w:pPr>
        <w:spacing w:after="240" w:before="240"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3">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4">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5">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6">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7">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8">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9">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A">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B">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C">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D">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E">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F">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0">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1">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2">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3">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4">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5">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6">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7">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8">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9">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A">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B">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C">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Times New Roman" w:cs="Times New Roman" w:eastAsia="Times New Roman" w:hAnsi="Times New Roman"/>
          <w:b w:val="0"/>
          <w:bCs w:val="0"/>
          <w:i w:val="0"/>
          <w:iCs w:val="0"/>
          <w:smallCaps w:val="0"/>
          <w:strike w:val="0"/>
          <w:color w:val="366091"/>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366091"/>
          <w:sz w:val="24"/>
          <w:szCs w:val="24"/>
          <w:u w:val="none"/>
          <w:shd w:fill="auto" w:val="clear"/>
          <w:vertAlign w:val="baseline"/>
          <w:rtl w:val="0"/>
        </w:rPr>
        <w:t xml:space="preserve">Table of Contents</w:t>
      </w:r>
    </w:p>
    <w:sdt>
      <w:sdtPr>
        <w:id w:val="-1906000010"/>
        <w:docPartObj>
          <w:docPartGallery w:val="Table of Contents"/>
          <w:docPartUnique w:val="1"/>
        </w:docPartObj>
      </w:sdtPr>
      <w:sdtContent>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0" w:right="0" w:firstLine="0"/>
            <w:jc w:val="left"/>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2q8wqgepacn2">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Abstract</w:t>
              <w:tab/>
              <w:t xml:space="preserve">2</w:t>
            </w:r>
          </w:hyperlink>
          <w:r w:rsidDel="00000000" w:rsidR="00000000" w:rsidRPr="00000000">
            <w:rPr>
              <w:rtl w:val="0"/>
            </w:rPr>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0" w:right="0" w:firstLine="0"/>
            <w:jc w:val="left"/>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hyperlink w:anchor="_heading=h.hvc24uu7ovzl">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Chapter 1</w:t>
              <w:tab/>
              <w:t xml:space="preserve">4</w:t>
            </w:r>
          </w:hyperlink>
          <w:r w:rsidDel="00000000" w:rsidR="00000000" w:rsidRPr="00000000">
            <w:rPr>
              <w:rtl w:val="0"/>
            </w:rPr>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22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qbosznyqvz1n">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Introduction</w:t>
              <w:tab/>
              <w:t xml:space="preserve">4</w:t>
            </w:r>
          </w:hyperlink>
          <w:r w:rsidDel="00000000" w:rsidR="00000000" w:rsidRPr="00000000">
            <w:rPr>
              <w:rtl w:val="0"/>
            </w:rPr>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22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a7zp14uamnn3">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Background and significance</w:t>
              <w:tab/>
              <w:t xml:space="preserve">4</w:t>
            </w:r>
          </w:hyperlink>
          <w:r w:rsidDel="00000000" w:rsidR="00000000" w:rsidRPr="00000000">
            <w:rPr>
              <w:rtl w:val="0"/>
            </w:rPr>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22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kykkebot0ki0">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Problem definition</w:t>
              <w:tab/>
              <w:t xml:space="preserve">5</w:t>
            </w:r>
          </w:hyperlink>
          <w:r w:rsidDel="00000000" w:rsidR="00000000" w:rsidRPr="00000000">
            <w:rPr>
              <w:rtl w:val="0"/>
            </w:rPr>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22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r9t9h56vxa23">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Strategic relevance</w:t>
              <w:tab/>
              <w:t xml:space="preserve">5</w:t>
            </w:r>
          </w:hyperlink>
          <w:r w:rsidDel="00000000" w:rsidR="00000000" w:rsidRPr="00000000">
            <w:rPr>
              <w:rtl w:val="0"/>
            </w:rPr>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22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ewno6w8t63p9">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Research aim</w:t>
              <w:tab/>
              <w:t xml:space="preserve">6</w:t>
            </w:r>
          </w:hyperlink>
          <w:r w:rsidDel="00000000" w:rsidR="00000000" w:rsidRPr="00000000">
            <w:rPr>
              <w:rtl w:val="0"/>
            </w:rPr>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44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83mf2ponywaq">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Research objectives</w:t>
              <w:tab/>
              <w:t xml:space="preserve">6</w:t>
            </w:r>
          </w:hyperlink>
          <w:r w:rsidDel="00000000" w:rsidR="00000000" w:rsidRPr="00000000">
            <w:rPr>
              <w:rtl w:val="0"/>
            </w:rPr>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44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a8do72t0gz2w">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Research questions</w:t>
              <w:tab/>
              <w:t xml:space="preserve">7</w:t>
            </w:r>
          </w:hyperlink>
          <w:r w:rsidDel="00000000" w:rsidR="00000000" w:rsidRPr="00000000">
            <w:rPr>
              <w:rtl w:val="0"/>
            </w:rPr>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0" w:right="0" w:firstLine="0"/>
            <w:jc w:val="left"/>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hyperlink w:anchor="_heading=h.3hg2q9dnblm4">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Chapter 2</w:t>
              <w:tab/>
              <w:t xml:space="preserve">7</w:t>
            </w:r>
          </w:hyperlink>
          <w:r w:rsidDel="00000000" w:rsidR="00000000" w:rsidRPr="00000000">
            <w:rPr>
              <w:rtl w:val="0"/>
            </w:rPr>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22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4palsok4fd39">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Literature Review</w:t>
              <w:tab/>
              <w:t xml:space="preserve">7</w:t>
            </w:r>
          </w:hyperlink>
          <w:r w:rsidDel="00000000" w:rsidR="00000000" w:rsidRPr="00000000">
            <w:rPr>
              <w:rtl w:val="0"/>
            </w:rPr>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0" w:right="0" w:firstLine="0"/>
            <w:jc w:val="left"/>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hyperlink w:anchor="_heading=h.mf72akxrtpt5">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Chapter 3</w:t>
              <w:tab/>
              <w:t xml:space="preserve">13</w:t>
            </w:r>
          </w:hyperlink>
          <w:r w:rsidDel="00000000" w:rsidR="00000000" w:rsidRPr="00000000">
            <w:rPr>
              <w:rtl w:val="0"/>
            </w:rPr>
          </w:r>
        </w:p>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22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9hz13k87lgmp">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Research Methodology</w:t>
              <w:tab/>
              <w:t xml:space="preserve">13</w:t>
            </w:r>
          </w:hyperlink>
          <w:r w:rsidDel="00000000" w:rsidR="00000000" w:rsidRPr="00000000">
            <w:rPr>
              <w:rtl w:val="0"/>
            </w:rPr>
          </w:r>
        </w:p>
        <w:p w:rsidR="00000000" w:rsidDel="00000000" w:rsidP="00000000" w:rsidRDefault="00000000" w:rsidRPr="00000000" w14:paraId="0000004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44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c9ui125mjrnm">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Research Philosophy, Approach and Design</w:t>
              <w:tab/>
              <w:t xml:space="preserve">13</w:t>
            </w:r>
          </w:hyperlink>
          <w:r w:rsidDel="00000000" w:rsidR="00000000" w:rsidRPr="00000000">
            <w:rPr>
              <w:rtl w:val="0"/>
            </w:rPr>
          </w:r>
        </w:p>
        <w:p w:rsidR="00000000" w:rsidDel="00000000" w:rsidP="00000000" w:rsidRDefault="00000000" w:rsidRPr="00000000" w14:paraId="0000004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44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5gjbctpjrjkf">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Secondary Data Sources</w:t>
              <w:tab/>
              <w:t xml:space="preserve">14</w:t>
            </w:r>
          </w:hyperlink>
          <w:r w:rsidDel="00000000" w:rsidR="00000000" w:rsidRPr="00000000">
            <w:rPr>
              <w:rtl w:val="0"/>
            </w:rPr>
          </w:r>
        </w:p>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44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jf6f6wihtcdx">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Data Collection and Analysis Methods</w:t>
              <w:tab/>
              <w:t xml:space="preserve">16</w:t>
            </w:r>
          </w:hyperlink>
          <w:r w:rsidDel="00000000" w:rsidR="00000000" w:rsidRPr="00000000">
            <w:rPr>
              <w:rtl w:val="0"/>
            </w:rPr>
          </w:r>
        </w:p>
        <w:p w:rsidR="00000000" w:rsidDel="00000000" w:rsidP="00000000" w:rsidRDefault="00000000" w:rsidRPr="00000000" w14:paraId="0000004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44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7bzduabcenll">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Rationale for Integrating Methods</w:t>
              <w:tab/>
              <w:t xml:space="preserve">17</w:t>
            </w:r>
          </w:hyperlink>
          <w:r w:rsidDel="00000000" w:rsidR="00000000" w:rsidRPr="00000000">
            <w:rPr>
              <w:rtl w:val="0"/>
            </w:rPr>
          </w:r>
        </w:p>
        <w:p w:rsidR="00000000" w:rsidDel="00000000" w:rsidP="00000000" w:rsidRDefault="00000000" w:rsidRPr="00000000" w14:paraId="0000004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44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rz6intvx0efo">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Data Quality, Validity and Limitations</w:t>
              <w:tab/>
              <w:t xml:space="preserve">17</w:t>
            </w:r>
          </w:hyperlink>
          <w:r w:rsidDel="00000000" w:rsidR="00000000" w:rsidRPr="00000000">
            <w:rPr>
              <w:rtl w:val="0"/>
            </w:rPr>
          </w:r>
        </w:p>
        <w:p w:rsidR="00000000" w:rsidDel="00000000" w:rsidP="00000000" w:rsidRDefault="00000000" w:rsidRPr="00000000" w14:paraId="0000004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44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iiin0a6fd0xz">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Ethical Considerations</w:t>
              <w:tab/>
              <w:t xml:space="preserve">18</w:t>
            </w:r>
          </w:hyperlink>
          <w:r w:rsidDel="00000000" w:rsidR="00000000" w:rsidRPr="00000000">
            <w:rPr>
              <w:rtl w:val="0"/>
            </w:rPr>
          </w:r>
        </w:p>
        <w:p w:rsidR="00000000" w:rsidDel="00000000" w:rsidP="00000000" w:rsidRDefault="00000000" w:rsidRPr="00000000" w14:paraId="0000005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0" w:right="0" w:firstLine="0"/>
            <w:jc w:val="left"/>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hyperlink w:anchor="_heading=h.c4y3ydawcy3k">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Chapter 4</w:t>
              <w:tab/>
              <w:t xml:space="preserve">19</w:t>
            </w:r>
          </w:hyperlink>
          <w:r w:rsidDel="00000000" w:rsidR="00000000" w:rsidRPr="00000000">
            <w:rPr>
              <w:rtl w:val="0"/>
            </w:rPr>
          </w:r>
        </w:p>
        <w:p w:rsidR="00000000" w:rsidDel="00000000" w:rsidP="00000000" w:rsidRDefault="00000000" w:rsidRPr="00000000" w14:paraId="0000005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22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e1ktc2104a99">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Findings and Data Presentations</w:t>
              <w:tab/>
              <w:t xml:space="preserve">19</w:t>
            </w:r>
          </w:hyperlink>
          <w:r w:rsidDel="00000000" w:rsidR="00000000" w:rsidRPr="00000000">
            <w:rPr>
              <w:rtl w:val="0"/>
            </w:rPr>
          </w:r>
        </w:p>
        <w:p w:rsidR="00000000" w:rsidDel="00000000" w:rsidP="00000000" w:rsidRDefault="00000000" w:rsidRPr="00000000" w14:paraId="0000005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44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u2tnl4pdgk1">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Theme 1: Structural barriers</w:t>
              <w:tab/>
              <w:t xml:space="preserve">19</w:t>
            </w:r>
          </w:hyperlink>
          <w:r w:rsidDel="00000000" w:rsidR="00000000" w:rsidRPr="00000000">
            <w:rPr>
              <w:rtl w:val="0"/>
            </w:rPr>
          </w:r>
        </w:p>
        <w:p w:rsidR="00000000" w:rsidDel="00000000" w:rsidP="00000000" w:rsidRDefault="00000000" w:rsidRPr="00000000" w14:paraId="0000005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44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sfy4ke8yxdku">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Theme 2: Identity negotiation</w:t>
              <w:tab/>
              <w:t xml:space="preserve">25</w:t>
            </w:r>
          </w:hyperlink>
          <w:r w:rsidDel="00000000" w:rsidR="00000000" w:rsidRPr="00000000">
            <w:rPr>
              <w:rtl w:val="0"/>
            </w:rPr>
          </w:r>
        </w:p>
        <w:p w:rsidR="00000000" w:rsidDel="00000000" w:rsidP="00000000" w:rsidRDefault="00000000" w:rsidRPr="00000000" w14:paraId="0000005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44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i6zdtw1ryg5z">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Theme 3: Institutional cultures</w:t>
              <w:tab/>
              <w:t xml:space="preserve">28</w:t>
            </w:r>
          </w:hyperlink>
          <w:r w:rsidDel="00000000" w:rsidR="00000000" w:rsidRPr="00000000">
            <w:rPr>
              <w:rtl w:val="0"/>
            </w:rPr>
          </w:r>
        </w:p>
        <w:p w:rsidR="00000000" w:rsidDel="00000000" w:rsidP="00000000" w:rsidRDefault="00000000" w:rsidRPr="00000000" w14:paraId="0000005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44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u2a1iil85hmq">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Theme 4: Effective supportive practices</w:t>
              <w:tab/>
              <w:t xml:space="preserve">28</w:t>
            </w:r>
          </w:hyperlink>
          <w:r w:rsidDel="00000000" w:rsidR="00000000" w:rsidRPr="00000000">
            <w:rPr>
              <w:rtl w:val="0"/>
            </w:rPr>
          </w:r>
        </w:p>
        <w:p w:rsidR="00000000" w:rsidDel="00000000" w:rsidP="00000000" w:rsidRDefault="00000000" w:rsidRPr="00000000" w14:paraId="0000005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0" w:right="0" w:firstLine="0"/>
            <w:jc w:val="left"/>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hyperlink w:anchor="_heading=h.4fi7gor2tkf">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Chapter 5</w:t>
              <w:tab/>
              <w:t xml:space="preserve">31</w:t>
            </w:r>
          </w:hyperlink>
          <w:r w:rsidDel="00000000" w:rsidR="00000000" w:rsidRPr="00000000">
            <w:rPr>
              <w:rtl w:val="0"/>
            </w:rPr>
          </w:r>
        </w:p>
        <w:p w:rsidR="00000000" w:rsidDel="00000000" w:rsidP="00000000" w:rsidRDefault="00000000" w:rsidRPr="00000000" w14:paraId="0000005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22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qnud7qaq0fmg">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Analysis and Interpretation of Findings</w:t>
              <w:tab/>
              <w:t xml:space="preserve">31</w:t>
            </w:r>
          </w:hyperlink>
          <w:r w:rsidDel="00000000" w:rsidR="00000000" w:rsidRPr="00000000">
            <w:rPr>
              <w:rtl w:val="0"/>
            </w:rPr>
          </w:r>
        </w:p>
        <w:p w:rsidR="00000000" w:rsidDel="00000000" w:rsidP="00000000" w:rsidRDefault="00000000" w:rsidRPr="00000000" w14:paraId="0000005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44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1w60l9ozpupp">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Theme 1: Structural Barriers</w:t>
              <w:tab/>
              <w:t xml:space="preserve">31</w:t>
            </w:r>
          </w:hyperlink>
          <w:r w:rsidDel="00000000" w:rsidR="00000000" w:rsidRPr="00000000">
            <w:rPr>
              <w:rtl w:val="0"/>
            </w:rPr>
          </w:r>
        </w:p>
        <w:p w:rsidR="00000000" w:rsidDel="00000000" w:rsidP="00000000" w:rsidRDefault="00000000" w:rsidRPr="00000000" w14:paraId="0000005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44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usz8x9v7fngu">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Theme 2: Identity Negotiation</w:t>
              <w:tab/>
              <w:t xml:space="preserve">32</w:t>
            </w:r>
          </w:hyperlink>
          <w:r w:rsidDel="00000000" w:rsidR="00000000" w:rsidRPr="00000000">
            <w:rPr>
              <w:rtl w:val="0"/>
            </w:rPr>
          </w:r>
        </w:p>
        <w:p w:rsidR="00000000" w:rsidDel="00000000" w:rsidP="00000000" w:rsidRDefault="00000000" w:rsidRPr="00000000" w14:paraId="0000005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44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lzgg7tv7g16h">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Theme 3: Institutional Cultures</w:t>
              <w:tab/>
              <w:t xml:space="preserve">32</w:t>
            </w:r>
          </w:hyperlink>
          <w:r w:rsidDel="00000000" w:rsidR="00000000" w:rsidRPr="00000000">
            <w:rPr>
              <w:rtl w:val="0"/>
            </w:rPr>
          </w:r>
        </w:p>
        <w:p w:rsidR="00000000" w:rsidDel="00000000" w:rsidP="00000000" w:rsidRDefault="00000000" w:rsidRPr="00000000" w14:paraId="0000005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44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8tgbo4buzv5z">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Theme 4: Effective and Supportive Practices</w:t>
              <w:tab/>
              <w:t xml:space="preserve">33</w:t>
            </w:r>
          </w:hyperlink>
          <w:r w:rsidDel="00000000" w:rsidR="00000000" w:rsidRPr="00000000">
            <w:rPr>
              <w:rtl w:val="0"/>
            </w:rPr>
          </w:r>
        </w:p>
        <w:p w:rsidR="00000000" w:rsidDel="00000000" w:rsidP="00000000" w:rsidRDefault="00000000" w:rsidRPr="00000000" w14:paraId="0000005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0" w:right="0" w:firstLine="0"/>
            <w:jc w:val="left"/>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hyperlink w:anchor="_heading=h.p5uxwlrmfp4c">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Chapter 6</w:t>
              <w:tab/>
              <w:t xml:space="preserve">35</w:t>
            </w:r>
          </w:hyperlink>
          <w:r w:rsidDel="00000000" w:rsidR="00000000" w:rsidRPr="00000000">
            <w:rPr>
              <w:rtl w:val="0"/>
            </w:rPr>
          </w:r>
        </w:p>
        <w:p w:rsidR="00000000" w:rsidDel="00000000" w:rsidP="00000000" w:rsidRDefault="00000000" w:rsidRPr="00000000" w14:paraId="0000005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22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3sijvhhk355s">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Conclusions and Recommendations</w:t>
              <w:tab/>
              <w:t xml:space="preserve">35</w:t>
            </w:r>
          </w:hyperlink>
          <w:r w:rsidDel="00000000" w:rsidR="00000000" w:rsidRPr="00000000">
            <w:rPr>
              <w:rtl w:val="0"/>
            </w:rPr>
          </w:r>
        </w:p>
        <w:p w:rsidR="00000000" w:rsidDel="00000000" w:rsidP="00000000" w:rsidRDefault="00000000" w:rsidRPr="00000000" w14:paraId="0000005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0" w:right="0" w:firstLine="0"/>
            <w:jc w:val="left"/>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hyperlink w:anchor="_heading=h.p407q47szyhn">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References</w:t>
              <w:tab/>
              <w:t xml:space="preserve">40</w:t>
            </w:r>
          </w:hyperlink>
          <w:r w:rsidDel="00000000" w:rsidR="00000000" w:rsidRPr="00000000">
            <w:rPr>
              <w:rtl w:val="0"/>
            </w:rPr>
          </w:r>
        </w:p>
        <w:p w:rsidR="00000000" w:rsidDel="00000000" w:rsidP="00000000" w:rsidRDefault="00000000" w:rsidRPr="00000000" w14:paraId="0000005F">
          <w:pPr>
            <w:rPr>
              <w:rFonts w:ascii="Times New Roman" w:cs="Times New Roman" w:eastAsia="Times New Roman" w:hAnsi="Times New Roman"/>
              <w:sz w:val="24"/>
              <w:szCs w:val="24"/>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60">
      <w:pPr>
        <w:rPr>
          <w:rFonts w:ascii="Times New Roman" w:cs="Times New Roman" w:eastAsia="Times New Roman" w:hAnsi="Times New Roman"/>
          <w:b w:val="1"/>
          <w:bCs w:val="1"/>
          <w:sz w:val="24"/>
          <w:szCs w:val="24"/>
          <w:highlight w:val="yellow"/>
        </w:rPr>
      </w:pPr>
      <w:r w:rsidDel="00000000" w:rsidR="00000000" w:rsidRPr="00000000">
        <w:rPr>
          <w:rtl w:val="0"/>
        </w:rPr>
      </w:r>
    </w:p>
    <w:p w:rsidR="00000000" w:rsidDel="00000000" w:rsidP="00000000" w:rsidRDefault="00000000" w:rsidRPr="00000000" w14:paraId="00000061">
      <w:pPr>
        <w:rPr>
          <w:rFonts w:ascii="Times New Roman" w:cs="Times New Roman" w:eastAsia="Times New Roman" w:hAnsi="Times New Roman"/>
          <w:b w:val="1"/>
          <w:bCs w:val="1"/>
          <w:sz w:val="24"/>
          <w:szCs w:val="24"/>
          <w:highlight w:val="yellow"/>
        </w:rPr>
      </w:pPr>
      <w:r w:rsidDel="00000000" w:rsidR="00000000" w:rsidRPr="00000000">
        <w:rPr>
          <w:rtl w:val="0"/>
        </w:rPr>
      </w:r>
    </w:p>
    <w:p w:rsidR="00000000" w:rsidDel="00000000" w:rsidP="00000000" w:rsidRDefault="00000000" w:rsidRPr="00000000" w14:paraId="00000062">
      <w:pPr>
        <w:rPr>
          <w:rFonts w:ascii="Times New Roman" w:cs="Times New Roman" w:eastAsia="Times New Roman" w:hAnsi="Times New Roman"/>
          <w:b w:val="1"/>
          <w:bCs w:val="1"/>
          <w:sz w:val="24"/>
          <w:szCs w:val="24"/>
          <w:highlight w:val="yellow"/>
        </w:rPr>
      </w:pPr>
      <w:r w:rsidDel="00000000" w:rsidR="00000000" w:rsidRPr="00000000">
        <w:rPr>
          <w:rtl w:val="0"/>
        </w:rPr>
      </w:r>
    </w:p>
    <w:p w:rsidR="00000000" w:rsidDel="00000000" w:rsidP="00000000" w:rsidRDefault="00000000" w:rsidRPr="00000000" w14:paraId="00000063">
      <w:pPr>
        <w:rPr>
          <w:rFonts w:ascii="Times New Roman" w:cs="Times New Roman" w:eastAsia="Times New Roman" w:hAnsi="Times New Roman"/>
          <w:b w:val="1"/>
          <w:bCs w:val="1"/>
          <w:sz w:val="24"/>
          <w:szCs w:val="24"/>
          <w:highlight w:val="yellow"/>
        </w:rPr>
      </w:pPr>
      <w:r w:rsidDel="00000000" w:rsidR="00000000" w:rsidRPr="00000000">
        <w:rPr>
          <w:rtl w:val="0"/>
        </w:rPr>
      </w:r>
    </w:p>
    <w:p w:rsidR="00000000" w:rsidDel="00000000" w:rsidP="00000000" w:rsidRDefault="00000000" w:rsidRPr="00000000" w14:paraId="00000064">
      <w:pPr>
        <w:rPr>
          <w:rFonts w:ascii="Times New Roman" w:cs="Times New Roman" w:eastAsia="Times New Roman" w:hAnsi="Times New Roman"/>
          <w:b w:val="1"/>
          <w:bCs w:val="1"/>
          <w:sz w:val="24"/>
          <w:szCs w:val="24"/>
          <w:highlight w:val="yellow"/>
        </w:rPr>
      </w:pPr>
      <w:r w:rsidDel="00000000" w:rsidR="00000000" w:rsidRPr="00000000">
        <w:rPr>
          <w:rtl w:val="0"/>
        </w:rPr>
      </w:r>
    </w:p>
    <w:p w:rsidR="00000000" w:rsidDel="00000000" w:rsidP="00000000" w:rsidRDefault="00000000" w:rsidRPr="00000000" w14:paraId="00000065">
      <w:pPr>
        <w:rPr>
          <w:rFonts w:ascii="Times New Roman" w:cs="Times New Roman" w:eastAsia="Times New Roman" w:hAnsi="Times New Roman"/>
          <w:b w:val="1"/>
          <w:bCs w:val="1"/>
          <w:sz w:val="24"/>
          <w:szCs w:val="24"/>
          <w:highlight w:val="yellow"/>
        </w:rPr>
      </w:pPr>
      <w:r w:rsidDel="00000000" w:rsidR="00000000" w:rsidRPr="00000000">
        <w:rPr>
          <w:rtl w:val="0"/>
        </w:rPr>
      </w:r>
    </w:p>
    <w:p w:rsidR="00000000" w:rsidDel="00000000" w:rsidP="00000000" w:rsidRDefault="00000000" w:rsidRPr="00000000" w14:paraId="00000066">
      <w:pPr>
        <w:rPr>
          <w:rFonts w:ascii="Times New Roman" w:cs="Times New Roman" w:eastAsia="Times New Roman" w:hAnsi="Times New Roman"/>
          <w:b w:val="1"/>
          <w:bCs w:val="1"/>
          <w:sz w:val="24"/>
          <w:szCs w:val="24"/>
          <w:highlight w:val="yellow"/>
        </w:rPr>
      </w:pPr>
      <w:r w:rsidDel="00000000" w:rsidR="00000000" w:rsidRPr="00000000">
        <w:rPr>
          <w:rtl w:val="0"/>
        </w:rPr>
      </w:r>
    </w:p>
    <w:p w:rsidR="00000000" w:rsidDel="00000000" w:rsidP="00000000" w:rsidRDefault="00000000" w:rsidRPr="00000000" w14:paraId="00000067">
      <w:pPr>
        <w:rPr>
          <w:rFonts w:ascii="Times New Roman" w:cs="Times New Roman" w:eastAsia="Times New Roman" w:hAnsi="Times New Roman"/>
          <w:b w:val="1"/>
          <w:bCs w:val="1"/>
          <w:sz w:val="24"/>
          <w:szCs w:val="24"/>
          <w:highlight w:val="yellow"/>
        </w:rPr>
      </w:pPr>
      <w:r w:rsidDel="00000000" w:rsidR="00000000" w:rsidRPr="00000000">
        <w:rPr>
          <w:rtl w:val="0"/>
        </w:rPr>
      </w:r>
    </w:p>
    <w:p w:rsidR="00000000" w:rsidDel="00000000" w:rsidP="00000000" w:rsidRDefault="00000000" w:rsidRPr="00000000" w14:paraId="00000068">
      <w:pPr>
        <w:rPr>
          <w:rFonts w:ascii="Times New Roman" w:cs="Times New Roman" w:eastAsia="Times New Roman" w:hAnsi="Times New Roman"/>
          <w:b w:val="1"/>
          <w:bCs w:val="1"/>
          <w:sz w:val="24"/>
          <w:szCs w:val="24"/>
          <w:highlight w:val="yellow"/>
        </w:rPr>
      </w:pPr>
      <w:r w:rsidDel="00000000" w:rsidR="00000000" w:rsidRPr="00000000">
        <w:rPr>
          <w:rtl w:val="0"/>
        </w:rPr>
      </w:r>
    </w:p>
    <w:p w:rsidR="00000000" w:rsidDel="00000000" w:rsidP="00000000" w:rsidRDefault="00000000" w:rsidRPr="00000000" w14:paraId="00000069">
      <w:pPr>
        <w:rPr>
          <w:rFonts w:ascii="Times New Roman" w:cs="Times New Roman" w:eastAsia="Times New Roman" w:hAnsi="Times New Roman"/>
          <w:b w:val="1"/>
          <w:bCs w:val="1"/>
          <w:sz w:val="24"/>
          <w:szCs w:val="24"/>
          <w:highlight w:val="yellow"/>
        </w:rPr>
      </w:pPr>
      <w:r w:rsidDel="00000000" w:rsidR="00000000" w:rsidRPr="00000000">
        <w:rPr>
          <w:rtl w:val="0"/>
        </w:rPr>
      </w:r>
    </w:p>
    <w:p w:rsidR="00000000" w:rsidDel="00000000" w:rsidP="00000000" w:rsidRDefault="00000000" w:rsidRPr="00000000" w14:paraId="0000006A">
      <w:pPr>
        <w:rPr>
          <w:rFonts w:ascii="Times New Roman" w:cs="Times New Roman" w:eastAsia="Times New Roman" w:hAnsi="Times New Roman"/>
          <w:b w:val="1"/>
          <w:bCs w:val="1"/>
          <w:sz w:val="24"/>
          <w:szCs w:val="24"/>
          <w:highlight w:val="yellow"/>
        </w:rPr>
      </w:pPr>
      <w:r w:rsidDel="00000000" w:rsidR="00000000" w:rsidRPr="00000000">
        <w:rPr>
          <w:rtl w:val="0"/>
        </w:rPr>
      </w:r>
    </w:p>
    <w:p w:rsidR="00000000" w:rsidDel="00000000" w:rsidP="00000000" w:rsidRDefault="00000000" w:rsidRPr="00000000" w14:paraId="0000006B">
      <w:pPr>
        <w:rPr>
          <w:rFonts w:ascii="Times New Roman" w:cs="Times New Roman" w:eastAsia="Times New Roman" w:hAnsi="Times New Roman"/>
          <w:b w:val="1"/>
          <w:bCs w:val="1"/>
          <w:sz w:val="24"/>
          <w:szCs w:val="24"/>
          <w:highlight w:val="yellow"/>
        </w:rPr>
      </w:pPr>
      <w:r w:rsidDel="00000000" w:rsidR="00000000" w:rsidRPr="00000000">
        <w:rPr>
          <w:rtl w:val="0"/>
        </w:rPr>
      </w:r>
    </w:p>
    <w:p w:rsidR="00000000" w:rsidDel="00000000" w:rsidP="00000000" w:rsidRDefault="00000000" w:rsidRPr="00000000" w14:paraId="0000006C">
      <w:pPr>
        <w:rPr>
          <w:rFonts w:ascii="Times New Roman" w:cs="Times New Roman" w:eastAsia="Times New Roman" w:hAnsi="Times New Roman"/>
          <w:b w:val="1"/>
          <w:bCs w:val="1"/>
          <w:sz w:val="24"/>
          <w:szCs w:val="24"/>
          <w:highlight w:val="yellow"/>
        </w:rPr>
      </w:pPr>
      <w:r w:rsidDel="00000000" w:rsidR="00000000" w:rsidRPr="00000000">
        <w:rPr>
          <w:rtl w:val="0"/>
        </w:rPr>
      </w:r>
    </w:p>
    <w:p w:rsidR="00000000" w:rsidDel="00000000" w:rsidP="00000000" w:rsidRDefault="00000000" w:rsidRPr="00000000" w14:paraId="0000006D">
      <w:pPr>
        <w:rPr>
          <w:rFonts w:ascii="Times New Roman" w:cs="Times New Roman" w:eastAsia="Times New Roman" w:hAnsi="Times New Roman"/>
          <w:b w:val="1"/>
          <w:bCs w:val="1"/>
          <w:sz w:val="24"/>
          <w:szCs w:val="24"/>
          <w:highlight w:val="yellow"/>
        </w:rPr>
      </w:pPr>
      <w:r w:rsidDel="00000000" w:rsidR="00000000" w:rsidRPr="00000000">
        <w:rPr>
          <w:rtl w:val="0"/>
        </w:rPr>
      </w:r>
    </w:p>
    <w:p w:rsidR="00000000" w:rsidDel="00000000" w:rsidP="00000000" w:rsidRDefault="00000000" w:rsidRPr="00000000" w14:paraId="0000006E">
      <w:pPr>
        <w:rPr>
          <w:rFonts w:ascii="Times New Roman" w:cs="Times New Roman" w:eastAsia="Times New Roman" w:hAnsi="Times New Roman"/>
          <w:b w:val="1"/>
          <w:bCs w:val="1"/>
          <w:sz w:val="24"/>
          <w:szCs w:val="24"/>
          <w:highlight w:val="yellow"/>
        </w:rPr>
      </w:pPr>
      <w:r w:rsidDel="00000000" w:rsidR="00000000" w:rsidRPr="00000000">
        <w:rPr>
          <w:rtl w:val="0"/>
        </w:rPr>
      </w:r>
    </w:p>
    <w:p w:rsidR="00000000" w:rsidDel="00000000" w:rsidP="00000000" w:rsidRDefault="00000000" w:rsidRPr="00000000" w14:paraId="0000006F">
      <w:pPr>
        <w:rPr>
          <w:rFonts w:ascii="Times New Roman" w:cs="Times New Roman" w:eastAsia="Times New Roman" w:hAnsi="Times New Roman"/>
          <w:b w:val="1"/>
          <w:bCs w:val="1"/>
          <w:sz w:val="24"/>
          <w:szCs w:val="24"/>
          <w:highlight w:val="yellow"/>
        </w:rPr>
      </w:pPr>
      <w:r w:rsidDel="00000000" w:rsidR="00000000" w:rsidRPr="00000000">
        <w:rPr>
          <w:rtl w:val="0"/>
        </w:rPr>
      </w:r>
    </w:p>
    <w:p w:rsidR="00000000" w:rsidDel="00000000" w:rsidP="00000000" w:rsidRDefault="00000000" w:rsidRPr="00000000" w14:paraId="00000070">
      <w:pPr>
        <w:rPr>
          <w:rFonts w:ascii="Times New Roman" w:cs="Times New Roman" w:eastAsia="Times New Roman" w:hAnsi="Times New Roman"/>
          <w:b w:val="1"/>
          <w:bCs w:val="1"/>
          <w:sz w:val="24"/>
          <w:szCs w:val="24"/>
          <w:highlight w:val="yellow"/>
        </w:rPr>
      </w:pPr>
      <w:r w:rsidDel="00000000" w:rsidR="00000000" w:rsidRPr="00000000">
        <w:rPr>
          <w:rtl w:val="0"/>
        </w:rPr>
      </w:r>
    </w:p>
    <w:p w:rsidR="00000000" w:rsidDel="00000000" w:rsidP="00000000" w:rsidRDefault="00000000" w:rsidRPr="00000000" w14:paraId="00000071">
      <w:pPr>
        <w:rPr>
          <w:rFonts w:ascii="Times New Roman" w:cs="Times New Roman" w:eastAsia="Times New Roman" w:hAnsi="Times New Roman"/>
          <w:b w:val="1"/>
          <w:bCs w:val="1"/>
          <w:sz w:val="24"/>
          <w:szCs w:val="24"/>
          <w:highlight w:val="yellow"/>
        </w:rPr>
      </w:pPr>
      <w:r w:rsidDel="00000000" w:rsidR="00000000" w:rsidRPr="00000000">
        <w:rPr>
          <w:rtl w:val="0"/>
        </w:rPr>
      </w:r>
    </w:p>
    <w:p w:rsidR="00000000" w:rsidDel="00000000" w:rsidP="00000000" w:rsidRDefault="00000000" w:rsidRPr="00000000" w14:paraId="00000072">
      <w:pPr>
        <w:rPr>
          <w:rFonts w:ascii="Times New Roman" w:cs="Times New Roman" w:eastAsia="Times New Roman" w:hAnsi="Times New Roman"/>
          <w:b w:val="1"/>
          <w:bCs w:val="1"/>
          <w:sz w:val="24"/>
          <w:szCs w:val="24"/>
          <w:highlight w:val="yellow"/>
        </w:rPr>
      </w:pPr>
      <w:r w:rsidDel="00000000" w:rsidR="00000000" w:rsidRPr="00000000">
        <w:rPr>
          <w:rtl w:val="0"/>
        </w:rPr>
      </w:r>
    </w:p>
    <w:p w:rsidR="00000000" w:rsidDel="00000000" w:rsidP="00000000" w:rsidRDefault="00000000" w:rsidRPr="00000000" w14:paraId="00000073">
      <w:pPr>
        <w:rPr>
          <w:rFonts w:ascii="Times New Roman" w:cs="Times New Roman" w:eastAsia="Times New Roman" w:hAnsi="Times New Roman"/>
          <w:b w:val="1"/>
          <w:bCs w:val="1"/>
          <w:sz w:val="24"/>
          <w:szCs w:val="24"/>
          <w:highlight w:val="yellow"/>
        </w:rPr>
      </w:pPr>
      <w:r w:rsidDel="00000000" w:rsidR="00000000" w:rsidRPr="00000000">
        <w:rPr>
          <w:rtl w:val="0"/>
        </w:rPr>
      </w:r>
    </w:p>
    <w:p w:rsidR="00000000" w:rsidDel="00000000" w:rsidP="00000000" w:rsidRDefault="00000000" w:rsidRPr="00000000" w14:paraId="00000074">
      <w:pPr>
        <w:rPr>
          <w:rFonts w:ascii="Times New Roman" w:cs="Times New Roman" w:eastAsia="Times New Roman" w:hAnsi="Times New Roman"/>
          <w:b w:val="1"/>
          <w:bCs w:val="1"/>
          <w:sz w:val="24"/>
          <w:szCs w:val="24"/>
          <w:highlight w:val="yellow"/>
        </w:rPr>
      </w:pPr>
      <w:r w:rsidDel="00000000" w:rsidR="00000000" w:rsidRPr="00000000">
        <w:rPr>
          <w:rtl w:val="0"/>
        </w:rPr>
      </w:r>
    </w:p>
    <w:p w:rsidR="00000000" w:rsidDel="00000000" w:rsidP="00000000" w:rsidRDefault="00000000" w:rsidRPr="00000000" w14:paraId="00000075">
      <w:pPr>
        <w:rPr>
          <w:rFonts w:ascii="Times New Roman" w:cs="Times New Roman" w:eastAsia="Times New Roman" w:hAnsi="Times New Roman"/>
          <w:b w:val="1"/>
          <w:bCs w:val="1"/>
          <w:sz w:val="24"/>
          <w:szCs w:val="24"/>
          <w:highlight w:val="yellow"/>
        </w:rPr>
      </w:pPr>
      <w:r w:rsidDel="00000000" w:rsidR="00000000" w:rsidRPr="00000000">
        <w:rPr>
          <w:rtl w:val="0"/>
        </w:rPr>
      </w:r>
    </w:p>
    <w:p w:rsidR="00000000" w:rsidDel="00000000" w:rsidP="00000000" w:rsidRDefault="00000000" w:rsidRPr="00000000" w14:paraId="00000076">
      <w:pPr>
        <w:rPr>
          <w:rFonts w:ascii="Times New Roman" w:cs="Times New Roman" w:eastAsia="Times New Roman" w:hAnsi="Times New Roman"/>
          <w:b w:val="1"/>
          <w:bCs w:val="1"/>
          <w:sz w:val="24"/>
          <w:szCs w:val="24"/>
          <w:highlight w:val="yellow"/>
        </w:rPr>
      </w:pPr>
      <w:r w:rsidDel="00000000" w:rsidR="00000000" w:rsidRPr="00000000">
        <w:rPr>
          <w:rtl w:val="0"/>
        </w:rPr>
      </w:r>
    </w:p>
    <w:p w:rsidR="00000000" w:rsidDel="00000000" w:rsidP="00000000" w:rsidRDefault="00000000" w:rsidRPr="00000000" w14:paraId="00000077">
      <w:pPr>
        <w:rPr>
          <w:rFonts w:ascii="Times New Roman" w:cs="Times New Roman" w:eastAsia="Times New Roman" w:hAnsi="Times New Roman"/>
          <w:b w:val="1"/>
          <w:bCs w:val="1"/>
          <w:sz w:val="24"/>
          <w:szCs w:val="24"/>
          <w:highlight w:val="yellow"/>
        </w:rPr>
      </w:pPr>
      <w:r w:rsidDel="00000000" w:rsidR="00000000" w:rsidRPr="00000000">
        <w:rPr>
          <w:rtl w:val="0"/>
        </w:rPr>
      </w:r>
    </w:p>
    <w:p w:rsidR="00000000" w:rsidDel="00000000" w:rsidP="00000000" w:rsidRDefault="00000000" w:rsidRPr="00000000" w14:paraId="00000078">
      <w:pPr>
        <w:rPr>
          <w:rFonts w:ascii="Times New Roman" w:cs="Times New Roman" w:eastAsia="Times New Roman" w:hAnsi="Times New Roman"/>
          <w:b w:val="1"/>
          <w:bCs w:val="1"/>
          <w:sz w:val="24"/>
          <w:szCs w:val="24"/>
          <w:highlight w:val="yellow"/>
        </w:rPr>
      </w:pPr>
      <w:r w:rsidDel="00000000" w:rsidR="00000000" w:rsidRPr="00000000">
        <w:rPr>
          <w:rtl w:val="0"/>
        </w:rPr>
      </w:r>
    </w:p>
    <w:p w:rsidR="00000000" w:rsidDel="00000000" w:rsidP="00000000" w:rsidRDefault="00000000" w:rsidRPr="00000000" w14:paraId="00000079">
      <w:pPr>
        <w:rPr>
          <w:rFonts w:ascii="Times New Roman" w:cs="Times New Roman" w:eastAsia="Times New Roman" w:hAnsi="Times New Roman"/>
          <w:b w:val="1"/>
          <w:bCs w:val="1"/>
          <w:sz w:val="24"/>
          <w:szCs w:val="24"/>
          <w:highlight w:val="yellow"/>
        </w:rPr>
      </w:pPr>
      <w:r w:rsidDel="00000000" w:rsidR="00000000" w:rsidRPr="00000000">
        <w:rPr>
          <w:rtl w:val="0"/>
        </w:rPr>
      </w:r>
    </w:p>
    <w:p w:rsidR="00000000" w:rsidDel="00000000" w:rsidP="00000000" w:rsidRDefault="00000000" w:rsidRPr="00000000" w14:paraId="0000007A">
      <w:pPr>
        <w:rPr>
          <w:rFonts w:ascii="Times New Roman" w:cs="Times New Roman" w:eastAsia="Times New Roman" w:hAnsi="Times New Roman"/>
          <w:b w:val="1"/>
          <w:bCs w:val="1"/>
          <w:sz w:val="24"/>
          <w:szCs w:val="24"/>
          <w:highlight w:val="yellow"/>
        </w:rPr>
      </w:pPr>
      <w:r w:rsidDel="00000000" w:rsidR="00000000" w:rsidRPr="00000000">
        <w:rPr>
          <w:rtl w:val="0"/>
        </w:rPr>
      </w:r>
    </w:p>
    <w:p w:rsidR="00000000" w:rsidDel="00000000" w:rsidP="00000000" w:rsidRDefault="00000000" w:rsidRPr="00000000" w14:paraId="0000007B">
      <w:pPr>
        <w:rPr>
          <w:rFonts w:ascii="Times New Roman" w:cs="Times New Roman" w:eastAsia="Times New Roman" w:hAnsi="Times New Roman"/>
          <w:b w:val="1"/>
          <w:bCs w:val="1"/>
          <w:sz w:val="24"/>
          <w:szCs w:val="24"/>
          <w:highlight w:val="yellow"/>
        </w:rPr>
      </w:pPr>
      <w:r w:rsidDel="00000000" w:rsidR="00000000" w:rsidRPr="00000000">
        <w:rPr>
          <w:rtl w:val="0"/>
        </w:rPr>
      </w:r>
    </w:p>
    <w:p w:rsidR="00000000" w:rsidDel="00000000" w:rsidP="00000000" w:rsidRDefault="00000000" w:rsidRPr="00000000" w14:paraId="0000007C">
      <w:pPr>
        <w:rPr>
          <w:rFonts w:ascii="Times New Roman" w:cs="Times New Roman" w:eastAsia="Times New Roman" w:hAnsi="Times New Roman"/>
          <w:b w:val="1"/>
          <w:bCs w:val="1"/>
          <w:sz w:val="24"/>
          <w:szCs w:val="24"/>
          <w:highlight w:val="yellow"/>
        </w:rPr>
      </w:pPr>
      <w:r w:rsidDel="00000000" w:rsidR="00000000" w:rsidRPr="00000000">
        <w:rPr>
          <w:rtl w:val="0"/>
        </w:rPr>
      </w:r>
    </w:p>
    <w:p w:rsidR="00000000" w:rsidDel="00000000" w:rsidP="00000000" w:rsidRDefault="00000000" w:rsidRPr="00000000" w14:paraId="0000007D">
      <w:pPr>
        <w:rPr>
          <w:rFonts w:ascii="Times New Roman" w:cs="Times New Roman" w:eastAsia="Times New Roman" w:hAnsi="Times New Roman"/>
          <w:b w:val="1"/>
          <w:bCs w:val="1"/>
          <w:sz w:val="24"/>
          <w:szCs w:val="24"/>
          <w:highlight w:val="yellow"/>
        </w:rPr>
      </w:pPr>
      <w:r w:rsidDel="00000000" w:rsidR="00000000" w:rsidRPr="00000000">
        <w:rPr>
          <w:rtl w:val="0"/>
        </w:rPr>
      </w:r>
    </w:p>
    <w:p w:rsidR="00000000" w:rsidDel="00000000" w:rsidP="00000000" w:rsidRDefault="00000000" w:rsidRPr="00000000" w14:paraId="0000007E">
      <w:pPr>
        <w:rPr>
          <w:rFonts w:ascii="Times New Roman" w:cs="Times New Roman" w:eastAsia="Times New Roman" w:hAnsi="Times New Roman"/>
          <w:b w:val="1"/>
          <w:bCs w:val="1"/>
          <w:sz w:val="24"/>
          <w:szCs w:val="24"/>
          <w:highlight w:val="yellow"/>
        </w:rPr>
      </w:pPr>
      <w:r w:rsidDel="00000000" w:rsidR="00000000" w:rsidRPr="00000000">
        <w:rPr>
          <w:rtl w:val="0"/>
        </w:rPr>
      </w:r>
    </w:p>
    <w:p w:rsidR="00000000" w:rsidDel="00000000" w:rsidP="00000000" w:rsidRDefault="00000000" w:rsidRPr="00000000" w14:paraId="0000007F">
      <w:pPr>
        <w:rPr>
          <w:rFonts w:ascii="Times New Roman" w:cs="Times New Roman" w:eastAsia="Times New Roman" w:hAnsi="Times New Roman"/>
          <w:b w:val="1"/>
          <w:bCs w:val="1"/>
          <w:sz w:val="24"/>
          <w:szCs w:val="24"/>
          <w:highlight w:val="yellow"/>
        </w:rPr>
      </w:pPr>
      <w:r w:rsidDel="00000000" w:rsidR="00000000" w:rsidRPr="00000000">
        <w:rPr>
          <w:rtl w:val="0"/>
        </w:rPr>
      </w:r>
    </w:p>
    <w:p w:rsidR="00000000" w:rsidDel="00000000" w:rsidP="00000000" w:rsidRDefault="00000000" w:rsidRPr="00000000" w14:paraId="00000080">
      <w:pPr>
        <w:rPr>
          <w:rFonts w:ascii="Times New Roman" w:cs="Times New Roman" w:eastAsia="Times New Roman" w:hAnsi="Times New Roman"/>
          <w:b w:val="1"/>
          <w:bCs w:val="1"/>
          <w:sz w:val="24"/>
          <w:szCs w:val="24"/>
          <w:highlight w:val="yellow"/>
        </w:rPr>
      </w:pPr>
      <w:r w:rsidDel="00000000" w:rsidR="00000000" w:rsidRPr="00000000">
        <w:rPr>
          <w:rtl w:val="0"/>
        </w:rPr>
      </w:r>
    </w:p>
    <w:p w:rsidR="00000000" w:rsidDel="00000000" w:rsidP="00000000" w:rsidRDefault="00000000" w:rsidRPr="00000000" w14:paraId="00000081">
      <w:pPr>
        <w:pStyle w:val="Heading1"/>
        <w:jc w:val="center"/>
        <w:rPr>
          <w:rFonts w:ascii="Times New Roman" w:cs="Times New Roman" w:eastAsia="Times New Roman" w:hAnsi="Times New Roman"/>
          <w:b w:val="1"/>
          <w:bCs w:val="1"/>
          <w:sz w:val="24"/>
          <w:szCs w:val="24"/>
        </w:rPr>
      </w:pPr>
      <w:bookmarkStart w:colFirst="0" w:colLast="0" w:name="_heading=h.hvc24uu7ovzl" w:id="6"/>
      <w:bookmarkEnd w:id="6"/>
      <w:r w:rsidDel="00000000" w:rsidR="00000000" w:rsidRPr="00000000">
        <w:rPr>
          <w:rFonts w:ascii="Times New Roman" w:cs="Times New Roman" w:eastAsia="Times New Roman" w:hAnsi="Times New Roman"/>
          <w:b w:val="1"/>
          <w:bCs w:val="1"/>
          <w:sz w:val="24"/>
          <w:szCs w:val="24"/>
          <w:rtl w:val="0"/>
        </w:rPr>
        <w:t xml:space="preserve">Chapter 1</w:t>
      </w:r>
    </w:p>
    <w:p w:rsidR="00000000" w:rsidDel="00000000" w:rsidP="00000000" w:rsidRDefault="00000000" w:rsidRPr="00000000" w14:paraId="00000082">
      <w:pPr>
        <w:pStyle w:val="Heading2"/>
        <w:rPr>
          <w:rFonts w:ascii="Times New Roman" w:cs="Times New Roman" w:eastAsia="Times New Roman" w:hAnsi="Times New Roman"/>
          <w:sz w:val="24"/>
          <w:szCs w:val="24"/>
        </w:rPr>
      </w:pPr>
      <w:bookmarkStart w:colFirst="0" w:colLast="0" w:name="_heading=h.qbosznyqvz1n" w:id="7"/>
      <w:bookmarkEnd w:id="7"/>
      <w:r w:rsidDel="00000000" w:rsidR="00000000" w:rsidRPr="00000000">
        <w:rPr>
          <w:rFonts w:ascii="Times New Roman" w:cs="Times New Roman" w:eastAsia="Times New Roman" w:hAnsi="Times New Roman"/>
          <w:sz w:val="24"/>
          <w:szCs w:val="24"/>
          <w:rtl w:val="0"/>
        </w:rPr>
        <w:t xml:space="preserve">Introduction</w:t>
      </w:r>
    </w:p>
    <w:p w:rsidR="00000000" w:rsidDel="00000000" w:rsidP="00000000" w:rsidRDefault="00000000" w:rsidRPr="00000000" w14:paraId="00000083">
      <w:pPr>
        <w:shd w:fill="ffffff" w:val="clea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persistent under-representation and attrition of working mothers from senior leadership roles in UK schools signals a systemic mismatch between leadership expectations and caregiving realities. This study investigates how working mothers experience leadership in the UK education sector, the organisational and cultural factors that shape those experiences, and how policy and practice might be adapted to sustain inclusive leadership pathways. Building on national workforce evidence and intersectional, qualitative accounts of motherhood and leadership, the research seeks to identify practical strategies that schools and multi-academy trusts can implement to retain and develop talented women leaders with caregiving responsibilities (Sikes, 2022).</w:t>
      </w:r>
    </w:p>
    <w:p w:rsidR="00000000" w:rsidDel="00000000" w:rsidP="00000000" w:rsidRDefault="00000000" w:rsidRPr="00000000" w14:paraId="00000084">
      <w:pPr>
        <w:pStyle w:val="Heading2"/>
        <w:rPr>
          <w:rFonts w:ascii="Times New Roman" w:cs="Times New Roman" w:eastAsia="Times New Roman" w:hAnsi="Times New Roman"/>
          <w:sz w:val="24"/>
          <w:szCs w:val="24"/>
        </w:rPr>
      </w:pPr>
      <w:bookmarkStart w:colFirst="0" w:colLast="0" w:name="_heading=h.a7zp14uamnn3" w:id="8"/>
      <w:bookmarkEnd w:id="8"/>
      <w:r w:rsidDel="00000000" w:rsidR="00000000" w:rsidRPr="00000000">
        <w:rPr>
          <w:rFonts w:ascii="Times New Roman" w:cs="Times New Roman" w:eastAsia="Times New Roman" w:hAnsi="Times New Roman"/>
          <w:sz w:val="24"/>
          <w:szCs w:val="24"/>
          <w:rtl w:val="0"/>
        </w:rPr>
        <w:t xml:space="preserve">Background and significance</w:t>
      </w:r>
    </w:p>
    <w:p w:rsidR="00000000" w:rsidDel="00000000" w:rsidP="00000000" w:rsidRDefault="00000000" w:rsidRPr="00000000" w14:paraId="00000085">
      <w:pPr>
        <w:shd w:fill="ffffff" w:val="clea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Gender equity in education leadership has become a prominent policy and professional concern because equitable leadership pipelines affect school performance, staff wellbeing and representation at decision-making levels. Although women comprise the majority of the teaching workforce, they are less likely to occupy senior leadership posts and headships, particularly in secondary schools </w:t>
      </w:r>
      <w:r w:rsidDel="00000000" w:rsidR="00000000" w:rsidRPr="00000000">
        <w:rPr>
          <w:rFonts w:ascii="Times New Roman" w:cs="Times New Roman" w:eastAsia="Times New Roman" w:hAnsi="Times New Roman"/>
          <w:sz w:val="24"/>
          <w:szCs w:val="24"/>
          <w:highlight w:val="white"/>
          <w:rtl w:val="0"/>
        </w:rPr>
        <w:t xml:space="preserve">(Tes Magazine, 2025)</w:t>
      </w:r>
      <w:r w:rsidDel="00000000" w:rsidR="00000000" w:rsidRPr="00000000">
        <w:rPr>
          <w:rFonts w:ascii="Times New Roman" w:cs="Times New Roman" w:eastAsia="Times New Roman" w:hAnsi="Times New Roman"/>
          <w:sz w:val="24"/>
          <w:szCs w:val="24"/>
          <w:rtl w:val="0"/>
        </w:rPr>
        <w:t xml:space="preserve">. This “representation gap” is important to today’s business and organisational environment because leadership diversity is associated with improved organisational problem-solving, employee engagement and community legitimacy outcomes of direct relevance to schools as complex organisations serving diverse communities. Qualitative scholarship further shows that the experience of motherhood intersects with leadership identity in ways that can both enrich leadership practice and create acute tensions around time, visibility and expectations (Sikes, 2022). The significance of this topic therefore lies in the combined organisational costs (lost leadership capacity, recruitment/retention expense) and social equity imperative (fair access to career progression regardless of caregiving status).</w:t>
      </w:r>
    </w:p>
    <w:p w:rsidR="00000000" w:rsidDel="00000000" w:rsidP="00000000" w:rsidRDefault="00000000" w:rsidRPr="00000000" w14:paraId="00000086">
      <w:pPr>
        <w:pStyle w:val="Heading2"/>
        <w:rPr>
          <w:rFonts w:ascii="Times New Roman" w:cs="Times New Roman" w:eastAsia="Times New Roman" w:hAnsi="Times New Roman"/>
          <w:sz w:val="24"/>
          <w:szCs w:val="24"/>
        </w:rPr>
      </w:pPr>
      <w:bookmarkStart w:colFirst="0" w:colLast="0" w:name="_heading=h.kykkebot0ki0" w:id="9"/>
      <w:bookmarkEnd w:id="9"/>
      <w:r w:rsidDel="00000000" w:rsidR="00000000" w:rsidRPr="00000000">
        <w:rPr>
          <w:rFonts w:ascii="Times New Roman" w:cs="Times New Roman" w:eastAsia="Times New Roman" w:hAnsi="Times New Roman"/>
          <w:sz w:val="24"/>
          <w:szCs w:val="24"/>
          <w:rtl w:val="0"/>
        </w:rPr>
        <w:t xml:space="preserve">Problem definition</w:t>
      </w:r>
    </w:p>
    <w:p w:rsidR="00000000" w:rsidDel="00000000" w:rsidP="00000000" w:rsidRDefault="00000000" w:rsidRPr="00000000" w14:paraId="00000087">
      <w:pPr>
        <w:shd w:fill="ffffff" w:val="clea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specific business problem addressed by this research is that existing organisational structures, normative expectations of senior leadership availability, and uneven application of family-friendly policies create barriers that disproportionately disadvantage working mothers, limiting their progression into  and retention within senior leadership roles. These barriers are not merely individual or voluntary choices but are embedded in institutional practices (e.g. meeting schedules, informal “always-on” cultures) and gendered role expectations that produce a “double bind” for mothers: to perform as uninterrupted, available leaders while simultaneously fulfilling primary caregiving responsibilities. The result is slower career progression, higher attrition or voluntary step-downs from leadership, and an erosion of leadership pipeline diversity; problems that affect organisational resilience and strategic capability within the education sector (Department for Education, 2022; O’Neil, Hopkins &amp; Bilimoria, 2015).</w:t>
      </w:r>
    </w:p>
    <w:p w:rsidR="00000000" w:rsidDel="00000000" w:rsidP="00000000" w:rsidRDefault="00000000" w:rsidRPr="00000000" w14:paraId="00000088">
      <w:pPr>
        <w:pStyle w:val="Heading2"/>
        <w:rPr>
          <w:rFonts w:ascii="Times New Roman" w:cs="Times New Roman" w:eastAsia="Times New Roman" w:hAnsi="Times New Roman"/>
          <w:sz w:val="24"/>
          <w:szCs w:val="24"/>
        </w:rPr>
      </w:pPr>
      <w:bookmarkStart w:colFirst="0" w:colLast="0" w:name="_heading=h.r9t9h56vxa23" w:id="10"/>
      <w:bookmarkEnd w:id="10"/>
      <w:r w:rsidDel="00000000" w:rsidR="00000000" w:rsidRPr="00000000">
        <w:rPr>
          <w:rFonts w:ascii="Times New Roman" w:cs="Times New Roman" w:eastAsia="Times New Roman" w:hAnsi="Times New Roman"/>
          <w:sz w:val="24"/>
          <w:szCs w:val="24"/>
          <w:rtl w:val="0"/>
        </w:rPr>
        <w:t xml:space="preserve">Strategic relevance</w:t>
      </w:r>
    </w:p>
    <w:p w:rsidR="00000000" w:rsidDel="00000000" w:rsidP="00000000" w:rsidRDefault="00000000" w:rsidRPr="00000000" w14:paraId="00000089">
      <w:pPr>
        <w:shd w:fill="ffffff" w:val="clea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For school governing bodies, academy trusts, human resources leaders and policy makers, addressing the challenges faced by working mothers in leadership is strategically important. First, sustainable leadership pipelines are essential for continuity of school improvement and institutional knowledge transfer. Second, failure to accommodate caregivers reduces the available talent pool for senior roles, undermining workforce planning and increasing recruitment costs. Third, inclusive leadership practices contribute to staff morale and reduce the risk of reputational and legal challenges linked to inequitable treatment. Finally, embracing flexible and equitable leadership models aligns with broader public sector and corporate governance expectations around diversity and equality, strengthening institutional legitimacy with stakeholders including parents, staff and regional commissioners (O’Neil, Hopkins &amp; Bilimoria, 2015; Department for Education, 2022).</w:t>
      </w:r>
    </w:p>
    <w:p w:rsidR="00000000" w:rsidDel="00000000" w:rsidP="00000000" w:rsidRDefault="00000000" w:rsidRPr="00000000" w14:paraId="0000008A">
      <w:pPr>
        <w:pStyle w:val="Heading2"/>
        <w:rPr>
          <w:rFonts w:ascii="Times New Roman" w:cs="Times New Roman" w:eastAsia="Times New Roman" w:hAnsi="Times New Roman"/>
          <w:sz w:val="24"/>
          <w:szCs w:val="24"/>
        </w:rPr>
      </w:pPr>
      <w:bookmarkStart w:colFirst="0" w:colLast="0" w:name="_heading=h.ewno6w8t63p9" w:id="11"/>
      <w:bookmarkEnd w:id="11"/>
      <w:r w:rsidDel="00000000" w:rsidR="00000000" w:rsidRPr="00000000">
        <w:rPr>
          <w:rFonts w:ascii="Times New Roman" w:cs="Times New Roman" w:eastAsia="Times New Roman" w:hAnsi="Times New Roman"/>
          <w:sz w:val="24"/>
          <w:szCs w:val="24"/>
          <w:rtl w:val="0"/>
        </w:rPr>
        <w:t xml:space="preserve">Research aim</w:t>
      </w:r>
    </w:p>
    <w:p w:rsidR="00000000" w:rsidDel="00000000" w:rsidP="00000000" w:rsidRDefault="00000000" w:rsidRPr="00000000" w14:paraId="0000008B">
      <w:pPr>
        <w:shd w:fill="ffffff" w:val="clea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purpose of this mixed method study is to explore how working mothers experience, negotiate, and sustain leadership roles within the UK education sector and to identify policy and practice interventions that support equitable progression and retention.</w:t>
      </w:r>
    </w:p>
    <w:p w:rsidR="00000000" w:rsidDel="00000000" w:rsidP="00000000" w:rsidRDefault="00000000" w:rsidRPr="00000000" w14:paraId="0000008C">
      <w:pPr>
        <w:pStyle w:val="Heading3"/>
        <w:rPr>
          <w:rFonts w:ascii="Times New Roman" w:cs="Times New Roman" w:eastAsia="Times New Roman" w:hAnsi="Times New Roman"/>
          <w:sz w:val="24"/>
          <w:szCs w:val="24"/>
        </w:rPr>
      </w:pPr>
      <w:bookmarkStart w:colFirst="0" w:colLast="0" w:name="_heading=h.83mf2ponywaq" w:id="12"/>
      <w:bookmarkEnd w:id="12"/>
      <w:r w:rsidDel="00000000" w:rsidR="00000000" w:rsidRPr="00000000">
        <w:rPr>
          <w:rFonts w:ascii="Times New Roman" w:cs="Times New Roman" w:eastAsia="Times New Roman" w:hAnsi="Times New Roman"/>
          <w:sz w:val="24"/>
          <w:szCs w:val="24"/>
          <w:rtl w:val="0"/>
        </w:rPr>
        <w:t xml:space="preserve">Research objectives</w:t>
      </w:r>
    </w:p>
    <w:p w:rsidR="00000000" w:rsidDel="00000000" w:rsidP="00000000" w:rsidRDefault="00000000" w:rsidRPr="00000000" w14:paraId="0000008D">
      <w:pPr>
        <w:numPr>
          <w:ilvl w:val="0"/>
          <w:numId w:val="7"/>
        </w:numPr>
        <w:shd w:fill="ffffff" w:val="clear"/>
        <w:spacing w:after="200" w:line="48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examine the principal challenges encountered by working mothers in accessing and maintaining leadership roles within UK schools.</w:t>
      </w:r>
    </w:p>
    <w:p w:rsidR="00000000" w:rsidDel="00000000" w:rsidP="00000000" w:rsidRDefault="00000000" w:rsidRPr="00000000" w14:paraId="0000008E">
      <w:pPr>
        <w:numPr>
          <w:ilvl w:val="0"/>
          <w:numId w:val="7"/>
        </w:numPr>
        <w:shd w:fill="ffffff" w:val="clear"/>
        <w:spacing w:after="200" w:line="48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analyse how societal norms and institutional expectations influence the professional identities and career trajectories of working mothers in educational leadership.</w:t>
      </w:r>
    </w:p>
    <w:p w:rsidR="00000000" w:rsidDel="00000000" w:rsidP="00000000" w:rsidRDefault="00000000" w:rsidRPr="00000000" w14:paraId="0000008F">
      <w:pPr>
        <w:numPr>
          <w:ilvl w:val="0"/>
          <w:numId w:val="7"/>
        </w:numPr>
        <w:shd w:fill="ffffff" w:val="clear"/>
        <w:spacing w:after="200" w:line="48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investigate the ways in which working mothers navigate and reconcile their dual identities as organisational leaders and primary caregivers.</w:t>
      </w:r>
    </w:p>
    <w:p w:rsidR="00000000" w:rsidDel="00000000" w:rsidP="00000000" w:rsidRDefault="00000000" w:rsidRPr="00000000" w14:paraId="00000090">
      <w:pPr>
        <w:numPr>
          <w:ilvl w:val="0"/>
          <w:numId w:val="7"/>
        </w:numPr>
        <w:shd w:fill="ffffff" w:val="clear"/>
        <w:spacing w:after="200" w:line="48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assess which organisational policies and leadership practices are perceived as effective in fostering inclusive, supportive, and sustainable leadership environments.</w:t>
      </w:r>
    </w:p>
    <w:p w:rsidR="00000000" w:rsidDel="00000000" w:rsidP="00000000" w:rsidRDefault="00000000" w:rsidRPr="00000000" w14:paraId="00000091">
      <w:pPr>
        <w:numPr>
          <w:ilvl w:val="0"/>
          <w:numId w:val="7"/>
        </w:numPr>
        <w:shd w:fill="ffffff" w:val="clear"/>
        <w:spacing w:after="200" w:line="48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generate evidence-based recommendations for school leaders, HR professionals, and policymakers by synthesising insights from secondary data to strengthen institutional support for working mothers in senior leadership positions.</w:t>
      </w:r>
    </w:p>
    <w:p w:rsidR="00000000" w:rsidDel="00000000" w:rsidP="00000000" w:rsidRDefault="00000000" w:rsidRPr="00000000" w14:paraId="00000092">
      <w:pPr>
        <w:pStyle w:val="Heading3"/>
        <w:rPr>
          <w:rFonts w:ascii="Times New Roman" w:cs="Times New Roman" w:eastAsia="Times New Roman" w:hAnsi="Times New Roman"/>
          <w:sz w:val="24"/>
          <w:szCs w:val="24"/>
        </w:rPr>
      </w:pPr>
      <w:bookmarkStart w:colFirst="0" w:colLast="0" w:name="_heading=h.a8do72t0gz2w" w:id="13"/>
      <w:bookmarkEnd w:id="13"/>
      <w:r w:rsidDel="00000000" w:rsidR="00000000" w:rsidRPr="00000000">
        <w:rPr>
          <w:rFonts w:ascii="Times New Roman" w:cs="Times New Roman" w:eastAsia="Times New Roman" w:hAnsi="Times New Roman"/>
          <w:sz w:val="24"/>
          <w:szCs w:val="24"/>
          <w:rtl w:val="0"/>
        </w:rPr>
        <w:t xml:space="preserve">Research questions</w:t>
      </w:r>
    </w:p>
    <w:p w:rsidR="00000000" w:rsidDel="00000000" w:rsidP="00000000" w:rsidRDefault="00000000" w:rsidRPr="00000000" w14:paraId="00000093">
      <w:pPr>
        <w:numPr>
          <w:ilvl w:val="0"/>
          <w:numId w:val="8"/>
        </w:numPr>
        <w:shd w:fill="ffffff" w:val="clear"/>
        <w:spacing w:after="200" w:line="480" w:lineRule="auto"/>
        <w:ind w:left="144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What key structural, cultural, and organisational obstacles do working mothers encounter in leadership positions within the UK education sector?</w:t>
      </w:r>
    </w:p>
    <w:p w:rsidR="00000000" w:rsidDel="00000000" w:rsidP="00000000" w:rsidRDefault="00000000" w:rsidRPr="00000000" w14:paraId="00000094">
      <w:pPr>
        <w:numPr>
          <w:ilvl w:val="0"/>
          <w:numId w:val="8"/>
        </w:numPr>
        <w:shd w:fill="ffffff" w:val="clear"/>
        <w:spacing w:after="200" w:line="480" w:lineRule="auto"/>
        <w:ind w:left="144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How do working mothers navigate and reconcile their dual identities as educational leaders and primary caregivers?</w:t>
      </w:r>
    </w:p>
    <w:p w:rsidR="00000000" w:rsidDel="00000000" w:rsidP="00000000" w:rsidRDefault="00000000" w:rsidRPr="00000000" w14:paraId="00000095">
      <w:pPr>
        <w:numPr>
          <w:ilvl w:val="0"/>
          <w:numId w:val="8"/>
        </w:numPr>
        <w:shd w:fill="ffffff" w:val="clear"/>
        <w:spacing w:after="200" w:line="480" w:lineRule="auto"/>
        <w:ind w:left="144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How do institutional expectations and prevailing workplace cultures influence the professional development and career progression of working mothers?</w:t>
      </w:r>
    </w:p>
    <w:p w:rsidR="00000000" w:rsidDel="00000000" w:rsidP="00000000" w:rsidRDefault="00000000" w:rsidRPr="00000000" w14:paraId="00000096">
      <w:pPr>
        <w:numPr>
          <w:ilvl w:val="0"/>
          <w:numId w:val="8"/>
        </w:numPr>
        <w:shd w:fill="ffffff" w:val="clear"/>
        <w:spacing w:after="200" w:line="480" w:lineRule="auto"/>
        <w:ind w:left="144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Which organisational policies and leadership practices are perceived as most effective in fostering inclusive and supportive leadership environments?</w:t>
      </w:r>
    </w:p>
    <w:p w:rsidR="00000000" w:rsidDel="00000000" w:rsidP="00000000" w:rsidRDefault="00000000" w:rsidRPr="00000000" w14:paraId="00000097">
      <w:pPr>
        <w:shd w:fill="ffffff" w:val="clear"/>
        <w:spacing w:after="200" w:line="480" w:lineRule="auto"/>
        <w:ind w:left="144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8">
      <w:pPr>
        <w:shd w:fill="ffffff" w:val="clear"/>
        <w:spacing w:after="200" w:line="480" w:lineRule="auto"/>
        <w:ind w:left="144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9">
      <w:pPr>
        <w:shd w:fill="ffffff" w:val="clear"/>
        <w:spacing w:after="200" w:line="480" w:lineRule="auto"/>
        <w:ind w:left="144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A">
      <w:pPr>
        <w:shd w:fill="ffffff" w:val="clear"/>
        <w:spacing w:after="200" w:line="480" w:lineRule="auto"/>
        <w:ind w:left="144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B">
      <w:pPr>
        <w:shd w:fill="ffffff" w:val="clear"/>
        <w:spacing w:after="200" w:line="480" w:lineRule="auto"/>
        <w:ind w:left="144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C">
      <w:pPr>
        <w:shd w:fill="ffffff" w:val="clear"/>
        <w:spacing w:after="200" w:line="480" w:lineRule="auto"/>
        <w:ind w:left="58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D">
      <w:pPr>
        <w:shd w:fill="ffffff" w:val="clear"/>
        <w:spacing w:after="200"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E">
      <w:pPr>
        <w:shd w:fill="ffffff" w:val="clear"/>
        <w:spacing w:after="200"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F">
      <w:pPr>
        <w:shd w:fill="ffffff" w:val="clear"/>
        <w:spacing w:after="200"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0">
      <w:pPr>
        <w:shd w:fill="ffffff" w:val="clear"/>
        <w:spacing w:after="200"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1">
      <w:pPr>
        <w:pStyle w:val="Heading1"/>
        <w:jc w:val="center"/>
        <w:rPr>
          <w:rFonts w:ascii="Times New Roman" w:cs="Times New Roman" w:eastAsia="Times New Roman" w:hAnsi="Times New Roman"/>
          <w:b w:val="1"/>
          <w:bCs w:val="1"/>
          <w:sz w:val="24"/>
          <w:szCs w:val="24"/>
        </w:rPr>
      </w:pPr>
      <w:bookmarkStart w:colFirst="0" w:colLast="0" w:name="_heading=h.3hg2q9dnblm4" w:id="14"/>
      <w:bookmarkEnd w:id="14"/>
      <w:r w:rsidDel="00000000" w:rsidR="00000000" w:rsidRPr="00000000">
        <w:rPr>
          <w:rFonts w:ascii="Times New Roman" w:cs="Times New Roman" w:eastAsia="Times New Roman" w:hAnsi="Times New Roman"/>
          <w:b w:val="1"/>
          <w:bCs w:val="1"/>
          <w:sz w:val="24"/>
          <w:szCs w:val="24"/>
          <w:rtl w:val="0"/>
        </w:rPr>
        <w:t xml:space="preserve">Chapter 2</w:t>
      </w:r>
    </w:p>
    <w:p w:rsidR="00000000" w:rsidDel="00000000" w:rsidP="00000000" w:rsidRDefault="00000000" w:rsidRPr="00000000" w14:paraId="000000A2">
      <w:pPr>
        <w:pStyle w:val="Heading2"/>
        <w:rPr>
          <w:rFonts w:ascii="Times New Roman" w:cs="Times New Roman" w:eastAsia="Times New Roman" w:hAnsi="Times New Roman"/>
          <w:sz w:val="24"/>
          <w:szCs w:val="24"/>
        </w:rPr>
      </w:pPr>
      <w:bookmarkStart w:colFirst="0" w:colLast="0" w:name="_heading=h.4palsok4fd39" w:id="15"/>
      <w:bookmarkEnd w:id="15"/>
      <w:r w:rsidDel="00000000" w:rsidR="00000000" w:rsidRPr="00000000">
        <w:rPr>
          <w:rFonts w:ascii="Times New Roman" w:cs="Times New Roman" w:eastAsia="Times New Roman" w:hAnsi="Times New Roman"/>
          <w:sz w:val="24"/>
          <w:szCs w:val="24"/>
          <w:rtl w:val="0"/>
        </w:rPr>
        <w:t xml:space="preserve">Literature Review </w:t>
      </w:r>
    </w:p>
    <w:p w:rsidR="00000000" w:rsidDel="00000000" w:rsidP="00000000" w:rsidRDefault="00000000" w:rsidRPr="00000000" w14:paraId="000000A3">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literature review critically examines the challenges faced by women and mothers in educational leadership, incorporating both structural analyses of systemic barriers and gendered organisational norms, as well as qualitative studies of lived experience. Drawing on literature from both school and higher education contexts, it highlights issues such as the motherhood penalty, inflexible working arrangements, restricted career progression, and the impact of professional identity. While the review engages with a broad range of themes, including institutional bias, dominant leadership expectations, and the recognition of caregiving skills as potential leadership strengths, it gives limited attention to longitudinal evidence and large-scale UK-focused quantitative studies. These limitations point to the need for further research that not only identifies barriers but also critically examines the organisational and cultural forces that sustain them.</w:t>
      </w:r>
    </w:p>
    <w:p w:rsidR="00000000" w:rsidDel="00000000" w:rsidP="00000000" w:rsidRDefault="00000000" w:rsidRPr="00000000" w14:paraId="000000A4">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Research on gender and leadership in education consistently demonstrates a misalignment between women’s prevalence in the teaching workforce and their limited representation in senior leadership roles. Keele University (2021) and Joy (2025) note that while women constitute around 63% of secondary and over 80% of primary school staff, they hold only 38% and 27% of headteacher posts. Keele (2021) provides a rigorous structural critique, linking these disparities to institutionalised patriarchy, opaque promotion pathways, and maternity-related career interruptions, while also acknowledging cultural barriers such as imposter syndrome and limited mentoring. Its call for intersectional reform is a notable strength; however, the study lacks detail on implementation strategies and offers limited exploration of how intersecting identities further influence leadership access. In contrast, Joy (2025) adopts a more celebratory lens, foregrounding high-profile female leaders and their contributions to inclusive pedagogical practices. While reinforcing statistical disparities, Joy offers limited analysis of systemic barriers or policy limitations, risking a depoliticised view of gender inequality in leadership. The study’s treatment of issues such as the gender pay gap is primarily descriptive, offering minimal guidance for structural change.</w:t>
      </w:r>
    </w:p>
    <w:p w:rsidR="00000000" w:rsidDel="00000000" w:rsidP="00000000" w:rsidRDefault="00000000" w:rsidRPr="00000000" w14:paraId="000000A5">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Complementing these structural analyses, narrative accounts provide critical insight into lived experiences. The Schools Week article </w:t>
      </w:r>
      <w:r w:rsidDel="00000000" w:rsidR="00000000" w:rsidRPr="00000000">
        <w:rPr>
          <w:rFonts w:ascii="Times New Roman" w:cs="Times New Roman" w:eastAsia="Times New Roman" w:hAnsi="Times New Roman"/>
          <w:i w:val="1"/>
          <w:iCs w:val="1"/>
          <w:sz w:val="24"/>
          <w:szCs w:val="24"/>
          <w:rtl w:val="0"/>
        </w:rPr>
        <w:t xml:space="preserve">How it feels to pay the motherhood penalty</w:t>
      </w:r>
      <w:r w:rsidDel="00000000" w:rsidR="00000000" w:rsidRPr="00000000">
        <w:rPr>
          <w:rFonts w:ascii="Times New Roman" w:cs="Times New Roman" w:eastAsia="Times New Roman" w:hAnsi="Times New Roman"/>
          <w:sz w:val="24"/>
          <w:szCs w:val="24"/>
          <w:rtl w:val="0"/>
        </w:rPr>
        <w:t xml:space="preserve"> (2025) illustrates the strain on aspiring and current women leaders when expectations of constant availability conflict with caregiving responsibilities. While the article effectively conveys emotional and professional challenges, its individualised framing obscures the institutional and cultural mechanisms that perpetuate the motherhood penalty, and it offers little consideration of intersectional identities.</w:t>
      </w:r>
    </w:p>
    <w:p w:rsidR="00000000" w:rsidDel="00000000" w:rsidP="00000000" w:rsidRDefault="00000000" w:rsidRPr="00000000" w14:paraId="000000A6">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Expanding the experiential focus, Brown (2023) investigates part-time women teachers navigating competing “timescapes”; institutional, domestic, and emotional. Her life-history approach demonstrates that part-time work, often adopted to balance work and family life, paradoxically limits leadership progression because educational cultures equate leadership with constant presence and temporal availability. Brown’s theoretical clarity and conceptual framing are strengths; however, her small, context-specific sample limits broader generalisability. These findings echo the exclusionary attitudes captured in Schools Week (2025), where women reported being deemed “too stretched” for leadership positions; a scrutiny largely absent for men.</w:t>
      </w:r>
    </w:p>
    <w:p w:rsidR="00000000" w:rsidDel="00000000" w:rsidP="00000000" w:rsidRDefault="00000000" w:rsidRPr="00000000" w14:paraId="000000A7">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Turning specifically to motherhood and leadership, Ravindranath et al. (2021) highlight structural rigidity, managerial unsupportiveness, and work-life conflict as barriers for mothers in private schools. While rich in qualitative detail, the study’s sector-specific focus limits its generalisability to UK state schools. Sheppard (2023) complements this with national UK data, showing that women aged 30-39, the period in which many teachers become mothers, form the largest group leaving the profession. This work effectively documents the motherhood penalty but provides limited analysis of variability across school types, leadership levels, or intersecting identities.</w:t>
      </w:r>
    </w:p>
    <w:p w:rsidR="00000000" w:rsidDel="00000000" w:rsidP="00000000" w:rsidRDefault="00000000" w:rsidRPr="00000000" w14:paraId="000000A8">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Building on these studies, Torres et al. (2024) conducted a scoping review of studies published between 2010 and 2022, identifying the complex ways in which motherhood influences career progression, including structural, interpersonal, and behavioural mechanisms. They report lower wages, higher turnover, and frequent employment transitions among mothers, and acknowledge that intersectional factors, such as race and class, compound disadvantage. The study’s strengths lie in its breadth, multidimensional perspective, and clear call for systemic change. However, the review is not specific to the UK, provides minimal longitudinal evidence, and offers insufficient evaluation of which interventions succeed under particular conditions. It also does not examine how mothers who successfully navigate leadership roles overcome structural barriers, leaving a gap in understanding effective strategies.</w:t>
      </w:r>
    </w:p>
    <w:p w:rsidR="00000000" w:rsidDel="00000000" w:rsidP="00000000" w:rsidRDefault="00000000" w:rsidRPr="00000000" w14:paraId="000000A9">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Complementing these broader analyses, Horton (2023) centres on mothers who have attained senior leadership roles, exploring how they reconcile the competing identities of headship and caregiving. Grounded in concepts such as intensive mothering, the maternal wall, and the wage penalty, Horton moves beyond deficit framings to highlight how motherhood can enrich leadership practice. While theoretically robust, the research could further examine how institutional constraints shape these negotiations and the extent to which such enriching practices are recognised within leadership cultures.</w:t>
      </w:r>
    </w:p>
    <w:p w:rsidR="00000000" w:rsidDel="00000000" w:rsidP="00000000" w:rsidRDefault="00000000" w:rsidRPr="00000000" w14:paraId="000000AA">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Extending this micro-level perspective, Facey (2022/23) investigates mothers aspiring to secondary headship in state-funded English and Welsh schools. Using a life-history methodology with seven participants, Facey combines interviews, timelines, and personal artefacts to explore how institutional structures, relational dynamics, and personal agency shape leadership trajectories. Strengths of this study include its methodological richness, theoretical grounding in structuration and intersectionality, and detailed insight into both barriers and opportunities experienced during maternity and career progression. However, the limitation of this study is the small, non-representative sample, potential self-selection bias, limited longitudinal data, and underdeveloped analysis of intersectional factors beyond motherhood. Critically, while Facey provides valuable evidence of how mothers exercise agency within structural constraints, broader generalisability is limited, and the long-term outcomes of these strategies remain unexamined.</w:t>
      </w:r>
    </w:p>
    <w:p w:rsidR="00000000" w:rsidDel="00000000" w:rsidP="00000000" w:rsidRDefault="00000000" w:rsidRPr="00000000" w14:paraId="000000AB">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Taken together, the literature highlights persistent structural and cultural barriers that constrain women’s progression into senior leadership in education. Despite extensive descriptive and qualitative insights, key gaps remain: there is a scarcity of longitudinal, UK-specific research examining how motherhood, part-time work, and leadership intersect; intersectional dimensions such as race, class, and disability are underexplored; and limited attention has been given to which policies or organisational practices effectively support working mothers in attaining and sustaining leadership positions. Moreover, a disconnect persists between existing knowledge and implementation: while interventions are documented, they are rarely applied consistently or systemically across educational institutions. These gaps point to the need for research that goes beyond identifying inequality to evaluating actionable strategies for creating equitable and supportive leadership environments.</w:t>
      </w:r>
    </w:p>
    <w:p w:rsidR="00000000" w:rsidDel="00000000" w:rsidP="00000000" w:rsidRDefault="00000000" w:rsidRPr="00000000" w14:paraId="000000AC">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Addressing this gap, this study will use secondary data to examine the organisational and cultural factors shaping working mothers’ experiences in UK schools. It seeks to understand the most significant organisational and cultural barriers encountered by working mothers seeking or occupying senior leadership roles, explore how they negotiate their professional leadership identity alongside caregiving responsibilities and the strategies they use to manage role conflict, and assess which policies and leadership practices are perceived by both working mothers and their organisations as most effective in promoting equitable access to senior leadership.</w:t>
      </w:r>
    </w:p>
    <w:p w:rsidR="00000000" w:rsidDel="00000000" w:rsidP="00000000" w:rsidRDefault="00000000" w:rsidRPr="00000000" w14:paraId="000000AD">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By focusing on these dimensions, the study seeks to identify the principal challenges encountered by working mothers, examine how institutional and societal expectations influence their professional identities and career pathways, and assess the effectiveness of existing workplace policies and organisational practices. The findings aim to produce actionable insights to inform policy and practice, supporting more coherent, sector-wide cultural change and the development of leadership environments that more effectively enable the progression of women within education.</w:t>
      </w:r>
    </w:p>
    <w:p w:rsidR="00000000" w:rsidDel="00000000" w:rsidP="00000000" w:rsidRDefault="00000000" w:rsidRPr="00000000" w14:paraId="000000AE">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F">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0">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1">
      <w:pPr>
        <w:pStyle w:val="Heading1"/>
        <w:jc w:val="center"/>
        <w:rPr>
          <w:rFonts w:ascii="Times New Roman" w:cs="Times New Roman" w:eastAsia="Times New Roman" w:hAnsi="Times New Roman"/>
          <w:b w:val="1"/>
          <w:bCs w:val="1"/>
          <w:sz w:val="24"/>
          <w:szCs w:val="24"/>
        </w:rPr>
      </w:pPr>
      <w:bookmarkStart w:colFirst="0" w:colLast="0" w:name="_heading=h.mf72akxrtpt5" w:id="16"/>
      <w:bookmarkEnd w:id="16"/>
      <w:r w:rsidDel="00000000" w:rsidR="00000000" w:rsidRPr="00000000">
        <w:rPr>
          <w:rFonts w:ascii="Times New Roman" w:cs="Times New Roman" w:eastAsia="Times New Roman" w:hAnsi="Times New Roman"/>
          <w:b w:val="1"/>
          <w:bCs w:val="1"/>
          <w:sz w:val="24"/>
          <w:szCs w:val="24"/>
          <w:rtl w:val="0"/>
        </w:rPr>
        <w:t xml:space="preserve">Chapter 3</w:t>
      </w:r>
    </w:p>
    <w:p w:rsidR="00000000" w:rsidDel="00000000" w:rsidP="00000000" w:rsidRDefault="00000000" w:rsidRPr="00000000" w14:paraId="000000B2">
      <w:pPr>
        <w:pStyle w:val="Heading2"/>
        <w:rPr>
          <w:rFonts w:ascii="Times New Roman" w:cs="Times New Roman" w:eastAsia="Times New Roman" w:hAnsi="Times New Roman"/>
          <w:sz w:val="24"/>
          <w:szCs w:val="24"/>
        </w:rPr>
      </w:pPr>
      <w:bookmarkStart w:colFirst="0" w:colLast="0" w:name="_heading=h.9hz13k87lgmp" w:id="17"/>
      <w:bookmarkEnd w:id="17"/>
      <w:r w:rsidDel="00000000" w:rsidR="00000000" w:rsidRPr="00000000">
        <w:rPr>
          <w:rFonts w:ascii="Times New Roman" w:cs="Times New Roman" w:eastAsia="Times New Roman" w:hAnsi="Times New Roman"/>
          <w:sz w:val="24"/>
          <w:szCs w:val="24"/>
          <w:rtl w:val="0"/>
        </w:rPr>
        <w:t xml:space="preserve">Research Methodology </w:t>
      </w:r>
    </w:p>
    <w:p w:rsidR="00000000" w:rsidDel="00000000" w:rsidP="00000000" w:rsidRDefault="00000000" w:rsidRPr="00000000" w14:paraId="000000B3">
      <w:pPr>
        <w:pStyle w:val="Heading3"/>
        <w:rPr>
          <w:rFonts w:ascii="Times New Roman" w:cs="Times New Roman" w:eastAsia="Times New Roman" w:hAnsi="Times New Roman"/>
          <w:sz w:val="24"/>
          <w:szCs w:val="24"/>
        </w:rPr>
      </w:pPr>
      <w:bookmarkStart w:colFirst="0" w:colLast="0" w:name="_heading=h.c9ui125mjrnm" w:id="18"/>
      <w:bookmarkEnd w:id="18"/>
      <w:r w:rsidDel="00000000" w:rsidR="00000000" w:rsidRPr="00000000">
        <w:rPr>
          <w:rFonts w:ascii="Times New Roman" w:cs="Times New Roman" w:eastAsia="Times New Roman" w:hAnsi="Times New Roman"/>
          <w:sz w:val="24"/>
          <w:szCs w:val="24"/>
          <w:rtl w:val="0"/>
        </w:rPr>
        <w:t xml:space="preserve">Research Philosophy, Approach and Design</w:t>
      </w:r>
    </w:p>
    <w:p w:rsidR="00000000" w:rsidDel="00000000" w:rsidP="00000000" w:rsidRDefault="00000000" w:rsidRPr="00000000" w14:paraId="000000B4">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study is grounded in a pragmatic research philosophy, which emphasises practical inquiry and the use of multiple forms of evidence to address real-world problems (Saunders, Lewis and Thornhill, 2015; O’Gorman and MacIntosh, 2015). Pragmatism does not commit the researcher to a single worldview; instead, it supports selecting methods that most effectively address the research aims. This makes it appropriate for examining the experiences of working mothers in leadership roles within the UK education sector, as the goal is to generate findings that can meaningfully inform institutional policy and workplace practice. Pragmatism therefore provides a philosophical basis that prioritises outcomes, usefulness, and flexibility (O’Gorman and MacIntosh, 2015).</w:t>
      </w:r>
    </w:p>
    <w:p w:rsidR="00000000" w:rsidDel="00000000" w:rsidP="00000000" w:rsidRDefault="00000000" w:rsidRPr="00000000" w14:paraId="000000B5">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line with this, the research follows a mixed-methods approach, drawing on both quantitative and qualitative secondary data. A mixed-methods strategy aligns with the pragmatic view that research questions should determine method selection rather than epistemological constraints. Quantitative evidence is used to establish patterns in leadership representation, employment structures, and work-life balance indicators, while qualitative sources contribute depth and contextual understanding of the lived realities faced by working mothers. Together, these methods support a more complete and nuanced analysis of the issue.</w:t>
      </w:r>
    </w:p>
    <w:p w:rsidR="00000000" w:rsidDel="00000000" w:rsidP="00000000" w:rsidRDefault="00000000" w:rsidRPr="00000000" w14:paraId="000000B6">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study adopts a cross-sectional research design, examining existing data from a specific point in time rather than generating new longitudinal material. This is suitable for secondary data research and enables the research to present an up-to-date picture of the current conditions surrounding leadership roles and gender-related challenges in the UK education sector. A cross-sectional approach also facilitates comparison across multiple datasets that have been collected during similar timeframes.</w:t>
      </w:r>
    </w:p>
    <w:p w:rsidR="00000000" w:rsidDel="00000000" w:rsidP="00000000" w:rsidRDefault="00000000" w:rsidRPr="00000000" w14:paraId="000000B7">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Using secondary data is an intentional and practical choice. It offers a highly efficient way of conducting research, removing the need for designing instruments, gaining access to participants, or coordinating fieldwork. Kelly (2024) highlights this efficiency, noting that secondary data analysis provides a low-cost and accessible means of answering new research questions. The approach also draws upon the strength of large, pre-existing datasets that individual researchers could not feasibly gather themselves. Such sources particularly those created by government bodies and academic repositories tend to be comprehensive, systematically collected, and of high quality (Walker, 2021). Furthermore, the ability to integrate and compare multiple datasets strengthens the robustness of the findings through triangulation.</w:t>
      </w:r>
    </w:p>
    <w:p w:rsidR="00000000" w:rsidDel="00000000" w:rsidP="00000000" w:rsidRDefault="00000000" w:rsidRPr="00000000" w14:paraId="000000B8">
      <w:pPr>
        <w:pStyle w:val="Heading3"/>
        <w:rPr>
          <w:rFonts w:ascii="Times New Roman" w:cs="Times New Roman" w:eastAsia="Times New Roman" w:hAnsi="Times New Roman"/>
          <w:sz w:val="24"/>
          <w:szCs w:val="24"/>
        </w:rPr>
      </w:pPr>
      <w:bookmarkStart w:colFirst="0" w:colLast="0" w:name="_heading=h.5gjbctpjrjkf" w:id="19"/>
      <w:bookmarkEnd w:id="19"/>
      <w:r w:rsidDel="00000000" w:rsidR="00000000" w:rsidRPr="00000000">
        <w:rPr>
          <w:rFonts w:ascii="Times New Roman" w:cs="Times New Roman" w:eastAsia="Times New Roman" w:hAnsi="Times New Roman"/>
          <w:sz w:val="24"/>
          <w:szCs w:val="24"/>
          <w:rtl w:val="0"/>
        </w:rPr>
        <w:t xml:space="preserve">Secondary Data Sources</w:t>
      </w:r>
    </w:p>
    <w:p w:rsidR="00000000" w:rsidDel="00000000" w:rsidP="00000000" w:rsidRDefault="00000000" w:rsidRPr="00000000" w14:paraId="000000B9">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support the mixed-methods design, the study uses a combination of quantitative datasets, qualitative materials, and documentary evidence from a range of credible bodies.</w:t>
      </w:r>
    </w:p>
    <w:p w:rsidR="00000000" w:rsidDel="00000000" w:rsidP="00000000" w:rsidRDefault="00000000" w:rsidRPr="00000000" w14:paraId="000000BA">
      <w:pPr>
        <w:spacing w:after="240" w:before="240" w:line="48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sz w:val="24"/>
          <w:szCs w:val="24"/>
          <w:rtl w:val="0"/>
        </w:rPr>
        <w:t xml:space="preserve">The data was obtained from the following secondary sources:</w:t>
      </w:r>
      <w:r w:rsidDel="00000000" w:rsidR="00000000" w:rsidRPr="00000000">
        <w:rPr>
          <w:rtl w:val="0"/>
        </w:rPr>
      </w:r>
    </w:p>
    <w:p w:rsidR="00000000" w:rsidDel="00000000" w:rsidP="00000000" w:rsidRDefault="00000000" w:rsidRPr="00000000" w14:paraId="000000BB">
      <w:pPr>
        <w:numPr>
          <w:ilvl w:val="0"/>
          <w:numId w:val="5"/>
        </w:numPr>
        <w:spacing w:before="240" w:line="480" w:lineRule="auto"/>
        <w:ind w:left="720" w:hanging="360"/>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sz w:val="24"/>
          <w:szCs w:val="24"/>
          <w:rtl w:val="0"/>
        </w:rPr>
        <w:t xml:space="preserve">Government Reports and Statistics:</w:t>
      </w:r>
      <w:r w:rsidDel="00000000" w:rsidR="00000000" w:rsidRPr="00000000">
        <w:rPr>
          <w:rtl w:val="0"/>
        </w:rPr>
      </w:r>
    </w:p>
    <w:p w:rsidR="00000000" w:rsidDel="00000000" w:rsidP="00000000" w:rsidRDefault="00000000" w:rsidRPr="00000000" w14:paraId="000000BC">
      <w:pPr>
        <w:numPr>
          <w:ilvl w:val="0"/>
          <w:numId w:val="1"/>
        </w:numPr>
        <w:spacing w:line="48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Department for Education (DfE) leadership workforce statistics  which offer detailed information on the distribution of leadership positions across gender.</w:t>
      </w:r>
    </w:p>
    <w:p w:rsidR="00000000" w:rsidDel="00000000" w:rsidP="00000000" w:rsidRDefault="00000000" w:rsidRPr="00000000" w14:paraId="000000BD">
      <w:pPr>
        <w:numPr>
          <w:ilvl w:val="0"/>
          <w:numId w:val="1"/>
        </w:numPr>
        <w:spacing w:line="48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Office for National Statistics (ONS) data on employment patterns, labour market participation, and family-related work trends.</w:t>
      </w:r>
    </w:p>
    <w:p w:rsidR="00000000" w:rsidDel="00000000" w:rsidP="00000000" w:rsidRDefault="00000000" w:rsidRPr="00000000" w14:paraId="000000BE">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These datasets supply broad, representative evidence that can be used to assess the structural positioning of working mothers within the education workforce.</w:t>
      </w:r>
    </w:p>
    <w:p w:rsidR="00000000" w:rsidDel="00000000" w:rsidP="00000000" w:rsidRDefault="00000000" w:rsidRPr="00000000" w14:paraId="000000BF">
      <w:pPr>
        <w:pStyle w:val="Heading4"/>
        <w:rPr>
          <w:rFonts w:ascii="Times New Roman" w:cs="Times New Roman" w:eastAsia="Times New Roman" w:hAnsi="Times New Roman"/>
        </w:rPr>
      </w:pPr>
      <w:bookmarkStart w:colFirst="0" w:colLast="0" w:name="_heading=h.kc67xu9i5bsj" w:id="20"/>
      <w:bookmarkEnd w:id="20"/>
      <w:r w:rsidDel="00000000" w:rsidR="00000000" w:rsidRPr="00000000">
        <w:rPr>
          <w:rFonts w:ascii="Times New Roman" w:cs="Times New Roman" w:eastAsia="Times New Roman" w:hAnsi="Times New Roman"/>
          <w:rtl w:val="0"/>
        </w:rPr>
        <w:t xml:space="preserve">Academic Literature and Research Outputs</w:t>
      </w:r>
    </w:p>
    <w:p w:rsidR="00000000" w:rsidDel="00000000" w:rsidP="00000000" w:rsidRDefault="00000000" w:rsidRPr="00000000" w14:paraId="000000C0">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Academic studies contribute qualitative and conceptual insights. This includes:</w:t>
      </w:r>
    </w:p>
    <w:p w:rsidR="00000000" w:rsidDel="00000000" w:rsidP="00000000" w:rsidRDefault="00000000" w:rsidRPr="00000000" w14:paraId="000000C1">
      <w:pPr>
        <w:numPr>
          <w:ilvl w:val="0"/>
          <w:numId w:val="3"/>
        </w:numPr>
        <w:spacing w:before="240" w:line="48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Peer-reviewed journal articles</w:t>
      </w:r>
    </w:p>
    <w:p w:rsidR="00000000" w:rsidDel="00000000" w:rsidP="00000000" w:rsidRDefault="00000000" w:rsidRPr="00000000" w14:paraId="000000C2">
      <w:pPr>
        <w:numPr>
          <w:ilvl w:val="0"/>
          <w:numId w:val="3"/>
        </w:numPr>
        <w:spacing w:line="48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Doctoral theses and research reports</w:t>
      </w:r>
    </w:p>
    <w:p w:rsidR="00000000" w:rsidDel="00000000" w:rsidP="00000000" w:rsidRDefault="00000000" w:rsidRPr="00000000" w14:paraId="000000C3">
      <w:pPr>
        <w:numPr>
          <w:ilvl w:val="0"/>
          <w:numId w:val="3"/>
        </w:numPr>
        <w:spacing w:after="240" w:line="48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Published investigations into gender equality, leadership career trajectories, and work–life integration</w:t>
      </w:r>
    </w:p>
    <w:p w:rsidR="00000000" w:rsidDel="00000000" w:rsidP="00000000" w:rsidRDefault="00000000" w:rsidRPr="00000000" w14:paraId="000000C4">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These sources help contextualise the quantitative findings and deepen understanding of the lived experiences of working mothers in leadership positions.</w:t>
      </w:r>
    </w:p>
    <w:p w:rsidR="00000000" w:rsidDel="00000000" w:rsidP="00000000" w:rsidRDefault="00000000" w:rsidRPr="00000000" w14:paraId="000000C5">
      <w:pPr>
        <w:pStyle w:val="Heading4"/>
        <w:rPr>
          <w:rFonts w:ascii="Times New Roman" w:cs="Times New Roman" w:eastAsia="Times New Roman" w:hAnsi="Times New Roman"/>
        </w:rPr>
      </w:pPr>
      <w:bookmarkStart w:colFirst="0" w:colLast="0" w:name="_heading=h.gjpfbcdrdwlp" w:id="21"/>
      <w:bookmarkEnd w:id="21"/>
      <w:r w:rsidDel="00000000" w:rsidR="00000000" w:rsidRPr="00000000">
        <w:rPr>
          <w:rFonts w:ascii="Times New Roman" w:cs="Times New Roman" w:eastAsia="Times New Roman" w:hAnsi="Times New Roman"/>
          <w:rtl w:val="0"/>
        </w:rPr>
        <w:t xml:space="preserve">Organisational and Professional Body Reports</w:t>
      </w:r>
    </w:p>
    <w:p w:rsidR="00000000" w:rsidDel="00000000" w:rsidP="00000000" w:rsidRDefault="00000000" w:rsidRPr="00000000" w14:paraId="000000C6">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Documents produced by trade unions and professional organisations including NASUWT and NEU provide further qualitative and contextual data. These often take the form of:</w:t>
      </w:r>
    </w:p>
    <w:p w:rsidR="00000000" w:rsidDel="00000000" w:rsidP="00000000" w:rsidRDefault="00000000" w:rsidRPr="00000000" w14:paraId="000000C7">
      <w:pPr>
        <w:numPr>
          <w:ilvl w:val="0"/>
          <w:numId w:val="2"/>
        </w:numPr>
        <w:spacing w:before="240" w:line="48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Workforce surveys</w:t>
      </w:r>
    </w:p>
    <w:p w:rsidR="00000000" w:rsidDel="00000000" w:rsidP="00000000" w:rsidRDefault="00000000" w:rsidRPr="00000000" w14:paraId="000000C8">
      <w:pPr>
        <w:numPr>
          <w:ilvl w:val="0"/>
          <w:numId w:val="2"/>
        </w:numPr>
        <w:spacing w:line="48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Practitioner testimonies</w:t>
      </w:r>
    </w:p>
    <w:p w:rsidR="00000000" w:rsidDel="00000000" w:rsidP="00000000" w:rsidRDefault="00000000" w:rsidRPr="00000000" w14:paraId="000000C9">
      <w:pPr>
        <w:numPr>
          <w:ilvl w:val="0"/>
          <w:numId w:val="2"/>
        </w:numPr>
        <w:spacing w:after="240" w:line="48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Reports on gender equity and workplace culture</w:t>
        <w:br w:type="textWrapping"/>
      </w:r>
    </w:p>
    <w:p w:rsidR="00000000" w:rsidDel="00000000" w:rsidP="00000000" w:rsidRDefault="00000000" w:rsidRPr="00000000" w14:paraId="000000CA">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Because these organisations are closely connected to the education sector, their publications offer valuable insights into everyday challenges and policy implications.</w:t>
      </w:r>
    </w:p>
    <w:p w:rsidR="00000000" w:rsidDel="00000000" w:rsidP="00000000" w:rsidRDefault="00000000" w:rsidRPr="00000000" w14:paraId="000000CB">
      <w:pPr>
        <w:pStyle w:val="Heading4"/>
        <w:rPr>
          <w:rFonts w:ascii="Times New Roman" w:cs="Times New Roman" w:eastAsia="Times New Roman" w:hAnsi="Times New Roman"/>
        </w:rPr>
      </w:pPr>
      <w:bookmarkStart w:colFirst="0" w:colLast="0" w:name="_heading=h.6luh3rymgnx8" w:id="22"/>
      <w:bookmarkEnd w:id="22"/>
      <w:r w:rsidDel="00000000" w:rsidR="00000000" w:rsidRPr="00000000">
        <w:rPr>
          <w:rFonts w:ascii="Times New Roman" w:cs="Times New Roman" w:eastAsia="Times New Roman" w:hAnsi="Times New Roman"/>
          <w:rtl w:val="0"/>
        </w:rPr>
        <w:t xml:space="preserve">Public Data Archives</w:t>
      </w:r>
    </w:p>
    <w:p w:rsidR="00000000" w:rsidDel="00000000" w:rsidP="00000000" w:rsidRDefault="00000000" w:rsidRPr="00000000" w14:paraId="000000CC">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Platforms such as the UK Data Service and the Education Statistics Service serve as repositories for various datasets relevant to education, leadership, and workforce demographics. These archives are essential for locating structured, reliable datasets that support comparative and triangulated analysis. Collectively, these sources ensure that the study draws on a balanced combination of large-scale quantitative evidence and richly detailed qualitative material.</w:t>
      </w:r>
    </w:p>
    <w:p w:rsidR="00000000" w:rsidDel="00000000" w:rsidP="00000000" w:rsidRDefault="00000000" w:rsidRPr="00000000" w14:paraId="000000CD">
      <w:pPr>
        <w:pStyle w:val="Heading3"/>
        <w:rPr>
          <w:rFonts w:ascii="Times New Roman" w:cs="Times New Roman" w:eastAsia="Times New Roman" w:hAnsi="Times New Roman"/>
          <w:sz w:val="24"/>
          <w:szCs w:val="24"/>
        </w:rPr>
      </w:pPr>
      <w:bookmarkStart w:colFirst="0" w:colLast="0" w:name="_heading=h.jf6f6wihtcdx" w:id="23"/>
      <w:bookmarkEnd w:id="23"/>
      <w:r w:rsidDel="00000000" w:rsidR="00000000" w:rsidRPr="00000000">
        <w:rPr>
          <w:rFonts w:ascii="Times New Roman" w:cs="Times New Roman" w:eastAsia="Times New Roman" w:hAnsi="Times New Roman"/>
          <w:sz w:val="24"/>
          <w:szCs w:val="24"/>
          <w:rtl w:val="0"/>
        </w:rPr>
        <w:t xml:space="preserve">Data Collection and Analysis Methods</w:t>
      </w:r>
    </w:p>
    <w:p w:rsidR="00000000" w:rsidDel="00000000" w:rsidP="00000000" w:rsidRDefault="00000000" w:rsidRPr="00000000" w14:paraId="000000CE">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Quantitative data were extracted from government statistics and publicly available datasets. Variables of interest include:</w:t>
      </w:r>
    </w:p>
    <w:p w:rsidR="00000000" w:rsidDel="00000000" w:rsidP="00000000" w:rsidRDefault="00000000" w:rsidRPr="00000000" w14:paraId="000000CF">
      <w:pPr>
        <w:numPr>
          <w:ilvl w:val="0"/>
          <w:numId w:val="4"/>
        </w:numPr>
        <w:spacing w:before="240" w:line="48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Gender distribution within leadership hierarchies</w:t>
      </w:r>
    </w:p>
    <w:p w:rsidR="00000000" w:rsidDel="00000000" w:rsidP="00000000" w:rsidRDefault="00000000" w:rsidRPr="00000000" w14:paraId="000000D0">
      <w:pPr>
        <w:numPr>
          <w:ilvl w:val="0"/>
          <w:numId w:val="4"/>
        </w:numPr>
        <w:spacing w:line="48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Patterns of full-time versus part-time employment</w:t>
      </w:r>
    </w:p>
    <w:p w:rsidR="00000000" w:rsidDel="00000000" w:rsidP="00000000" w:rsidRDefault="00000000" w:rsidRPr="00000000" w14:paraId="000000D1">
      <w:pPr>
        <w:numPr>
          <w:ilvl w:val="0"/>
          <w:numId w:val="4"/>
        </w:numPr>
        <w:spacing w:line="48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Uptake of maternity leave, parental leave, and flexible working</w:t>
      </w:r>
    </w:p>
    <w:p w:rsidR="00000000" w:rsidDel="00000000" w:rsidP="00000000" w:rsidRDefault="00000000" w:rsidRPr="00000000" w14:paraId="000000D2">
      <w:pPr>
        <w:numPr>
          <w:ilvl w:val="0"/>
          <w:numId w:val="4"/>
        </w:numPr>
        <w:spacing w:after="240" w:line="48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Demographic indicators related to working parenthood</w:t>
      </w:r>
    </w:p>
    <w:p w:rsidR="00000000" w:rsidDel="00000000" w:rsidP="00000000" w:rsidRDefault="00000000" w:rsidRPr="00000000" w14:paraId="000000D3">
      <w:pPr>
        <w:spacing w:after="240" w:before="240" w:line="48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sz w:val="24"/>
          <w:szCs w:val="24"/>
          <w:rtl w:val="0"/>
        </w:rPr>
        <w:t xml:space="preserve">The analysis will rely on descriptive statistics and comparison of proportions to identify disparities and patterns. This provides a structural overview of the leadership landscape.</w:t>
      </w:r>
      <w:r w:rsidDel="00000000" w:rsidR="00000000" w:rsidRPr="00000000">
        <w:rPr>
          <w:rtl w:val="0"/>
        </w:rPr>
      </w:r>
    </w:p>
    <w:p w:rsidR="00000000" w:rsidDel="00000000" w:rsidP="00000000" w:rsidRDefault="00000000" w:rsidRPr="00000000" w14:paraId="000000D4">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Qualitative data such as case studies, interview transcripts from previous studies, and organisational narratives will be analysed using thematic analysis. This method supports the identification of recurring ideas, challenges, and perceptions relating to career progression, workplace culture, and balancing leadership with motherhood. Thematic analysis is particularly appropriate for qualitative secondary research because it allows the researcher to interpret diverse forms of textual data while remaining sensitive to context and meaning.</w:t>
      </w:r>
    </w:p>
    <w:p w:rsidR="00000000" w:rsidDel="00000000" w:rsidP="00000000" w:rsidRDefault="00000000" w:rsidRPr="00000000" w14:paraId="000000D5">
      <w:pPr>
        <w:pStyle w:val="Heading3"/>
        <w:rPr>
          <w:rFonts w:ascii="Times New Roman" w:cs="Times New Roman" w:eastAsia="Times New Roman" w:hAnsi="Times New Roman"/>
          <w:sz w:val="24"/>
          <w:szCs w:val="24"/>
        </w:rPr>
      </w:pPr>
      <w:bookmarkStart w:colFirst="0" w:colLast="0" w:name="_heading=h.7bzduabcenll" w:id="24"/>
      <w:bookmarkEnd w:id="24"/>
      <w:r w:rsidDel="00000000" w:rsidR="00000000" w:rsidRPr="00000000">
        <w:rPr>
          <w:rFonts w:ascii="Times New Roman" w:cs="Times New Roman" w:eastAsia="Times New Roman" w:hAnsi="Times New Roman"/>
          <w:sz w:val="24"/>
          <w:szCs w:val="24"/>
          <w:rtl w:val="0"/>
        </w:rPr>
        <w:t xml:space="preserve">Rationale for Integrating Methods</w:t>
      </w:r>
    </w:p>
    <w:p w:rsidR="00000000" w:rsidDel="00000000" w:rsidP="00000000" w:rsidRDefault="00000000" w:rsidRPr="00000000" w14:paraId="000000D6">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Combining qualitative and quantitative evidence strengthens the study's credibility by allowing for triangulation. As Walker (2021) observes, using multiple datasets enhances reliability because patterns can be verified across different sources. While quantitative findings highlight structural issues, qualitative insights help explain how those issues are experienced and interpreted. This integration supports the pragmatic aim of producing practical and evidence-informed conclusions.</w:t>
      </w:r>
    </w:p>
    <w:p w:rsidR="00000000" w:rsidDel="00000000" w:rsidP="00000000" w:rsidRDefault="00000000" w:rsidRPr="00000000" w14:paraId="000000D7">
      <w:pPr>
        <w:pStyle w:val="Heading3"/>
        <w:rPr>
          <w:rFonts w:ascii="Times New Roman" w:cs="Times New Roman" w:eastAsia="Times New Roman" w:hAnsi="Times New Roman"/>
          <w:sz w:val="24"/>
          <w:szCs w:val="24"/>
        </w:rPr>
      </w:pPr>
      <w:bookmarkStart w:colFirst="0" w:colLast="0" w:name="_heading=h.rz6intvx0efo" w:id="25"/>
      <w:bookmarkEnd w:id="25"/>
      <w:r w:rsidDel="00000000" w:rsidR="00000000" w:rsidRPr="00000000">
        <w:rPr>
          <w:rFonts w:ascii="Times New Roman" w:cs="Times New Roman" w:eastAsia="Times New Roman" w:hAnsi="Times New Roman"/>
          <w:sz w:val="24"/>
          <w:szCs w:val="24"/>
          <w:rtl w:val="0"/>
        </w:rPr>
        <w:t xml:space="preserve">Data Quality, Validity and Limitations</w:t>
      </w:r>
    </w:p>
    <w:p w:rsidR="00000000" w:rsidDel="00000000" w:rsidP="00000000" w:rsidRDefault="00000000" w:rsidRPr="00000000" w14:paraId="000000D8">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Despite its advantages, secondary data analysis presents notable challenges. Secondary data are not created with this research specifically in mind. As Johnston (2014) explains, this may result in missing variables, incompatible operational definitions, or data that do not align perfectly with current research questions. Tripathy (2013) highlights that these mismatches can limit the precision of analysis and affect the validity of the conclusions. Because the researcher did not participate in the original data collection, they cannot influence sampling, measurement techniques, or data accuracy. This means that any biases or limitations present in the primary studies may carry over into the secondary analysis (Johnston, 2014). It is therefore essential to interpret findings with an awareness of these inherited constraints. In addition, qualitative archives may lack contextual detail necessary for accurate interpretation, creating the risk of misrepresenting participants' experiences (Tripathy, 2013). Additionally, narrative or interview-based data may carry a higher risk of potential re-identification, necessitating careful ethical handling.</w:t>
      </w:r>
    </w:p>
    <w:p w:rsidR="00000000" w:rsidDel="00000000" w:rsidP="00000000" w:rsidRDefault="00000000" w:rsidRPr="00000000" w14:paraId="000000D9">
      <w:pPr>
        <w:pStyle w:val="Heading3"/>
        <w:rPr>
          <w:rFonts w:ascii="Times New Roman" w:cs="Times New Roman" w:eastAsia="Times New Roman" w:hAnsi="Times New Roman"/>
          <w:sz w:val="24"/>
          <w:szCs w:val="24"/>
        </w:rPr>
      </w:pPr>
      <w:bookmarkStart w:colFirst="0" w:colLast="0" w:name="_heading=h.iiin0a6fd0xz" w:id="26"/>
      <w:bookmarkEnd w:id="26"/>
      <w:r w:rsidDel="00000000" w:rsidR="00000000" w:rsidRPr="00000000">
        <w:rPr>
          <w:rFonts w:ascii="Times New Roman" w:cs="Times New Roman" w:eastAsia="Times New Roman" w:hAnsi="Times New Roman"/>
          <w:sz w:val="24"/>
          <w:szCs w:val="24"/>
          <w:rtl w:val="0"/>
        </w:rPr>
        <w:t xml:space="preserve">Ethical Considerations</w:t>
      </w:r>
    </w:p>
    <w:p w:rsidR="00000000" w:rsidDel="00000000" w:rsidP="00000000" w:rsidRDefault="00000000" w:rsidRPr="00000000" w14:paraId="000000DA">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use of secondary data requires attention to privacy, consent, and intellectual property. Tripathy (2013) notes that datasets containing identifiable information must be handled with strict confidentiality, and even publicly available data must be used in accordance with ownership guidelines. Ethical reuse also requires checking whether original participants consented to further analysis (UK Data Service, 2021). These steps maintain transparency and integrity throughout the research process. To strengthen validity, the study will:</w:t>
      </w:r>
    </w:p>
    <w:p w:rsidR="00000000" w:rsidDel="00000000" w:rsidP="00000000" w:rsidRDefault="00000000" w:rsidRPr="00000000" w14:paraId="000000DB">
      <w:pPr>
        <w:numPr>
          <w:ilvl w:val="0"/>
          <w:numId w:val="6"/>
        </w:numPr>
        <w:spacing w:before="240" w:line="48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Evaluate each dataset's credibility and relevance</w:t>
      </w:r>
    </w:p>
    <w:p w:rsidR="00000000" w:rsidDel="00000000" w:rsidP="00000000" w:rsidRDefault="00000000" w:rsidRPr="00000000" w14:paraId="000000DC">
      <w:pPr>
        <w:numPr>
          <w:ilvl w:val="0"/>
          <w:numId w:val="6"/>
        </w:numPr>
        <w:spacing w:line="48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Compare multiple data sources to identify consistent patterns</w:t>
      </w:r>
    </w:p>
    <w:p w:rsidR="00000000" w:rsidDel="00000000" w:rsidP="00000000" w:rsidRDefault="00000000" w:rsidRPr="00000000" w14:paraId="000000DD">
      <w:pPr>
        <w:numPr>
          <w:ilvl w:val="0"/>
          <w:numId w:val="6"/>
        </w:numPr>
        <w:spacing w:line="48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Apply careful contextual interpretation in qualitative analysis</w:t>
      </w:r>
    </w:p>
    <w:p w:rsidR="00000000" w:rsidDel="00000000" w:rsidP="00000000" w:rsidRDefault="00000000" w:rsidRPr="00000000" w14:paraId="000000DE">
      <w:pPr>
        <w:numPr>
          <w:ilvl w:val="0"/>
          <w:numId w:val="6"/>
        </w:numPr>
        <w:spacing w:after="240" w:line="48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Uphold ethical principles in data management and reporting</w:t>
      </w:r>
    </w:p>
    <w:p w:rsidR="00000000" w:rsidDel="00000000" w:rsidP="00000000" w:rsidRDefault="00000000" w:rsidRPr="00000000" w14:paraId="000000DF">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These strategies help ensure that the results remain trustworthy, meaningful, and appropriate for informing policy and practice.</w:t>
      </w:r>
    </w:p>
    <w:p w:rsidR="00000000" w:rsidDel="00000000" w:rsidP="00000000" w:rsidRDefault="00000000" w:rsidRPr="00000000" w14:paraId="000000E0">
      <w:pPr>
        <w:spacing w:after="240" w:before="240"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1">
      <w:pPr>
        <w:spacing w:after="240" w:before="240"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2">
      <w:pPr>
        <w:pStyle w:val="Heading1"/>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3">
      <w:pPr>
        <w:rPr>
          <w:sz w:val="24"/>
          <w:szCs w:val="24"/>
        </w:rPr>
      </w:pPr>
      <w:r w:rsidDel="00000000" w:rsidR="00000000" w:rsidRPr="00000000">
        <w:rPr>
          <w:rtl w:val="0"/>
        </w:rPr>
      </w:r>
    </w:p>
    <w:p w:rsidR="00000000" w:rsidDel="00000000" w:rsidP="00000000" w:rsidRDefault="00000000" w:rsidRPr="00000000" w14:paraId="000000E4">
      <w:pPr>
        <w:rPr>
          <w:sz w:val="24"/>
          <w:szCs w:val="24"/>
        </w:rPr>
      </w:pPr>
      <w:r w:rsidDel="00000000" w:rsidR="00000000" w:rsidRPr="00000000">
        <w:rPr>
          <w:rtl w:val="0"/>
        </w:rPr>
      </w:r>
    </w:p>
    <w:p w:rsidR="00000000" w:rsidDel="00000000" w:rsidP="00000000" w:rsidRDefault="00000000" w:rsidRPr="00000000" w14:paraId="000000E5">
      <w:pPr>
        <w:pStyle w:val="Heading1"/>
        <w:jc w:val="center"/>
        <w:rPr>
          <w:rFonts w:ascii="Times New Roman" w:cs="Times New Roman" w:eastAsia="Times New Roman" w:hAnsi="Times New Roman"/>
          <w:b w:val="1"/>
          <w:bCs w:val="1"/>
          <w:sz w:val="24"/>
          <w:szCs w:val="24"/>
        </w:rPr>
      </w:pPr>
      <w:bookmarkStart w:colFirst="0" w:colLast="0" w:name="_heading=h.c4y3ydawcy3k" w:id="27"/>
      <w:bookmarkEnd w:id="27"/>
      <w:r w:rsidDel="00000000" w:rsidR="00000000" w:rsidRPr="00000000">
        <w:rPr>
          <w:rFonts w:ascii="Times New Roman" w:cs="Times New Roman" w:eastAsia="Times New Roman" w:hAnsi="Times New Roman"/>
          <w:b w:val="1"/>
          <w:bCs w:val="1"/>
          <w:sz w:val="24"/>
          <w:szCs w:val="24"/>
          <w:rtl w:val="0"/>
        </w:rPr>
        <w:t xml:space="preserve">Chapter 4</w:t>
      </w:r>
    </w:p>
    <w:p w:rsidR="00000000" w:rsidDel="00000000" w:rsidP="00000000" w:rsidRDefault="00000000" w:rsidRPr="00000000" w14:paraId="000000E6">
      <w:pPr>
        <w:pStyle w:val="Heading2"/>
        <w:rPr>
          <w:rFonts w:ascii="Times New Roman" w:cs="Times New Roman" w:eastAsia="Times New Roman" w:hAnsi="Times New Roman"/>
          <w:sz w:val="24"/>
          <w:szCs w:val="24"/>
        </w:rPr>
      </w:pPr>
      <w:bookmarkStart w:colFirst="0" w:colLast="0" w:name="_heading=h.e1ktc2104a99" w:id="28"/>
      <w:bookmarkEnd w:id="28"/>
      <w:r w:rsidDel="00000000" w:rsidR="00000000" w:rsidRPr="00000000">
        <w:rPr>
          <w:rFonts w:ascii="Times New Roman" w:cs="Times New Roman" w:eastAsia="Times New Roman" w:hAnsi="Times New Roman"/>
          <w:sz w:val="24"/>
          <w:szCs w:val="24"/>
          <w:rtl w:val="0"/>
        </w:rPr>
        <w:t xml:space="preserve">Findings and Data Presentations </w:t>
      </w:r>
    </w:p>
    <w:p w:rsidR="00000000" w:rsidDel="00000000" w:rsidP="00000000" w:rsidRDefault="00000000" w:rsidRPr="00000000" w14:paraId="000000E7">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chapter presents the findings from the secondary data, organised into four themes aligned with the research questions: Theme 1: Structural barriers, Theme 2: Identity negotiation, Theme 3: Institutional cultures, and Theme 4:  Effective supportive practices. This thematic structure provides a clear overview of the challenges and experiences of working mothers in leadership roles within the UK education sector.</w:t>
      </w:r>
    </w:p>
    <w:p w:rsidR="00000000" w:rsidDel="00000000" w:rsidP="00000000" w:rsidRDefault="00000000" w:rsidRPr="00000000" w14:paraId="000000E8">
      <w:pPr>
        <w:pStyle w:val="Heading3"/>
        <w:rPr>
          <w:rFonts w:ascii="Times New Roman" w:cs="Times New Roman" w:eastAsia="Times New Roman" w:hAnsi="Times New Roman"/>
          <w:sz w:val="24"/>
          <w:szCs w:val="24"/>
        </w:rPr>
      </w:pPr>
      <w:bookmarkStart w:colFirst="0" w:colLast="0" w:name="_heading=h.u2tnl4pdgk1" w:id="29"/>
      <w:bookmarkEnd w:id="29"/>
      <w:r w:rsidDel="00000000" w:rsidR="00000000" w:rsidRPr="00000000">
        <w:rPr>
          <w:rFonts w:ascii="Times New Roman" w:cs="Times New Roman" w:eastAsia="Times New Roman" w:hAnsi="Times New Roman"/>
          <w:sz w:val="24"/>
          <w:szCs w:val="24"/>
          <w:rtl w:val="0"/>
        </w:rPr>
        <w:t xml:space="preserve">Theme 1: Structural barriers</w:t>
      </w:r>
    </w:p>
    <w:p w:rsidR="00000000" w:rsidDel="00000000" w:rsidP="00000000" w:rsidRDefault="00000000" w:rsidRPr="00000000" w14:paraId="000000E9">
      <w:pPr>
        <w:spacing w:after="240" w:before="240" w:line="480" w:lineRule="auto"/>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Table 1: maternity returners in the teaching profession, 2016/17 – 2018/19 </w:t>
      </w:r>
    </w:p>
    <w:tbl>
      <w:tblPr>
        <w:tblStyle w:val="Table1"/>
        <w:tblW w:w="9360.0" w:type="dxa"/>
        <w:jc w:val="left"/>
        <w:tblInd w:w="4.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338"/>
        <w:gridCol w:w="1337"/>
        <w:gridCol w:w="1337"/>
        <w:gridCol w:w="1337"/>
        <w:gridCol w:w="1337"/>
        <w:gridCol w:w="1337"/>
        <w:gridCol w:w="1337"/>
        <w:tblGridChange w:id="0">
          <w:tblGrid>
            <w:gridCol w:w="1338"/>
            <w:gridCol w:w="1337"/>
            <w:gridCol w:w="1337"/>
            <w:gridCol w:w="1337"/>
            <w:gridCol w:w="1337"/>
            <w:gridCol w:w="1337"/>
            <w:gridCol w:w="1337"/>
          </w:tblGrid>
        </w:tblGridChange>
      </w:tblGrid>
      <w:tr>
        <w:trPr>
          <w:cantSplit w:val="0"/>
          <w:tblHeader w:val="0"/>
        </w:trPr>
        <w:tc>
          <w:tcPr>
            <w:tcMar>
              <w:top w:w="100.0" w:type="dxa"/>
              <w:left w:w="100.0" w:type="dxa"/>
              <w:bottom w:w="100.0" w:type="dxa"/>
              <w:right w:w="100.0" w:type="dxa"/>
            </w:tcMar>
          </w:tcPr>
          <w:p w:rsidR="00000000" w:rsidDel="00000000" w:rsidP="00000000" w:rsidRDefault="00000000" w:rsidRPr="00000000" w14:paraId="000000EA">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Year in which they returned from maternity leave</w:t>
            </w:r>
          </w:p>
        </w:tc>
        <w:tc>
          <w:tcPr>
            <w:tcMar>
              <w:top w:w="100.0" w:type="dxa"/>
              <w:left w:w="100.0" w:type="dxa"/>
              <w:bottom w:w="100.0" w:type="dxa"/>
              <w:right w:w="100.0" w:type="dxa"/>
            </w:tcMar>
          </w:tcPr>
          <w:p w:rsidR="00000000" w:rsidDel="00000000" w:rsidP="00000000" w:rsidRDefault="00000000" w:rsidRPr="00000000" w14:paraId="000000EB">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Starting headcount </w:t>
            </w:r>
          </w:p>
        </w:tc>
        <w:tc>
          <w:tcPr>
            <w:tcMar>
              <w:top w:w="100.0" w:type="dxa"/>
              <w:left w:w="100.0" w:type="dxa"/>
              <w:bottom w:w="100.0" w:type="dxa"/>
              <w:right w:w="100.0" w:type="dxa"/>
            </w:tcMar>
          </w:tcPr>
          <w:p w:rsidR="00000000" w:rsidDel="00000000" w:rsidP="00000000" w:rsidRDefault="00000000" w:rsidRPr="00000000" w14:paraId="000000EC">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One year after returning </w:t>
            </w:r>
          </w:p>
        </w:tc>
        <w:tc>
          <w:tcPr>
            <w:tcMar>
              <w:top w:w="100.0" w:type="dxa"/>
              <w:left w:w="100.0" w:type="dxa"/>
              <w:bottom w:w="100.0" w:type="dxa"/>
              <w:right w:w="100.0" w:type="dxa"/>
            </w:tcMar>
          </w:tcPr>
          <w:p w:rsidR="00000000" w:rsidDel="00000000" w:rsidP="00000000" w:rsidRDefault="00000000" w:rsidRPr="00000000" w14:paraId="000000ED">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Two years after returning </w:t>
            </w:r>
          </w:p>
        </w:tc>
        <w:tc>
          <w:tcPr>
            <w:tcMar>
              <w:top w:w="100.0" w:type="dxa"/>
              <w:left w:w="100.0" w:type="dxa"/>
              <w:bottom w:w="100.0" w:type="dxa"/>
              <w:right w:w="100.0" w:type="dxa"/>
            </w:tcMar>
          </w:tcPr>
          <w:p w:rsidR="00000000" w:rsidDel="00000000" w:rsidP="00000000" w:rsidRDefault="00000000" w:rsidRPr="00000000" w14:paraId="000000EE">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Three years after returning </w:t>
            </w:r>
          </w:p>
        </w:tc>
        <w:tc>
          <w:tcPr>
            <w:tcMar>
              <w:top w:w="100.0" w:type="dxa"/>
              <w:left w:w="100.0" w:type="dxa"/>
              <w:bottom w:w="100.0" w:type="dxa"/>
              <w:right w:w="100.0" w:type="dxa"/>
            </w:tcMar>
          </w:tcPr>
          <w:p w:rsidR="00000000" w:rsidDel="00000000" w:rsidP="00000000" w:rsidRDefault="00000000" w:rsidRPr="00000000" w14:paraId="000000EF">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Four years after returning </w:t>
            </w:r>
          </w:p>
        </w:tc>
        <w:tc>
          <w:tcPr>
            <w:tcMar>
              <w:top w:w="100.0" w:type="dxa"/>
              <w:left w:w="100.0" w:type="dxa"/>
              <w:bottom w:w="100.0" w:type="dxa"/>
              <w:right w:w="100.0" w:type="dxa"/>
            </w:tcMar>
          </w:tcPr>
          <w:p w:rsidR="00000000" w:rsidDel="00000000" w:rsidP="00000000" w:rsidRDefault="00000000" w:rsidRPr="00000000" w14:paraId="000000F0">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Four-year cumulative loss</w:t>
            </w:r>
          </w:p>
        </w:tc>
      </w:tr>
      <w:tr>
        <w:trPr>
          <w:cantSplit w:val="0"/>
          <w:tblHeader w:val="0"/>
        </w:trPr>
        <w:tc>
          <w:tcPr>
            <w:tcMar>
              <w:top w:w="100.0" w:type="dxa"/>
              <w:left w:w="100.0" w:type="dxa"/>
              <w:bottom w:w="100.0" w:type="dxa"/>
              <w:right w:w="100.0" w:type="dxa"/>
            </w:tcMar>
          </w:tcPr>
          <w:p w:rsidR="00000000" w:rsidDel="00000000" w:rsidP="00000000" w:rsidRDefault="00000000" w:rsidRPr="00000000" w14:paraId="000000F1">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2016/17</w:t>
            </w:r>
          </w:p>
        </w:tc>
        <w:tc>
          <w:tcPr>
            <w:tcMar>
              <w:top w:w="100.0" w:type="dxa"/>
              <w:left w:w="100.0" w:type="dxa"/>
              <w:bottom w:w="100.0" w:type="dxa"/>
              <w:right w:w="100.0" w:type="dxa"/>
            </w:tcMar>
          </w:tcPr>
          <w:p w:rsidR="00000000" w:rsidDel="00000000" w:rsidP="00000000" w:rsidRDefault="00000000" w:rsidRPr="00000000" w14:paraId="000000F2">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9,780</w:t>
            </w:r>
          </w:p>
        </w:tc>
        <w:tc>
          <w:tcPr>
            <w:tcMar>
              <w:top w:w="100.0" w:type="dxa"/>
              <w:left w:w="100.0" w:type="dxa"/>
              <w:bottom w:w="100.0" w:type="dxa"/>
              <w:right w:w="100.0" w:type="dxa"/>
            </w:tcMar>
          </w:tcPr>
          <w:p w:rsidR="00000000" w:rsidDel="00000000" w:rsidP="00000000" w:rsidRDefault="00000000" w:rsidRPr="00000000" w14:paraId="000000F3">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7,846</w:t>
            </w:r>
          </w:p>
        </w:tc>
        <w:tc>
          <w:tcPr>
            <w:tcMar>
              <w:top w:w="100.0" w:type="dxa"/>
              <w:left w:w="100.0" w:type="dxa"/>
              <w:bottom w:w="100.0" w:type="dxa"/>
              <w:right w:w="100.0" w:type="dxa"/>
            </w:tcMar>
          </w:tcPr>
          <w:p w:rsidR="00000000" w:rsidDel="00000000" w:rsidP="00000000" w:rsidRDefault="00000000" w:rsidRPr="00000000" w14:paraId="000000F4">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6,884</w:t>
            </w:r>
          </w:p>
        </w:tc>
        <w:tc>
          <w:tcPr>
            <w:tcMar>
              <w:top w:w="100.0" w:type="dxa"/>
              <w:left w:w="100.0" w:type="dxa"/>
              <w:bottom w:w="100.0" w:type="dxa"/>
              <w:right w:w="100.0" w:type="dxa"/>
            </w:tcMar>
          </w:tcPr>
          <w:p w:rsidR="00000000" w:rsidDel="00000000" w:rsidP="00000000" w:rsidRDefault="00000000" w:rsidRPr="00000000" w14:paraId="000000F5">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6,204</w:t>
            </w:r>
          </w:p>
        </w:tc>
        <w:tc>
          <w:tcPr>
            <w:tcMar>
              <w:top w:w="100.0" w:type="dxa"/>
              <w:left w:w="100.0" w:type="dxa"/>
              <w:bottom w:w="100.0" w:type="dxa"/>
              <w:right w:w="100.0" w:type="dxa"/>
            </w:tcMar>
          </w:tcPr>
          <w:p w:rsidR="00000000" w:rsidDel="00000000" w:rsidP="00000000" w:rsidRDefault="00000000" w:rsidRPr="00000000" w14:paraId="000000F6">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5,902</w:t>
            </w:r>
          </w:p>
        </w:tc>
        <w:tc>
          <w:tcPr>
            <w:tcMar>
              <w:top w:w="100.0" w:type="dxa"/>
              <w:left w:w="100.0" w:type="dxa"/>
              <w:bottom w:w="100.0" w:type="dxa"/>
              <w:right w:w="100.0" w:type="dxa"/>
            </w:tcMar>
          </w:tcPr>
          <w:p w:rsidR="00000000" w:rsidDel="00000000" w:rsidP="00000000" w:rsidRDefault="00000000" w:rsidRPr="00000000" w14:paraId="000000F7">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3,878</w:t>
            </w:r>
          </w:p>
        </w:tc>
      </w:tr>
      <w:tr>
        <w:trPr>
          <w:cantSplit w:val="0"/>
          <w:tblHeader w:val="0"/>
        </w:trPr>
        <w:tc>
          <w:tcPr>
            <w:tcMar>
              <w:top w:w="100.0" w:type="dxa"/>
              <w:left w:w="100.0" w:type="dxa"/>
              <w:bottom w:w="100.0" w:type="dxa"/>
              <w:right w:w="100.0" w:type="dxa"/>
            </w:tcMar>
          </w:tcPr>
          <w:p w:rsidR="00000000" w:rsidDel="00000000" w:rsidP="00000000" w:rsidRDefault="00000000" w:rsidRPr="00000000" w14:paraId="000000F8">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2017/18</w:t>
            </w:r>
          </w:p>
        </w:tc>
        <w:tc>
          <w:tcPr>
            <w:tcMar>
              <w:top w:w="100.0" w:type="dxa"/>
              <w:left w:w="100.0" w:type="dxa"/>
              <w:bottom w:w="100.0" w:type="dxa"/>
              <w:right w:w="100.0" w:type="dxa"/>
            </w:tcMar>
          </w:tcPr>
          <w:p w:rsidR="00000000" w:rsidDel="00000000" w:rsidP="00000000" w:rsidRDefault="00000000" w:rsidRPr="00000000" w14:paraId="000000F9">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9,974</w:t>
            </w:r>
          </w:p>
        </w:tc>
        <w:tc>
          <w:tcPr>
            <w:tcMar>
              <w:top w:w="100.0" w:type="dxa"/>
              <w:left w:w="100.0" w:type="dxa"/>
              <w:bottom w:w="100.0" w:type="dxa"/>
              <w:right w:w="100.0" w:type="dxa"/>
            </w:tcMar>
          </w:tcPr>
          <w:p w:rsidR="00000000" w:rsidDel="00000000" w:rsidP="00000000" w:rsidRDefault="00000000" w:rsidRPr="00000000" w14:paraId="000000FA">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8,272</w:t>
            </w:r>
          </w:p>
        </w:tc>
        <w:tc>
          <w:tcPr>
            <w:tcMar>
              <w:top w:w="100.0" w:type="dxa"/>
              <w:left w:w="100.0" w:type="dxa"/>
              <w:bottom w:w="100.0" w:type="dxa"/>
              <w:right w:w="100.0" w:type="dxa"/>
            </w:tcMar>
          </w:tcPr>
          <w:p w:rsidR="00000000" w:rsidDel="00000000" w:rsidP="00000000" w:rsidRDefault="00000000" w:rsidRPr="00000000" w14:paraId="000000FB">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7,282</w:t>
            </w:r>
          </w:p>
        </w:tc>
        <w:tc>
          <w:tcPr>
            <w:tcMar>
              <w:top w:w="100.0" w:type="dxa"/>
              <w:left w:w="100.0" w:type="dxa"/>
              <w:bottom w:w="100.0" w:type="dxa"/>
              <w:right w:w="100.0" w:type="dxa"/>
            </w:tcMar>
          </w:tcPr>
          <w:p w:rsidR="00000000" w:rsidDel="00000000" w:rsidP="00000000" w:rsidRDefault="00000000" w:rsidRPr="00000000" w14:paraId="000000FC">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6,672</w:t>
            </w:r>
          </w:p>
        </w:tc>
        <w:tc>
          <w:tcPr>
            <w:tcMar>
              <w:top w:w="100.0" w:type="dxa"/>
              <w:left w:w="100.0" w:type="dxa"/>
              <w:bottom w:w="100.0" w:type="dxa"/>
              <w:right w:w="100.0" w:type="dxa"/>
            </w:tcMar>
          </w:tcPr>
          <w:p w:rsidR="00000000" w:rsidDel="00000000" w:rsidP="00000000" w:rsidRDefault="00000000" w:rsidRPr="00000000" w14:paraId="000000FD">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6,158</w:t>
            </w:r>
          </w:p>
        </w:tc>
        <w:tc>
          <w:tcPr>
            <w:tcMar>
              <w:top w:w="100.0" w:type="dxa"/>
              <w:left w:w="100.0" w:type="dxa"/>
              <w:bottom w:w="100.0" w:type="dxa"/>
              <w:right w:w="100.0" w:type="dxa"/>
            </w:tcMar>
          </w:tcPr>
          <w:p w:rsidR="00000000" w:rsidDel="00000000" w:rsidP="00000000" w:rsidRDefault="00000000" w:rsidRPr="00000000" w14:paraId="000000FE">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3,816</w:t>
            </w:r>
          </w:p>
        </w:tc>
      </w:tr>
      <w:tr>
        <w:trPr>
          <w:cantSplit w:val="0"/>
          <w:tblHeader w:val="0"/>
        </w:trPr>
        <w:tc>
          <w:tcPr>
            <w:tcMar>
              <w:top w:w="100.0" w:type="dxa"/>
              <w:left w:w="100.0" w:type="dxa"/>
              <w:bottom w:w="100.0" w:type="dxa"/>
              <w:right w:w="100.0" w:type="dxa"/>
            </w:tcMar>
          </w:tcPr>
          <w:p w:rsidR="00000000" w:rsidDel="00000000" w:rsidP="00000000" w:rsidRDefault="00000000" w:rsidRPr="00000000" w14:paraId="000000FF">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2018/19</w:t>
            </w:r>
          </w:p>
        </w:tc>
        <w:tc>
          <w:tcPr>
            <w:tcMar>
              <w:top w:w="100.0" w:type="dxa"/>
              <w:left w:w="100.0" w:type="dxa"/>
              <w:bottom w:w="100.0" w:type="dxa"/>
              <w:right w:w="100.0" w:type="dxa"/>
            </w:tcMar>
          </w:tcPr>
          <w:p w:rsidR="00000000" w:rsidDel="00000000" w:rsidP="00000000" w:rsidRDefault="00000000" w:rsidRPr="00000000" w14:paraId="00000100">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9,954</w:t>
            </w:r>
          </w:p>
        </w:tc>
        <w:tc>
          <w:tcPr>
            <w:tcMar>
              <w:top w:w="100.0" w:type="dxa"/>
              <w:left w:w="100.0" w:type="dxa"/>
              <w:bottom w:w="100.0" w:type="dxa"/>
              <w:right w:w="100.0" w:type="dxa"/>
            </w:tcMar>
          </w:tcPr>
          <w:p w:rsidR="00000000" w:rsidDel="00000000" w:rsidP="00000000" w:rsidRDefault="00000000" w:rsidRPr="00000000" w14:paraId="00000101">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8,268</w:t>
            </w:r>
          </w:p>
        </w:tc>
        <w:tc>
          <w:tcPr>
            <w:tcMar>
              <w:top w:w="100.0" w:type="dxa"/>
              <w:left w:w="100.0" w:type="dxa"/>
              <w:bottom w:w="100.0" w:type="dxa"/>
              <w:right w:w="100.0" w:type="dxa"/>
            </w:tcMar>
          </w:tcPr>
          <w:p w:rsidR="00000000" w:rsidDel="00000000" w:rsidP="00000000" w:rsidRDefault="00000000" w:rsidRPr="00000000" w14:paraId="00000102">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7,544</w:t>
            </w:r>
          </w:p>
        </w:tc>
        <w:tc>
          <w:tcPr>
            <w:tcMar>
              <w:top w:w="100.0" w:type="dxa"/>
              <w:left w:w="100.0" w:type="dxa"/>
              <w:bottom w:w="100.0" w:type="dxa"/>
              <w:right w:w="100.0" w:type="dxa"/>
            </w:tcMar>
          </w:tcPr>
          <w:p w:rsidR="00000000" w:rsidDel="00000000" w:rsidP="00000000" w:rsidRDefault="00000000" w:rsidRPr="00000000" w14:paraId="00000103">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6,866</w:t>
            </w:r>
          </w:p>
        </w:tc>
        <w:tc>
          <w:tcPr>
            <w:tcMar>
              <w:top w:w="100.0" w:type="dxa"/>
              <w:left w:w="100.0" w:type="dxa"/>
              <w:bottom w:w="100.0" w:type="dxa"/>
              <w:right w:w="100.0" w:type="dxa"/>
            </w:tcMar>
          </w:tcPr>
          <w:p w:rsidR="00000000" w:rsidDel="00000000" w:rsidP="00000000" w:rsidRDefault="00000000" w:rsidRPr="00000000" w14:paraId="00000104">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6,142</w:t>
            </w:r>
          </w:p>
        </w:tc>
        <w:tc>
          <w:tcPr>
            <w:tcMar>
              <w:top w:w="100.0" w:type="dxa"/>
              <w:left w:w="100.0" w:type="dxa"/>
              <w:bottom w:w="100.0" w:type="dxa"/>
              <w:right w:w="100.0" w:type="dxa"/>
            </w:tcMar>
          </w:tcPr>
          <w:p w:rsidR="00000000" w:rsidDel="00000000" w:rsidP="00000000" w:rsidRDefault="00000000" w:rsidRPr="00000000" w14:paraId="00000105">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3,812</w:t>
            </w:r>
          </w:p>
        </w:tc>
      </w:tr>
      <w:tr>
        <w:trPr>
          <w:cantSplit w:val="0"/>
          <w:tblHeader w:val="0"/>
        </w:trPr>
        <w:tc>
          <w:tcPr>
            <w:shd w:fill="000000" w:val="clear"/>
            <w:tcMar>
              <w:top w:w="100.0" w:type="dxa"/>
              <w:left w:w="100.0" w:type="dxa"/>
              <w:bottom w:w="100.0" w:type="dxa"/>
              <w:right w:w="100.0" w:type="dxa"/>
            </w:tcMar>
          </w:tcPr>
          <w:p w:rsidR="00000000" w:rsidDel="00000000" w:rsidP="00000000" w:rsidRDefault="00000000" w:rsidRPr="00000000" w14:paraId="00000106">
            <w:pPr>
              <w:widowControl w:val="0"/>
              <w:spacing w:line="240" w:lineRule="auto"/>
              <w:rPr>
                <w:rFonts w:ascii="Times New Roman" w:cs="Times New Roman" w:eastAsia="Times New Roman" w:hAnsi="Times New Roman"/>
                <w:color w:val="ffffff"/>
                <w:sz w:val="24"/>
                <w:szCs w:val="24"/>
              </w:rPr>
            </w:pPr>
            <w:r w:rsidDel="00000000" w:rsidR="00000000" w:rsidRPr="00000000">
              <w:rPr>
                <w:rFonts w:ascii="Times New Roman" w:cs="Times New Roman" w:eastAsia="Times New Roman" w:hAnsi="Times New Roman"/>
                <w:color w:val="ffffff"/>
                <w:sz w:val="24"/>
                <w:szCs w:val="24"/>
                <w:rtl w:val="0"/>
              </w:rPr>
              <w:t xml:space="preserve">Three-year </w:t>
            </w:r>
          </w:p>
          <w:p w:rsidR="00000000" w:rsidDel="00000000" w:rsidP="00000000" w:rsidRDefault="00000000" w:rsidRPr="00000000" w14:paraId="00000107">
            <w:pPr>
              <w:widowControl w:val="0"/>
              <w:spacing w:line="240" w:lineRule="auto"/>
              <w:rPr>
                <w:rFonts w:ascii="Times New Roman" w:cs="Times New Roman" w:eastAsia="Times New Roman" w:hAnsi="Times New Roman"/>
                <w:color w:val="ffffff"/>
                <w:sz w:val="24"/>
                <w:szCs w:val="24"/>
              </w:rPr>
            </w:pPr>
            <w:r w:rsidDel="00000000" w:rsidR="00000000" w:rsidRPr="00000000">
              <w:rPr>
                <w:rFonts w:ascii="Times New Roman" w:cs="Times New Roman" w:eastAsia="Times New Roman" w:hAnsi="Times New Roman"/>
                <w:color w:val="ffffff"/>
                <w:sz w:val="24"/>
                <w:szCs w:val="24"/>
                <w:rtl w:val="0"/>
              </w:rPr>
              <w:t xml:space="preserve">Average </w:t>
            </w:r>
          </w:p>
        </w:tc>
        <w:tc>
          <w:tcPr>
            <w:shd w:fill="000000" w:val="clear"/>
            <w:tcMar>
              <w:top w:w="100.0" w:type="dxa"/>
              <w:left w:w="100.0" w:type="dxa"/>
              <w:bottom w:w="100.0" w:type="dxa"/>
              <w:right w:w="100.0" w:type="dxa"/>
            </w:tcMar>
          </w:tcPr>
          <w:p w:rsidR="00000000" w:rsidDel="00000000" w:rsidP="00000000" w:rsidRDefault="00000000" w:rsidRPr="00000000" w14:paraId="00000108">
            <w:pPr>
              <w:widowControl w:val="0"/>
              <w:spacing w:line="240" w:lineRule="auto"/>
              <w:rPr>
                <w:rFonts w:ascii="Times New Roman" w:cs="Times New Roman" w:eastAsia="Times New Roman" w:hAnsi="Times New Roman"/>
                <w:color w:val="ffffff"/>
                <w:sz w:val="24"/>
                <w:szCs w:val="24"/>
              </w:rPr>
            </w:pPr>
            <w:r w:rsidDel="00000000" w:rsidR="00000000" w:rsidRPr="00000000">
              <w:rPr>
                <w:rFonts w:ascii="Times New Roman" w:cs="Times New Roman" w:eastAsia="Times New Roman" w:hAnsi="Times New Roman"/>
                <w:color w:val="ffffff"/>
                <w:sz w:val="24"/>
                <w:szCs w:val="24"/>
                <w:rtl w:val="0"/>
              </w:rPr>
              <w:t xml:space="preserve">9,903</w:t>
            </w:r>
          </w:p>
        </w:tc>
        <w:tc>
          <w:tcPr>
            <w:tcBorders>
              <w:right w:color="ffffff" w:space="0" w:sz="8" w:val="single"/>
            </w:tcBorders>
            <w:shd w:fill="000000" w:val="clear"/>
            <w:tcMar>
              <w:top w:w="100.0" w:type="dxa"/>
              <w:left w:w="100.0" w:type="dxa"/>
              <w:bottom w:w="100.0" w:type="dxa"/>
              <w:right w:w="100.0" w:type="dxa"/>
            </w:tcMar>
          </w:tcPr>
          <w:p w:rsidR="00000000" w:rsidDel="00000000" w:rsidP="00000000" w:rsidRDefault="00000000" w:rsidRPr="00000000" w14:paraId="00000109">
            <w:pPr>
              <w:widowControl w:val="0"/>
              <w:spacing w:line="240" w:lineRule="auto"/>
              <w:rPr>
                <w:rFonts w:ascii="Times New Roman" w:cs="Times New Roman" w:eastAsia="Times New Roman" w:hAnsi="Times New Roman"/>
                <w:color w:val="ffffff"/>
                <w:sz w:val="24"/>
                <w:szCs w:val="24"/>
              </w:rPr>
            </w:pPr>
            <w:r w:rsidDel="00000000" w:rsidR="00000000" w:rsidRPr="00000000">
              <w:rPr>
                <w:rFonts w:ascii="Times New Roman" w:cs="Times New Roman" w:eastAsia="Times New Roman" w:hAnsi="Times New Roman"/>
                <w:color w:val="ffffff"/>
                <w:sz w:val="24"/>
                <w:szCs w:val="24"/>
                <w:rtl w:val="0"/>
              </w:rPr>
              <w:t xml:space="preserve">8,129</w:t>
            </w:r>
          </w:p>
        </w:tc>
        <w:tc>
          <w:tcPr>
            <w:tcBorders>
              <w:left w:color="ffffff" w:space="0" w:sz="8" w:val="single"/>
              <w:bottom w:color="ffffff" w:space="0" w:sz="8" w:val="single"/>
              <w:right w:color="ffffff" w:space="0" w:sz="8" w:val="single"/>
            </w:tcBorders>
            <w:tcMar>
              <w:top w:w="100.0" w:type="dxa"/>
              <w:left w:w="100.0" w:type="dxa"/>
              <w:bottom w:w="100.0" w:type="dxa"/>
              <w:right w:w="100.0" w:type="dxa"/>
            </w:tcMar>
          </w:tcPr>
          <w:p w:rsidR="00000000" w:rsidDel="00000000" w:rsidP="00000000" w:rsidRDefault="00000000" w:rsidRPr="00000000" w14:paraId="0000010A">
            <w:pPr>
              <w:widowControl w:val="0"/>
              <w:spacing w:line="240" w:lineRule="auto"/>
              <w:rPr>
                <w:rFonts w:ascii="Times New Roman" w:cs="Times New Roman" w:eastAsia="Times New Roman" w:hAnsi="Times New Roman"/>
                <w:sz w:val="24"/>
                <w:szCs w:val="24"/>
              </w:rPr>
            </w:pPr>
            <w:r w:rsidDel="00000000" w:rsidR="00000000" w:rsidRPr="00000000">
              <w:rPr>
                <w:rtl w:val="0"/>
              </w:rPr>
            </w:r>
          </w:p>
        </w:tc>
        <w:tc>
          <w:tcPr>
            <w:tcBorders>
              <w:left w:color="ffffff" w:space="0" w:sz="8" w:val="single"/>
              <w:bottom w:color="ffffff" w:space="0" w:sz="8" w:val="single"/>
              <w:right w:color="ffffff" w:space="0" w:sz="8" w:val="single"/>
            </w:tcBorders>
            <w:tcMar>
              <w:top w:w="100.0" w:type="dxa"/>
              <w:left w:w="100.0" w:type="dxa"/>
              <w:bottom w:w="100.0" w:type="dxa"/>
              <w:right w:w="100.0" w:type="dxa"/>
            </w:tcMar>
          </w:tcPr>
          <w:p w:rsidR="00000000" w:rsidDel="00000000" w:rsidP="00000000" w:rsidRDefault="00000000" w:rsidRPr="00000000" w14:paraId="0000010B">
            <w:pPr>
              <w:widowControl w:val="0"/>
              <w:spacing w:line="240" w:lineRule="auto"/>
              <w:rPr>
                <w:rFonts w:ascii="Times New Roman" w:cs="Times New Roman" w:eastAsia="Times New Roman" w:hAnsi="Times New Roman"/>
                <w:sz w:val="24"/>
                <w:szCs w:val="24"/>
              </w:rPr>
            </w:pPr>
            <w:r w:rsidDel="00000000" w:rsidR="00000000" w:rsidRPr="00000000">
              <w:rPr>
                <w:rtl w:val="0"/>
              </w:rPr>
            </w:r>
          </w:p>
        </w:tc>
        <w:tc>
          <w:tcPr>
            <w:tcBorders>
              <w:left w:color="ffffff" w:space="0" w:sz="8" w:val="single"/>
              <w:bottom w:color="ffffff" w:space="0" w:sz="8" w:val="single"/>
              <w:right w:color="ffffff" w:space="0" w:sz="8" w:val="single"/>
            </w:tcBorders>
            <w:tcMar>
              <w:top w:w="100.0" w:type="dxa"/>
              <w:left w:w="100.0" w:type="dxa"/>
              <w:bottom w:w="100.0" w:type="dxa"/>
              <w:right w:w="100.0" w:type="dxa"/>
            </w:tcMar>
          </w:tcPr>
          <w:p w:rsidR="00000000" w:rsidDel="00000000" w:rsidP="00000000" w:rsidRDefault="00000000" w:rsidRPr="00000000" w14:paraId="0000010C">
            <w:pPr>
              <w:widowControl w:val="0"/>
              <w:spacing w:line="240" w:lineRule="auto"/>
              <w:rPr>
                <w:rFonts w:ascii="Times New Roman" w:cs="Times New Roman" w:eastAsia="Times New Roman" w:hAnsi="Times New Roman"/>
                <w:sz w:val="24"/>
                <w:szCs w:val="24"/>
              </w:rPr>
            </w:pPr>
            <w:r w:rsidDel="00000000" w:rsidR="00000000" w:rsidRPr="00000000">
              <w:rPr>
                <w:rtl w:val="0"/>
              </w:rPr>
            </w:r>
          </w:p>
        </w:tc>
        <w:tc>
          <w:tcPr>
            <w:tcBorders>
              <w:left w:color="ffffff" w:space="0" w:sz="8" w:val="single"/>
            </w:tcBorders>
            <w:shd w:fill="000000" w:val="clear"/>
            <w:tcMar>
              <w:top w:w="100.0" w:type="dxa"/>
              <w:left w:w="100.0" w:type="dxa"/>
              <w:bottom w:w="100.0" w:type="dxa"/>
              <w:right w:w="100.0" w:type="dxa"/>
            </w:tcMar>
          </w:tcPr>
          <w:p w:rsidR="00000000" w:rsidDel="00000000" w:rsidP="00000000" w:rsidRDefault="00000000" w:rsidRPr="00000000" w14:paraId="0000010D">
            <w:pPr>
              <w:widowControl w:val="0"/>
              <w:spacing w:line="240" w:lineRule="auto"/>
              <w:rPr>
                <w:rFonts w:ascii="Times New Roman" w:cs="Times New Roman" w:eastAsia="Times New Roman" w:hAnsi="Times New Roman"/>
                <w:color w:val="ffffff"/>
                <w:sz w:val="24"/>
                <w:szCs w:val="24"/>
              </w:rPr>
            </w:pPr>
            <w:r w:rsidDel="00000000" w:rsidR="00000000" w:rsidRPr="00000000">
              <w:rPr>
                <w:rFonts w:ascii="Times New Roman" w:cs="Times New Roman" w:eastAsia="Times New Roman" w:hAnsi="Times New Roman"/>
                <w:color w:val="ffffff"/>
                <w:sz w:val="24"/>
                <w:szCs w:val="24"/>
                <w:rtl w:val="0"/>
              </w:rPr>
              <w:t xml:space="preserve">3,835</w:t>
            </w:r>
          </w:p>
        </w:tc>
      </w:tr>
    </w:tbl>
    <w:p w:rsidR="00000000" w:rsidDel="00000000" w:rsidP="00000000" w:rsidRDefault="00000000" w:rsidRPr="00000000" w14:paraId="0000010E">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Between 2016 and 2019, an average of 9,903 teachers began maternity leave each year. Freedom of information data obtained from the DfE in 2025 indicates that, on average, 3,835 of these teachers exit the profession within four years of returning, representing a cumulative loss of 38.6%.</w:t>
      </w:r>
    </w:p>
    <w:p w:rsidR="00000000" w:rsidDel="00000000" w:rsidP="00000000" w:rsidRDefault="00000000" w:rsidRPr="00000000" w14:paraId="0000010F">
      <w:pPr>
        <w:spacing w:after="240" w:before="240"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10">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Figure 1: Headcount Retention After Returning from Maternity Leave</w:t>
      </w:r>
      <w:r w:rsidDel="00000000" w:rsidR="00000000" w:rsidRPr="00000000">
        <w:rPr>
          <w:rtl w:val="0"/>
        </w:rPr>
      </w:r>
    </w:p>
    <w:p w:rsidR="00000000" w:rsidDel="00000000" w:rsidP="00000000" w:rsidRDefault="00000000" w:rsidRPr="00000000" w14:paraId="00000111">
      <w:pPr>
        <w:spacing w:after="240" w:before="240" w:line="480" w:lineRule="auto"/>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324475" cy="3798540"/>
            <wp:effectExtent b="0" l="0" r="0" t="0"/>
            <wp:docPr id="7" name="image3.png"/>
            <a:graphic>
              <a:graphicData uri="http://schemas.openxmlformats.org/drawingml/2006/picture">
                <pic:pic>
                  <pic:nvPicPr>
                    <pic:cNvPr id="0" name="image3.png"/>
                    <pic:cNvPicPr preferRelativeResize="0"/>
                  </pic:nvPicPr>
                  <pic:blipFill>
                    <a:blip r:embed="rId7"/>
                    <a:srcRect b="0" l="0" r="0" t="6433"/>
                    <a:stretch>
                      <a:fillRect/>
                    </a:stretch>
                  </pic:blipFill>
                  <pic:spPr>
                    <a:xfrm>
                      <a:off x="0" y="0"/>
                      <a:ext cx="5324475" cy="3798540"/>
                    </a:xfrm>
                    <a:prstGeom prst="rect"/>
                    <a:ln/>
                  </pic:spPr>
                </pic:pic>
              </a:graphicData>
            </a:graphic>
          </wp:inline>
        </w:drawing>
      </w:r>
      <w:r w:rsidDel="00000000" w:rsidR="00000000" w:rsidRPr="00000000">
        <w:rPr>
          <w:rtl w:val="0"/>
        </w:rPr>
      </w:r>
    </w:p>
    <w:p w:rsidR="00000000" w:rsidDel="00000000" w:rsidP="00000000" w:rsidRDefault="00000000" w:rsidRPr="00000000" w14:paraId="00000112">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Figure 1</w:t>
      </w:r>
      <w:r w:rsidDel="00000000" w:rsidR="00000000" w:rsidRPr="00000000">
        <w:rPr>
          <w:rFonts w:ascii="Times New Roman" w:cs="Times New Roman" w:eastAsia="Times New Roman" w:hAnsi="Times New Roman"/>
          <w:sz w:val="24"/>
          <w:szCs w:val="24"/>
          <w:rtl w:val="0"/>
        </w:rPr>
        <w:t xml:space="preserve"> presents the headcount of teachers returning from maternity leave between 2016/17 and 2018/19 across a four-year period following their return. The figure shows a steady reduction in headcount over time for all cohorts, with the largest numerical decrease occurring between the point of return and one year after returning. The pattern of decline is similar across cohorts.</w:t>
      </w:r>
    </w:p>
    <w:p w:rsidR="00000000" w:rsidDel="00000000" w:rsidP="00000000" w:rsidRDefault="00000000" w:rsidRPr="00000000" w14:paraId="00000113">
      <w:pPr>
        <w:spacing w:after="240" w:before="240"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14">
      <w:pPr>
        <w:spacing w:after="240" w:before="240"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15">
      <w:pPr>
        <w:spacing w:after="240" w:before="240"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16">
      <w:pPr>
        <w:spacing w:after="240" w:before="240"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17">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Table 2: Maternity attrition in the teaching profession, 2016/17 – 2018/19</w:t>
      </w:r>
      <w:r w:rsidDel="00000000" w:rsidR="00000000" w:rsidRPr="00000000">
        <w:rPr>
          <w:rtl w:val="0"/>
        </w:rPr>
      </w:r>
    </w:p>
    <w:tbl>
      <w:tblPr>
        <w:tblStyle w:val="Table2"/>
        <w:tblW w:w="9360.0" w:type="dxa"/>
        <w:jc w:val="left"/>
        <w:tblInd w:w="4.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560"/>
        <w:gridCol w:w="1560"/>
        <w:gridCol w:w="1560"/>
        <w:gridCol w:w="1560"/>
        <w:gridCol w:w="1560"/>
        <w:gridCol w:w="1560"/>
        <w:tblGridChange w:id="0">
          <w:tblGrid>
            <w:gridCol w:w="1560"/>
            <w:gridCol w:w="1560"/>
            <w:gridCol w:w="1560"/>
            <w:gridCol w:w="1560"/>
            <w:gridCol w:w="1560"/>
            <w:gridCol w:w="1560"/>
          </w:tblGrid>
        </w:tblGridChange>
      </w:tblGrid>
      <w:tr>
        <w:trPr>
          <w:cantSplit w:val="0"/>
          <w:tblHeader w:val="0"/>
        </w:trPr>
        <w:tc>
          <w:tcPr>
            <w:tcMar>
              <w:top w:w="100.0" w:type="dxa"/>
              <w:left w:w="100.0" w:type="dxa"/>
              <w:bottom w:w="100.0" w:type="dxa"/>
              <w:right w:w="100.0" w:type="dxa"/>
            </w:tcMar>
          </w:tcPr>
          <w:p w:rsidR="00000000" w:rsidDel="00000000" w:rsidP="00000000" w:rsidRDefault="00000000" w:rsidRPr="00000000" w14:paraId="00000118">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Year in which they returned from maternity leave</w:t>
            </w:r>
          </w:p>
        </w:tc>
        <w:tc>
          <w:tcPr>
            <w:tcMar>
              <w:top w:w="100.0" w:type="dxa"/>
              <w:left w:w="100.0" w:type="dxa"/>
              <w:bottom w:w="100.0" w:type="dxa"/>
              <w:right w:w="100.0" w:type="dxa"/>
            </w:tcMar>
          </w:tcPr>
          <w:p w:rsidR="00000000" w:rsidDel="00000000" w:rsidP="00000000" w:rsidRDefault="00000000" w:rsidRPr="00000000" w14:paraId="00000119">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Starting headcount </w:t>
            </w:r>
          </w:p>
        </w:tc>
        <w:tc>
          <w:tcPr>
            <w:tcMar>
              <w:top w:w="100.0" w:type="dxa"/>
              <w:left w:w="100.0" w:type="dxa"/>
              <w:bottom w:w="100.0" w:type="dxa"/>
              <w:right w:w="100.0" w:type="dxa"/>
            </w:tcMar>
          </w:tcPr>
          <w:p w:rsidR="00000000" w:rsidDel="00000000" w:rsidP="00000000" w:rsidRDefault="00000000" w:rsidRPr="00000000" w14:paraId="0000011A">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Loss after one year</w:t>
            </w:r>
          </w:p>
        </w:tc>
        <w:tc>
          <w:tcPr>
            <w:tcMar>
              <w:top w:w="100.0" w:type="dxa"/>
              <w:left w:w="100.0" w:type="dxa"/>
              <w:bottom w:w="100.0" w:type="dxa"/>
              <w:right w:w="100.0" w:type="dxa"/>
            </w:tcMar>
          </w:tcPr>
          <w:p w:rsidR="00000000" w:rsidDel="00000000" w:rsidP="00000000" w:rsidRDefault="00000000" w:rsidRPr="00000000" w14:paraId="0000011B">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Loss after two years</w:t>
            </w:r>
          </w:p>
        </w:tc>
        <w:tc>
          <w:tcPr>
            <w:tcMar>
              <w:top w:w="100.0" w:type="dxa"/>
              <w:left w:w="100.0" w:type="dxa"/>
              <w:bottom w:w="100.0" w:type="dxa"/>
              <w:right w:w="100.0" w:type="dxa"/>
            </w:tcMar>
          </w:tcPr>
          <w:p w:rsidR="00000000" w:rsidDel="00000000" w:rsidP="00000000" w:rsidRDefault="00000000" w:rsidRPr="00000000" w14:paraId="0000011C">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Loss after three years</w:t>
            </w:r>
          </w:p>
        </w:tc>
        <w:tc>
          <w:tcPr>
            <w:tcMar>
              <w:top w:w="100.0" w:type="dxa"/>
              <w:left w:w="100.0" w:type="dxa"/>
              <w:bottom w:w="100.0" w:type="dxa"/>
              <w:right w:w="100.0" w:type="dxa"/>
            </w:tcMar>
          </w:tcPr>
          <w:p w:rsidR="00000000" w:rsidDel="00000000" w:rsidP="00000000" w:rsidRDefault="00000000" w:rsidRPr="00000000" w14:paraId="0000011D">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Four-year cumulative loss</w:t>
            </w:r>
          </w:p>
        </w:tc>
      </w:tr>
      <w:tr>
        <w:trPr>
          <w:cantSplit w:val="0"/>
          <w:tblHeader w:val="0"/>
        </w:trPr>
        <w:tc>
          <w:tcPr>
            <w:tcMar>
              <w:top w:w="100.0" w:type="dxa"/>
              <w:left w:w="100.0" w:type="dxa"/>
              <w:bottom w:w="100.0" w:type="dxa"/>
              <w:right w:w="100.0" w:type="dxa"/>
            </w:tcMar>
          </w:tcPr>
          <w:p w:rsidR="00000000" w:rsidDel="00000000" w:rsidP="00000000" w:rsidRDefault="00000000" w:rsidRPr="00000000" w14:paraId="0000011E">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2016/17</w:t>
            </w:r>
          </w:p>
        </w:tc>
        <w:tc>
          <w:tcPr>
            <w:tcMar>
              <w:top w:w="100.0" w:type="dxa"/>
              <w:left w:w="100.0" w:type="dxa"/>
              <w:bottom w:w="100.0" w:type="dxa"/>
              <w:right w:w="100.0" w:type="dxa"/>
            </w:tcMar>
          </w:tcPr>
          <w:p w:rsidR="00000000" w:rsidDel="00000000" w:rsidP="00000000" w:rsidRDefault="00000000" w:rsidRPr="00000000" w14:paraId="0000011F">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9,780</w:t>
            </w:r>
          </w:p>
        </w:tc>
        <w:tc>
          <w:tcPr>
            <w:tcMar>
              <w:top w:w="100.0" w:type="dxa"/>
              <w:left w:w="100.0" w:type="dxa"/>
              <w:bottom w:w="100.0" w:type="dxa"/>
              <w:right w:w="100.0" w:type="dxa"/>
            </w:tcMar>
          </w:tcPr>
          <w:p w:rsidR="00000000" w:rsidDel="00000000" w:rsidP="00000000" w:rsidRDefault="00000000" w:rsidRPr="00000000" w14:paraId="00000120">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1,934</w:t>
            </w:r>
          </w:p>
        </w:tc>
        <w:tc>
          <w:tcPr>
            <w:tcMar>
              <w:top w:w="100.0" w:type="dxa"/>
              <w:left w:w="100.0" w:type="dxa"/>
              <w:bottom w:w="100.0" w:type="dxa"/>
              <w:right w:w="100.0" w:type="dxa"/>
            </w:tcMar>
          </w:tcPr>
          <w:p w:rsidR="00000000" w:rsidDel="00000000" w:rsidP="00000000" w:rsidRDefault="00000000" w:rsidRPr="00000000" w14:paraId="00000121">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2,896</w:t>
            </w:r>
          </w:p>
        </w:tc>
        <w:tc>
          <w:tcPr>
            <w:tcMar>
              <w:top w:w="100.0" w:type="dxa"/>
              <w:left w:w="100.0" w:type="dxa"/>
              <w:bottom w:w="100.0" w:type="dxa"/>
              <w:right w:w="100.0" w:type="dxa"/>
            </w:tcMar>
          </w:tcPr>
          <w:p w:rsidR="00000000" w:rsidDel="00000000" w:rsidP="00000000" w:rsidRDefault="00000000" w:rsidRPr="00000000" w14:paraId="00000122">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3,576</w:t>
            </w:r>
          </w:p>
        </w:tc>
        <w:tc>
          <w:tcPr>
            <w:tcMar>
              <w:top w:w="100.0" w:type="dxa"/>
              <w:left w:w="100.0" w:type="dxa"/>
              <w:bottom w:w="100.0" w:type="dxa"/>
              <w:right w:w="100.0" w:type="dxa"/>
            </w:tcMar>
          </w:tcPr>
          <w:p w:rsidR="00000000" w:rsidDel="00000000" w:rsidP="00000000" w:rsidRDefault="00000000" w:rsidRPr="00000000" w14:paraId="00000123">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3,878</w:t>
            </w:r>
          </w:p>
        </w:tc>
      </w:tr>
      <w:tr>
        <w:trPr>
          <w:cantSplit w:val="0"/>
          <w:tblHeader w:val="0"/>
        </w:trPr>
        <w:tc>
          <w:tcPr>
            <w:tcMar>
              <w:top w:w="100.0" w:type="dxa"/>
              <w:left w:w="100.0" w:type="dxa"/>
              <w:bottom w:w="100.0" w:type="dxa"/>
              <w:right w:w="100.0" w:type="dxa"/>
            </w:tcMar>
          </w:tcPr>
          <w:p w:rsidR="00000000" w:rsidDel="00000000" w:rsidP="00000000" w:rsidRDefault="00000000" w:rsidRPr="00000000" w14:paraId="00000124">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2017/18</w:t>
            </w:r>
          </w:p>
        </w:tc>
        <w:tc>
          <w:tcPr>
            <w:tcMar>
              <w:top w:w="100.0" w:type="dxa"/>
              <w:left w:w="100.0" w:type="dxa"/>
              <w:bottom w:w="100.0" w:type="dxa"/>
              <w:right w:w="100.0" w:type="dxa"/>
            </w:tcMar>
          </w:tcPr>
          <w:p w:rsidR="00000000" w:rsidDel="00000000" w:rsidP="00000000" w:rsidRDefault="00000000" w:rsidRPr="00000000" w14:paraId="00000125">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9,974</w:t>
            </w:r>
          </w:p>
        </w:tc>
        <w:tc>
          <w:tcPr>
            <w:tcMar>
              <w:top w:w="100.0" w:type="dxa"/>
              <w:left w:w="100.0" w:type="dxa"/>
              <w:bottom w:w="100.0" w:type="dxa"/>
              <w:right w:w="100.0" w:type="dxa"/>
            </w:tcMar>
          </w:tcPr>
          <w:p w:rsidR="00000000" w:rsidDel="00000000" w:rsidP="00000000" w:rsidRDefault="00000000" w:rsidRPr="00000000" w14:paraId="00000126">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1,702</w:t>
            </w:r>
          </w:p>
        </w:tc>
        <w:tc>
          <w:tcPr>
            <w:tcMar>
              <w:top w:w="100.0" w:type="dxa"/>
              <w:left w:w="100.0" w:type="dxa"/>
              <w:bottom w:w="100.0" w:type="dxa"/>
              <w:right w:w="100.0" w:type="dxa"/>
            </w:tcMar>
          </w:tcPr>
          <w:p w:rsidR="00000000" w:rsidDel="00000000" w:rsidP="00000000" w:rsidRDefault="00000000" w:rsidRPr="00000000" w14:paraId="00000127">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2,692</w:t>
            </w:r>
          </w:p>
        </w:tc>
        <w:tc>
          <w:tcPr>
            <w:tcMar>
              <w:top w:w="100.0" w:type="dxa"/>
              <w:left w:w="100.0" w:type="dxa"/>
              <w:bottom w:w="100.0" w:type="dxa"/>
              <w:right w:w="100.0" w:type="dxa"/>
            </w:tcMar>
          </w:tcPr>
          <w:p w:rsidR="00000000" w:rsidDel="00000000" w:rsidP="00000000" w:rsidRDefault="00000000" w:rsidRPr="00000000" w14:paraId="00000128">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3,302</w:t>
            </w:r>
          </w:p>
        </w:tc>
        <w:tc>
          <w:tcPr>
            <w:tcMar>
              <w:top w:w="100.0" w:type="dxa"/>
              <w:left w:w="100.0" w:type="dxa"/>
              <w:bottom w:w="100.0" w:type="dxa"/>
              <w:right w:w="100.0" w:type="dxa"/>
            </w:tcMar>
          </w:tcPr>
          <w:p w:rsidR="00000000" w:rsidDel="00000000" w:rsidP="00000000" w:rsidRDefault="00000000" w:rsidRPr="00000000" w14:paraId="00000129">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3,816</w:t>
            </w:r>
          </w:p>
        </w:tc>
      </w:tr>
      <w:tr>
        <w:trPr>
          <w:cantSplit w:val="0"/>
          <w:tblHeader w:val="0"/>
        </w:trPr>
        <w:tc>
          <w:tcPr>
            <w:tcMar>
              <w:top w:w="100.0" w:type="dxa"/>
              <w:left w:w="100.0" w:type="dxa"/>
              <w:bottom w:w="100.0" w:type="dxa"/>
              <w:right w:w="100.0" w:type="dxa"/>
            </w:tcMar>
          </w:tcPr>
          <w:p w:rsidR="00000000" w:rsidDel="00000000" w:rsidP="00000000" w:rsidRDefault="00000000" w:rsidRPr="00000000" w14:paraId="0000012A">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2018/19</w:t>
            </w:r>
          </w:p>
        </w:tc>
        <w:tc>
          <w:tcPr>
            <w:tcMar>
              <w:top w:w="100.0" w:type="dxa"/>
              <w:left w:w="100.0" w:type="dxa"/>
              <w:bottom w:w="100.0" w:type="dxa"/>
              <w:right w:w="100.0" w:type="dxa"/>
            </w:tcMar>
          </w:tcPr>
          <w:p w:rsidR="00000000" w:rsidDel="00000000" w:rsidP="00000000" w:rsidRDefault="00000000" w:rsidRPr="00000000" w14:paraId="0000012B">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9,954</w:t>
            </w:r>
          </w:p>
        </w:tc>
        <w:tc>
          <w:tcPr>
            <w:tcMar>
              <w:top w:w="100.0" w:type="dxa"/>
              <w:left w:w="100.0" w:type="dxa"/>
              <w:bottom w:w="100.0" w:type="dxa"/>
              <w:right w:w="100.0" w:type="dxa"/>
            </w:tcMar>
          </w:tcPr>
          <w:p w:rsidR="00000000" w:rsidDel="00000000" w:rsidP="00000000" w:rsidRDefault="00000000" w:rsidRPr="00000000" w14:paraId="0000012C">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1,686</w:t>
            </w:r>
          </w:p>
        </w:tc>
        <w:tc>
          <w:tcPr>
            <w:tcMar>
              <w:top w:w="100.0" w:type="dxa"/>
              <w:left w:w="100.0" w:type="dxa"/>
              <w:bottom w:w="100.0" w:type="dxa"/>
              <w:right w:w="100.0" w:type="dxa"/>
            </w:tcMar>
          </w:tcPr>
          <w:p w:rsidR="00000000" w:rsidDel="00000000" w:rsidP="00000000" w:rsidRDefault="00000000" w:rsidRPr="00000000" w14:paraId="0000012D">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2,410</w:t>
            </w:r>
          </w:p>
        </w:tc>
        <w:tc>
          <w:tcPr>
            <w:tcMar>
              <w:top w:w="100.0" w:type="dxa"/>
              <w:left w:w="100.0" w:type="dxa"/>
              <w:bottom w:w="100.0" w:type="dxa"/>
              <w:right w:w="100.0" w:type="dxa"/>
            </w:tcMar>
          </w:tcPr>
          <w:p w:rsidR="00000000" w:rsidDel="00000000" w:rsidP="00000000" w:rsidRDefault="00000000" w:rsidRPr="00000000" w14:paraId="0000012E">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3,088</w:t>
            </w:r>
          </w:p>
        </w:tc>
        <w:tc>
          <w:tcPr>
            <w:tcMar>
              <w:top w:w="100.0" w:type="dxa"/>
              <w:left w:w="100.0" w:type="dxa"/>
              <w:bottom w:w="100.0" w:type="dxa"/>
              <w:right w:w="100.0" w:type="dxa"/>
            </w:tcMar>
          </w:tcPr>
          <w:p w:rsidR="00000000" w:rsidDel="00000000" w:rsidP="00000000" w:rsidRDefault="00000000" w:rsidRPr="00000000" w14:paraId="0000012F">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3,812</w:t>
            </w:r>
          </w:p>
        </w:tc>
      </w:tr>
      <w:tr>
        <w:trPr>
          <w:cantSplit w:val="0"/>
          <w:tblHeader w:val="0"/>
        </w:trPr>
        <w:tc>
          <w:tcPr>
            <w:shd w:fill="000000" w:val="clear"/>
            <w:tcMar>
              <w:top w:w="100.0" w:type="dxa"/>
              <w:left w:w="100.0" w:type="dxa"/>
              <w:bottom w:w="100.0" w:type="dxa"/>
              <w:right w:w="100.0" w:type="dxa"/>
            </w:tcMar>
          </w:tcPr>
          <w:p w:rsidR="00000000" w:rsidDel="00000000" w:rsidP="00000000" w:rsidRDefault="00000000" w:rsidRPr="00000000" w14:paraId="00000130">
            <w:pPr>
              <w:widowControl w:val="0"/>
              <w:spacing w:line="240" w:lineRule="auto"/>
              <w:rPr>
                <w:rFonts w:ascii="Times New Roman" w:cs="Times New Roman" w:eastAsia="Times New Roman" w:hAnsi="Times New Roman"/>
                <w:color w:val="ffffff"/>
                <w:sz w:val="24"/>
                <w:szCs w:val="24"/>
              </w:rPr>
            </w:pPr>
            <w:r w:rsidDel="00000000" w:rsidR="00000000" w:rsidRPr="00000000">
              <w:rPr>
                <w:rFonts w:ascii="Times New Roman" w:cs="Times New Roman" w:eastAsia="Times New Roman" w:hAnsi="Times New Roman"/>
                <w:color w:val="ffffff"/>
                <w:sz w:val="24"/>
                <w:szCs w:val="24"/>
                <w:rtl w:val="0"/>
              </w:rPr>
              <w:t xml:space="preserve">Three-year </w:t>
            </w:r>
          </w:p>
          <w:p w:rsidR="00000000" w:rsidDel="00000000" w:rsidP="00000000" w:rsidRDefault="00000000" w:rsidRPr="00000000" w14:paraId="00000131">
            <w:pPr>
              <w:widowControl w:val="0"/>
              <w:spacing w:line="240" w:lineRule="auto"/>
              <w:rPr>
                <w:rFonts w:ascii="Times New Roman" w:cs="Times New Roman" w:eastAsia="Times New Roman" w:hAnsi="Times New Roman"/>
                <w:color w:val="ffffff"/>
                <w:sz w:val="24"/>
                <w:szCs w:val="24"/>
              </w:rPr>
            </w:pPr>
            <w:r w:rsidDel="00000000" w:rsidR="00000000" w:rsidRPr="00000000">
              <w:rPr>
                <w:rFonts w:ascii="Times New Roman" w:cs="Times New Roman" w:eastAsia="Times New Roman" w:hAnsi="Times New Roman"/>
                <w:color w:val="ffffff"/>
                <w:sz w:val="24"/>
                <w:szCs w:val="24"/>
                <w:rtl w:val="0"/>
              </w:rPr>
              <w:t xml:space="preserve">Average </w:t>
            </w:r>
          </w:p>
        </w:tc>
        <w:tc>
          <w:tcPr>
            <w:shd w:fill="000000" w:val="clear"/>
            <w:tcMar>
              <w:top w:w="100.0" w:type="dxa"/>
              <w:left w:w="100.0" w:type="dxa"/>
              <w:bottom w:w="100.0" w:type="dxa"/>
              <w:right w:w="100.0" w:type="dxa"/>
            </w:tcMar>
          </w:tcPr>
          <w:p w:rsidR="00000000" w:rsidDel="00000000" w:rsidP="00000000" w:rsidRDefault="00000000" w:rsidRPr="00000000" w14:paraId="00000132">
            <w:pPr>
              <w:widowControl w:val="0"/>
              <w:spacing w:line="240" w:lineRule="auto"/>
              <w:rPr>
                <w:rFonts w:ascii="Times New Roman" w:cs="Times New Roman" w:eastAsia="Times New Roman" w:hAnsi="Times New Roman"/>
                <w:color w:val="ffffff"/>
                <w:sz w:val="24"/>
                <w:szCs w:val="24"/>
              </w:rPr>
            </w:pPr>
            <w:r w:rsidDel="00000000" w:rsidR="00000000" w:rsidRPr="00000000">
              <w:rPr>
                <w:rFonts w:ascii="Times New Roman" w:cs="Times New Roman" w:eastAsia="Times New Roman" w:hAnsi="Times New Roman"/>
                <w:color w:val="ffffff"/>
                <w:sz w:val="24"/>
                <w:szCs w:val="24"/>
                <w:rtl w:val="0"/>
              </w:rPr>
              <w:t xml:space="preserve">9,903</w:t>
            </w:r>
          </w:p>
        </w:tc>
        <w:tc>
          <w:tcPr>
            <w:tcBorders>
              <w:right w:color="ffffff" w:space="0" w:sz="8" w:val="single"/>
            </w:tcBorders>
            <w:shd w:fill="000000" w:val="clear"/>
            <w:tcMar>
              <w:top w:w="100.0" w:type="dxa"/>
              <w:left w:w="100.0" w:type="dxa"/>
              <w:bottom w:w="100.0" w:type="dxa"/>
              <w:right w:w="100.0" w:type="dxa"/>
            </w:tcMar>
          </w:tcPr>
          <w:p w:rsidR="00000000" w:rsidDel="00000000" w:rsidP="00000000" w:rsidRDefault="00000000" w:rsidRPr="00000000" w14:paraId="00000133">
            <w:pPr>
              <w:widowControl w:val="0"/>
              <w:spacing w:line="240" w:lineRule="auto"/>
              <w:rPr>
                <w:rFonts w:ascii="Times New Roman" w:cs="Times New Roman" w:eastAsia="Times New Roman" w:hAnsi="Times New Roman"/>
                <w:color w:val="ffffff"/>
                <w:sz w:val="24"/>
                <w:szCs w:val="24"/>
              </w:rPr>
            </w:pPr>
            <w:r w:rsidDel="00000000" w:rsidR="00000000" w:rsidRPr="00000000">
              <w:rPr>
                <w:rFonts w:ascii="Times New Roman" w:cs="Times New Roman" w:eastAsia="Times New Roman" w:hAnsi="Times New Roman"/>
                <w:color w:val="ffffff"/>
                <w:sz w:val="24"/>
                <w:szCs w:val="24"/>
                <w:rtl w:val="0"/>
              </w:rPr>
              <w:t xml:space="preserve">1,774</w:t>
            </w:r>
          </w:p>
        </w:tc>
        <w:tc>
          <w:tcPr>
            <w:tcBorders>
              <w:left w:color="ffffff" w:space="0" w:sz="8" w:val="single"/>
              <w:bottom w:color="ffffff" w:space="0" w:sz="8" w:val="single"/>
              <w:right w:color="ffffff" w:space="0" w:sz="8" w:val="single"/>
            </w:tcBorders>
            <w:shd w:fill="000000" w:val="clear"/>
            <w:tcMar>
              <w:top w:w="100.0" w:type="dxa"/>
              <w:left w:w="100.0" w:type="dxa"/>
              <w:bottom w:w="100.0" w:type="dxa"/>
              <w:right w:w="100.0" w:type="dxa"/>
            </w:tcMar>
          </w:tcPr>
          <w:p w:rsidR="00000000" w:rsidDel="00000000" w:rsidP="00000000" w:rsidRDefault="00000000" w:rsidRPr="00000000" w14:paraId="00000134">
            <w:pPr>
              <w:widowControl w:val="0"/>
              <w:spacing w:line="240" w:lineRule="auto"/>
              <w:rPr>
                <w:rFonts w:ascii="Times New Roman" w:cs="Times New Roman" w:eastAsia="Times New Roman" w:hAnsi="Times New Roman"/>
                <w:color w:val="ffffff"/>
                <w:sz w:val="24"/>
                <w:szCs w:val="24"/>
              </w:rPr>
            </w:pPr>
            <w:r w:rsidDel="00000000" w:rsidR="00000000" w:rsidRPr="00000000">
              <w:rPr>
                <w:rFonts w:ascii="Times New Roman" w:cs="Times New Roman" w:eastAsia="Times New Roman" w:hAnsi="Times New Roman"/>
                <w:color w:val="ffffff"/>
                <w:sz w:val="24"/>
                <w:szCs w:val="24"/>
                <w:rtl w:val="0"/>
              </w:rPr>
              <w:t xml:space="preserve">2,666</w:t>
            </w:r>
          </w:p>
        </w:tc>
        <w:tc>
          <w:tcPr>
            <w:tcBorders>
              <w:left w:color="ffffff" w:space="0" w:sz="8" w:val="single"/>
              <w:bottom w:color="ffffff" w:space="0" w:sz="8" w:val="single"/>
              <w:right w:color="ffffff" w:space="0" w:sz="8" w:val="single"/>
            </w:tcBorders>
            <w:shd w:fill="000000" w:val="clear"/>
            <w:tcMar>
              <w:top w:w="100.0" w:type="dxa"/>
              <w:left w:w="100.0" w:type="dxa"/>
              <w:bottom w:w="100.0" w:type="dxa"/>
              <w:right w:w="100.0" w:type="dxa"/>
            </w:tcMar>
          </w:tcPr>
          <w:p w:rsidR="00000000" w:rsidDel="00000000" w:rsidP="00000000" w:rsidRDefault="00000000" w:rsidRPr="00000000" w14:paraId="00000135">
            <w:pPr>
              <w:widowControl w:val="0"/>
              <w:spacing w:line="240" w:lineRule="auto"/>
              <w:rPr>
                <w:rFonts w:ascii="Times New Roman" w:cs="Times New Roman" w:eastAsia="Times New Roman" w:hAnsi="Times New Roman"/>
                <w:color w:val="ffffff"/>
                <w:sz w:val="24"/>
                <w:szCs w:val="24"/>
              </w:rPr>
            </w:pPr>
            <w:r w:rsidDel="00000000" w:rsidR="00000000" w:rsidRPr="00000000">
              <w:rPr>
                <w:rFonts w:ascii="Times New Roman" w:cs="Times New Roman" w:eastAsia="Times New Roman" w:hAnsi="Times New Roman"/>
                <w:color w:val="ffffff"/>
                <w:sz w:val="24"/>
                <w:szCs w:val="24"/>
                <w:rtl w:val="0"/>
              </w:rPr>
              <w:t xml:space="preserve">3,322</w:t>
            </w:r>
          </w:p>
        </w:tc>
        <w:tc>
          <w:tcPr>
            <w:tcBorders>
              <w:left w:color="ffffff" w:space="0" w:sz="8" w:val="single"/>
              <w:bottom w:color="ffffff" w:space="0" w:sz="8" w:val="single"/>
              <w:right w:color="ffffff" w:space="0" w:sz="8" w:val="single"/>
            </w:tcBorders>
            <w:shd w:fill="000000" w:val="clear"/>
            <w:tcMar>
              <w:top w:w="100.0" w:type="dxa"/>
              <w:left w:w="100.0" w:type="dxa"/>
              <w:bottom w:w="100.0" w:type="dxa"/>
              <w:right w:w="100.0" w:type="dxa"/>
            </w:tcMar>
          </w:tcPr>
          <w:p w:rsidR="00000000" w:rsidDel="00000000" w:rsidP="00000000" w:rsidRDefault="00000000" w:rsidRPr="00000000" w14:paraId="00000136">
            <w:pPr>
              <w:widowControl w:val="0"/>
              <w:spacing w:line="240" w:lineRule="auto"/>
              <w:rPr>
                <w:rFonts w:ascii="Times New Roman" w:cs="Times New Roman" w:eastAsia="Times New Roman" w:hAnsi="Times New Roman"/>
                <w:color w:val="ffffff"/>
                <w:sz w:val="24"/>
                <w:szCs w:val="24"/>
              </w:rPr>
            </w:pPr>
            <w:r w:rsidDel="00000000" w:rsidR="00000000" w:rsidRPr="00000000">
              <w:rPr>
                <w:rFonts w:ascii="Times New Roman" w:cs="Times New Roman" w:eastAsia="Times New Roman" w:hAnsi="Times New Roman"/>
                <w:color w:val="ffffff"/>
                <w:sz w:val="24"/>
                <w:szCs w:val="24"/>
                <w:rtl w:val="0"/>
              </w:rPr>
              <w:t xml:space="preserve">3,835</w:t>
            </w:r>
          </w:p>
        </w:tc>
      </w:tr>
    </w:tbl>
    <w:p w:rsidR="00000000" w:rsidDel="00000000" w:rsidP="00000000" w:rsidRDefault="00000000" w:rsidRPr="00000000" w14:paraId="00000137">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Table 2 summarises starting headcount and cumulative teacher losses within four years of returning from maternity leave for cohorts between 2016/17 and 2018/19, including average values across the period.</w:t>
      </w:r>
    </w:p>
    <w:p w:rsidR="00000000" w:rsidDel="00000000" w:rsidP="00000000" w:rsidRDefault="00000000" w:rsidRPr="00000000" w14:paraId="00000138">
      <w:pPr>
        <w:spacing w:after="240" w:before="240"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39">
      <w:pPr>
        <w:spacing w:after="240" w:before="240"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3A">
      <w:pPr>
        <w:spacing w:after="240" w:before="240"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3B">
      <w:pPr>
        <w:spacing w:after="240" w:before="240"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3C">
      <w:pPr>
        <w:spacing w:after="240" w:before="240"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3D">
      <w:pPr>
        <w:spacing w:after="240" w:before="240"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3E">
      <w:pPr>
        <w:spacing w:after="240" w:before="240"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3F">
      <w:pPr>
        <w:spacing w:after="240" w:before="240"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40">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Figure 2: Cumulative Teacher Loss After Returning from Maternity Leave</w:t>
      </w:r>
      <w:r w:rsidDel="00000000" w:rsidR="00000000" w:rsidRPr="00000000">
        <w:rPr>
          <w:rtl w:val="0"/>
        </w:rPr>
      </w:r>
    </w:p>
    <w:p w:rsidR="00000000" w:rsidDel="00000000" w:rsidP="00000000" w:rsidRDefault="00000000" w:rsidRPr="00000000" w14:paraId="00000141">
      <w:pPr>
        <w:spacing w:after="240" w:before="240" w:line="480" w:lineRule="auto"/>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019675" cy="3617565"/>
            <wp:effectExtent b="0" l="0" r="0" t="0"/>
            <wp:docPr id="9" name="image2.png"/>
            <a:graphic>
              <a:graphicData uri="http://schemas.openxmlformats.org/drawingml/2006/picture">
                <pic:pic>
                  <pic:nvPicPr>
                    <pic:cNvPr id="0" name="image2.png"/>
                    <pic:cNvPicPr preferRelativeResize="0"/>
                  </pic:nvPicPr>
                  <pic:blipFill>
                    <a:blip r:embed="rId8"/>
                    <a:srcRect b="0" l="0" r="0" t="6040"/>
                    <a:stretch>
                      <a:fillRect/>
                    </a:stretch>
                  </pic:blipFill>
                  <pic:spPr>
                    <a:xfrm>
                      <a:off x="0" y="0"/>
                      <a:ext cx="5019675" cy="3617565"/>
                    </a:xfrm>
                    <a:prstGeom prst="rect"/>
                    <a:ln/>
                  </pic:spPr>
                </pic:pic>
              </a:graphicData>
            </a:graphic>
          </wp:inline>
        </w:drawing>
      </w:r>
      <w:r w:rsidDel="00000000" w:rsidR="00000000" w:rsidRPr="00000000">
        <w:rPr>
          <w:rtl w:val="0"/>
        </w:rPr>
      </w:r>
    </w:p>
    <w:p w:rsidR="00000000" w:rsidDel="00000000" w:rsidP="00000000" w:rsidRDefault="00000000" w:rsidRPr="00000000" w14:paraId="00000142">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Figure 2 presents cumulative teacher losses within four years of returning from maternity leave for the 2016/17 to 2018/19 cohorts. Each stacked bar shows the total number of teachers exiting the profession over the four-year period, with segments indicating the timing of loss after return. Across all cohorts, the largest portion of cumulative loss occurs within the first year, with additional losses accruing in subsequent years. The overall magnitude of cumulative loss is similar across cohorts.</w:t>
      </w:r>
    </w:p>
    <w:p w:rsidR="00000000" w:rsidDel="00000000" w:rsidP="00000000" w:rsidRDefault="00000000" w:rsidRPr="00000000" w14:paraId="00000143">
      <w:pPr>
        <w:spacing w:after="240" w:before="240"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44">
      <w:pPr>
        <w:spacing w:after="240" w:before="240"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45">
      <w:pPr>
        <w:spacing w:after="240" w:before="240" w:line="480" w:lineRule="auto"/>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Table 3 showing the number of teachers who left the English state sector by age and gender in the year 2023/24</w:t>
      </w:r>
    </w:p>
    <w:tbl>
      <w:tblPr>
        <w:tblStyle w:val="Table3"/>
        <w:tblW w:w="9360.0" w:type="dxa"/>
        <w:jc w:val="left"/>
        <w:tblInd w:w="4.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120"/>
        <w:gridCol w:w="3120"/>
        <w:gridCol w:w="3120"/>
        <w:tblGridChange w:id="0">
          <w:tblGrid>
            <w:gridCol w:w="3120"/>
            <w:gridCol w:w="3120"/>
            <w:gridCol w:w="3120"/>
          </w:tblGrid>
        </w:tblGridChange>
      </w:tblGrid>
      <w:tr>
        <w:trPr>
          <w:cantSplit w:val="0"/>
          <w:tblHeader w:val="0"/>
        </w:trPr>
        <w:tc>
          <w:tcPr>
            <w:tcMar>
              <w:top w:w="100.0" w:type="dxa"/>
              <w:left w:w="100.0" w:type="dxa"/>
              <w:bottom w:w="100.0" w:type="dxa"/>
              <w:right w:w="100.0" w:type="dxa"/>
            </w:tcMar>
          </w:tcPr>
          <w:p w:rsidR="00000000" w:rsidDel="00000000" w:rsidP="00000000" w:rsidRDefault="00000000" w:rsidRPr="00000000" w14:paraId="00000146">
            <w:pPr>
              <w:widowControl w:val="0"/>
              <w:spacing w:line="240" w:lineRule="auto"/>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Age group</w:t>
            </w:r>
          </w:p>
        </w:tc>
        <w:tc>
          <w:tcPr>
            <w:tcMar>
              <w:top w:w="100.0" w:type="dxa"/>
              <w:left w:w="100.0" w:type="dxa"/>
              <w:bottom w:w="100.0" w:type="dxa"/>
              <w:right w:w="100.0" w:type="dxa"/>
            </w:tcMar>
          </w:tcPr>
          <w:p w:rsidR="00000000" w:rsidDel="00000000" w:rsidP="00000000" w:rsidRDefault="00000000" w:rsidRPr="00000000" w14:paraId="00000147">
            <w:pPr>
              <w:widowControl w:val="0"/>
              <w:spacing w:line="240" w:lineRule="auto"/>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Female </w:t>
            </w:r>
          </w:p>
        </w:tc>
        <w:tc>
          <w:tcPr>
            <w:tcMar>
              <w:top w:w="100.0" w:type="dxa"/>
              <w:left w:w="100.0" w:type="dxa"/>
              <w:bottom w:w="100.0" w:type="dxa"/>
              <w:right w:w="100.0" w:type="dxa"/>
            </w:tcMar>
          </w:tcPr>
          <w:p w:rsidR="00000000" w:rsidDel="00000000" w:rsidP="00000000" w:rsidRDefault="00000000" w:rsidRPr="00000000" w14:paraId="00000148">
            <w:pPr>
              <w:widowControl w:val="0"/>
              <w:spacing w:line="240" w:lineRule="auto"/>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Male </w:t>
            </w:r>
          </w:p>
        </w:tc>
      </w:tr>
      <w:tr>
        <w:trPr>
          <w:cantSplit w:val="0"/>
          <w:tblHeader w:val="0"/>
        </w:trPr>
        <w:tc>
          <w:tcPr>
            <w:tcMar>
              <w:top w:w="100.0" w:type="dxa"/>
              <w:left w:w="100.0" w:type="dxa"/>
              <w:bottom w:w="100.0" w:type="dxa"/>
              <w:right w:w="100.0" w:type="dxa"/>
            </w:tcMar>
          </w:tcPr>
          <w:p w:rsidR="00000000" w:rsidDel="00000000" w:rsidP="00000000" w:rsidRDefault="00000000" w:rsidRPr="00000000" w14:paraId="00000149">
            <w:pPr>
              <w:widowControl w:val="0"/>
              <w:spacing w:line="240" w:lineRule="auto"/>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Under 25</w:t>
            </w:r>
          </w:p>
        </w:tc>
        <w:tc>
          <w:tcPr>
            <w:tcMar>
              <w:top w:w="100.0" w:type="dxa"/>
              <w:left w:w="100.0" w:type="dxa"/>
              <w:bottom w:w="100.0" w:type="dxa"/>
              <w:right w:w="100.0" w:type="dxa"/>
            </w:tcMar>
          </w:tcPr>
          <w:p w:rsidR="00000000" w:rsidDel="00000000" w:rsidP="00000000" w:rsidRDefault="00000000" w:rsidRPr="00000000" w14:paraId="0000014A">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2,160</w:t>
            </w:r>
          </w:p>
        </w:tc>
        <w:tc>
          <w:tcPr>
            <w:tcMar>
              <w:top w:w="100.0" w:type="dxa"/>
              <w:left w:w="100.0" w:type="dxa"/>
              <w:bottom w:w="100.0" w:type="dxa"/>
              <w:right w:w="100.0" w:type="dxa"/>
            </w:tcMar>
          </w:tcPr>
          <w:p w:rsidR="00000000" w:rsidDel="00000000" w:rsidP="00000000" w:rsidRDefault="00000000" w:rsidRPr="00000000" w14:paraId="0000014B">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472</w:t>
            </w:r>
          </w:p>
        </w:tc>
      </w:tr>
      <w:tr>
        <w:trPr>
          <w:cantSplit w:val="0"/>
          <w:tblHeader w:val="0"/>
        </w:trPr>
        <w:tc>
          <w:tcPr>
            <w:tcMar>
              <w:top w:w="100.0" w:type="dxa"/>
              <w:left w:w="100.0" w:type="dxa"/>
              <w:bottom w:w="100.0" w:type="dxa"/>
              <w:right w:w="100.0" w:type="dxa"/>
            </w:tcMar>
          </w:tcPr>
          <w:p w:rsidR="00000000" w:rsidDel="00000000" w:rsidP="00000000" w:rsidRDefault="00000000" w:rsidRPr="00000000" w14:paraId="0000014C">
            <w:pPr>
              <w:widowControl w:val="0"/>
              <w:spacing w:line="240" w:lineRule="auto"/>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25 to 29</w:t>
            </w:r>
          </w:p>
        </w:tc>
        <w:tc>
          <w:tcPr>
            <w:tcMar>
              <w:top w:w="100.0" w:type="dxa"/>
              <w:left w:w="100.0" w:type="dxa"/>
              <w:bottom w:w="100.0" w:type="dxa"/>
              <w:right w:w="100.0" w:type="dxa"/>
            </w:tcMar>
          </w:tcPr>
          <w:p w:rsidR="00000000" w:rsidDel="00000000" w:rsidP="00000000" w:rsidRDefault="00000000" w:rsidRPr="00000000" w14:paraId="0000014D">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5,981</w:t>
            </w:r>
          </w:p>
        </w:tc>
        <w:tc>
          <w:tcPr>
            <w:tcMar>
              <w:top w:w="100.0" w:type="dxa"/>
              <w:left w:w="100.0" w:type="dxa"/>
              <w:bottom w:w="100.0" w:type="dxa"/>
              <w:right w:w="100.0" w:type="dxa"/>
            </w:tcMar>
          </w:tcPr>
          <w:p w:rsidR="00000000" w:rsidDel="00000000" w:rsidP="00000000" w:rsidRDefault="00000000" w:rsidRPr="00000000" w14:paraId="0000014E">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1,886</w:t>
            </w:r>
          </w:p>
        </w:tc>
      </w:tr>
      <w:tr>
        <w:trPr>
          <w:cantSplit w:val="0"/>
          <w:tblHeader w:val="0"/>
        </w:trPr>
        <w:tc>
          <w:tcPr>
            <w:tcMar>
              <w:top w:w="100.0" w:type="dxa"/>
              <w:left w:w="100.0" w:type="dxa"/>
              <w:bottom w:w="100.0" w:type="dxa"/>
              <w:right w:w="100.0" w:type="dxa"/>
            </w:tcMar>
          </w:tcPr>
          <w:p w:rsidR="00000000" w:rsidDel="00000000" w:rsidP="00000000" w:rsidRDefault="00000000" w:rsidRPr="00000000" w14:paraId="0000014F">
            <w:pPr>
              <w:widowControl w:val="0"/>
              <w:spacing w:line="240" w:lineRule="auto"/>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30 to 39</w:t>
            </w:r>
          </w:p>
        </w:tc>
        <w:tc>
          <w:tcPr>
            <w:tcMar>
              <w:top w:w="100.0" w:type="dxa"/>
              <w:left w:w="100.0" w:type="dxa"/>
              <w:bottom w:w="100.0" w:type="dxa"/>
              <w:right w:w="100.0" w:type="dxa"/>
            </w:tcMar>
          </w:tcPr>
          <w:p w:rsidR="00000000" w:rsidDel="00000000" w:rsidP="00000000" w:rsidRDefault="00000000" w:rsidRPr="00000000" w14:paraId="00000150">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9,147</w:t>
            </w:r>
          </w:p>
        </w:tc>
        <w:tc>
          <w:tcPr>
            <w:tcMar>
              <w:top w:w="100.0" w:type="dxa"/>
              <w:left w:w="100.0" w:type="dxa"/>
              <w:bottom w:w="100.0" w:type="dxa"/>
              <w:right w:w="100.0" w:type="dxa"/>
            </w:tcMar>
          </w:tcPr>
          <w:p w:rsidR="00000000" w:rsidDel="00000000" w:rsidP="00000000" w:rsidRDefault="00000000" w:rsidRPr="00000000" w14:paraId="00000151">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3,452</w:t>
            </w:r>
          </w:p>
        </w:tc>
      </w:tr>
      <w:tr>
        <w:trPr>
          <w:cantSplit w:val="0"/>
          <w:trHeight w:val="470" w:hRule="atLeast"/>
          <w:tblHeader w:val="0"/>
        </w:trPr>
        <w:tc>
          <w:tcPr>
            <w:tcMar>
              <w:top w:w="100.0" w:type="dxa"/>
              <w:left w:w="100.0" w:type="dxa"/>
              <w:bottom w:w="100.0" w:type="dxa"/>
              <w:right w:w="100.0" w:type="dxa"/>
            </w:tcMar>
          </w:tcPr>
          <w:p w:rsidR="00000000" w:rsidDel="00000000" w:rsidP="00000000" w:rsidRDefault="00000000" w:rsidRPr="00000000" w14:paraId="00000152">
            <w:pPr>
              <w:widowControl w:val="0"/>
              <w:spacing w:line="240" w:lineRule="auto"/>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40 to 49</w:t>
            </w:r>
          </w:p>
        </w:tc>
        <w:tc>
          <w:tcPr>
            <w:tcMar>
              <w:top w:w="100.0" w:type="dxa"/>
              <w:left w:w="100.0" w:type="dxa"/>
              <w:bottom w:w="100.0" w:type="dxa"/>
              <w:right w:w="100.0" w:type="dxa"/>
            </w:tcMar>
          </w:tcPr>
          <w:p w:rsidR="00000000" w:rsidDel="00000000" w:rsidP="00000000" w:rsidRDefault="00000000" w:rsidRPr="00000000" w14:paraId="00000153">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6,832</w:t>
            </w:r>
          </w:p>
        </w:tc>
        <w:tc>
          <w:tcPr>
            <w:tcMar>
              <w:top w:w="100.0" w:type="dxa"/>
              <w:left w:w="100.0" w:type="dxa"/>
              <w:bottom w:w="100.0" w:type="dxa"/>
              <w:right w:w="100.0" w:type="dxa"/>
            </w:tcMar>
          </w:tcPr>
          <w:p w:rsidR="00000000" w:rsidDel="00000000" w:rsidP="00000000" w:rsidRDefault="00000000" w:rsidRPr="00000000" w14:paraId="00000154">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2,366</w:t>
            </w:r>
          </w:p>
        </w:tc>
      </w:tr>
      <w:tr>
        <w:trPr>
          <w:cantSplit w:val="0"/>
          <w:tblHeader w:val="0"/>
        </w:trPr>
        <w:tc>
          <w:tcPr>
            <w:tcMar>
              <w:top w:w="100.0" w:type="dxa"/>
              <w:left w:w="100.0" w:type="dxa"/>
              <w:bottom w:w="100.0" w:type="dxa"/>
              <w:right w:w="100.0" w:type="dxa"/>
            </w:tcMar>
          </w:tcPr>
          <w:p w:rsidR="00000000" w:rsidDel="00000000" w:rsidP="00000000" w:rsidRDefault="00000000" w:rsidRPr="00000000" w14:paraId="00000155">
            <w:pPr>
              <w:widowControl w:val="0"/>
              <w:spacing w:line="240" w:lineRule="auto"/>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50 to 59</w:t>
            </w:r>
          </w:p>
        </w:tc>
        <w:tc>
          <w:tcPr>
            <w:tcMar>
              <w:top w:w="100.0" w:type="dxa"/>
              <w:left w:w="100.0" w:type="dxa"/>
              <w:bottom w:w="100.0" w:type="dxa"/>
              <w:right w:w="100.0" w:type="dxa"/>
            </w:tcMar>
          </w:tcPr>
          <w:p w:rsidR="00000000" w:rsidDel="00000000" w:rsidP="00000000" w:rsidRDefault="00000000" w:rsidRPr="00000000" w14:paraId="00000156">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6,458</w:t>
            </w:r>
          </w:p>
        </w:tc>
        <w:tc>
          <w:tcPr>
            <w:tcMar>
              <w:top w:w="100.0" w:type="dxa"/>
              <w:left w:w="100.0" w:type="dxa"/>
              <w:bottom w:w="100.0" w:type="dxa"/>
              <w:right w:w="100.0" w:type="dxa"/>
            </w:tcMar>
          </w:tcPr>
          <w:p w:rsidR="00000000" w:rsidDel="00000000" w:rsidP="00000000" w:rsidRDefault="00000000" w:rsidRPr="00000000" w14:paraId="00000157">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2,408</w:t>
            </w:r>
          </w:p>
        </w:tc>
      </w:tr>
      <w:tr>
        <w:trPr>
          <w:cantSplit w:val="0"/>
          <w:tblHeader w:val="0"/>
        </w:trPr>
        <w:tc>
          <w:tcPr>
            <w:tcMar>
              <w:top w:w="100.0" w:type="dxa"/>
              <w:left w:w="100.0" w:type="dxa"/>
              <w:bottom w:w="100.0" w:type="dxa"/>
              <w:right w:w="100.0" w:type="dxa"/>
            </w:tcMar>
          </w:tcPr>
          <w:p w:rsidR="00000000" w:rsidDel="00000000" w:rsidP="00000000" w:rsidRDefault="00000000" w:rsidRPr="00000000" w14:paraId="00000158">
            <w:pPr>
              <w:widowControl w:val="0"/>
              <w:spacing w:line="240" w:lineRule="auto"/>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60 and over</w:t>
            </w:r>
          </w:p>
        </w:tc>
        <w:tc>
          <w:tcPr>
            <w:tcMar>
              <w:top w:w="100.0" w:type="dxa"/>
              <w:left w:w="100.0" w:type="dxa"/>
              <w:bottom w:w="100.0" w:type="dxa"/>
              <w:right w:w="100.0" w:type="dxa"/>
            </w:tcMar>
          </w:tcPr>
          <w:p w:rsidR="00000000" w:rsidDel="00000000" w:rsidP="00000000" w:rsidRDefault="00000000" w:rsidRPr="00000000" w14:paraId="00000159">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1,669</w:t>
            </w:r>
          </w:p>
        </w:tc>
        <w:tc>
          <w:tcPr>
            <w:tcMar>
              <w:top w:w="100.0" w:type="dxa"/>
              <w:left w:w="100.0" w:type="dxa"/>
              <w:bottom w:w="100.0" w:type="dxa"/>
              <w:right w:w="100.0" w:type="dxa"/>
            </w:tcMar>
          </w:tcPr>
          <w:p w:rsidR="00000000" w:rsidDel="00000000" w:rsidP="00000000" w:rsidRDefault="00000000" w:rsidRPr="00000000" w14:paraId="0000015A">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668</w:t>
            </w:r>
          </w:p>
        </w:tc>
      </w:tr>
    </w:tbl>
    <w:p w:rsidR="00000000" w:rsidDel="00000000" w:rsidP="00000000" w:rsidRDefault="00000000" w:rsidRPr="00000000" w14:paraId="0000015B">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Source: DfE School Workforce in England 2024</w:t>
      </w:r>
    </w:p>
    <w:p w:rsidR="00000000" w:rsidDel="00000000" w:rsidP="00000000" w:rsidRDefault="00000000" w:rsidRPr="00000000" w14:paraId="0000015C">
      <w:pPr>
        <w:spacing w:after="240" w:before="240" w:line="480" w:lineRule="auto"/>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sz w:val="24"/>
          <w:szCs w:val="24"/>
          <w:rtl w:val="0"/>
        </w:rPr>
        <w:t xml:space="preserve">Table 3 presents the number of teachers who left the English state sector in the 2023/24 academic year, disaggregated by age group and gender.</w:t>
      </w:r>
      <w:r w:rsidDel="00000000" w:rsidR="00000000" w:rsidRPr="00000000">
        <w:rPr>
          <w:rtl w:val="0"/>
        </w:rPr>
      </w:r>
    </w:p>
    <w:p w:rsidR="00000000" w:rsidDel="00000000" w:rsidP="00000000" w:rsidRDefault="00000000" w:rsidRPr="00000000" w14:paraId="0000015D">
      <w:pPr>
        <w:spacing w:after="240" w:before="240" w:line="480" w:lineRule="auto"/>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Table 4:  Key Factors Influencing Mother Teachers’ Decisions to Leave UK State School Teaching</w:t>
      </w:r>
    </w:p>
    <w:tbl>
      <w:tblPr>
        <w:tblStyle w:val="Table4"/>
        <w:tblW w:w="9360.0" w:type="dxa"/>
        <w:jc w:val="left"/>
        <w:tblInd w:w="4.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680"/>
        <w:gridCol w:w="4680"/>
        <w:tblGridChange w:id="0">
          <w:tblGrid>
            <w:gridCol w:w="4680"/>
            <w:gridCol w:w="4680"/>
          </w:tblGrid>
        </w:tblGridChange>
      </w:tblGrid>
      <w:tr>
        <w:trPr>
          <w:cantSplit w:val="0"/>
          <w:tblHeader w:val="0"/>
        </w:trPr>
        <w:tc>
          <w:tcPr>
            <w:tcMar>
              <w:top w:w="100.0" w:type="dxa"/>
              <w:left w:w="100.0" w:type="dxa"/>
              <w:bottom w:w="100.0" w:type="dxa"/>
              <w:right w:w="100.0" w:type="dxa"/>
            </w:tcMar>
          </w:tcPr>
          <w:p w:rsidR="00000000" w:rsidDel="00000000" w:rsidP="00000000" w:rsidRDefault="00000000" w:rsidRPr="00000000" w14:paraId="0000015E">
            <w:pPr>
              <w:widowControl w:val="0"/>
              <w:spacing w:line="240" w:lineRule="auto"/>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What were your principal reasons for leaving UK state school teaching? (Please tick all that apply)</w:t>
            </w:r>
          </w:p>
        </w:tc>
        <w:tc>
          <w:tcPr>
            <w:tcMar>
              <w:top w:w="100.0" w:type="dxa"/>
              <w:left w:w="100.0" w:type="dxa"/>
              <w:bottom w:w="100.0" w:type="dxa"/>
              <w:right w:w="100.0" w:type="dxa"/>
            </w:tcMar>
          </w:tcPr>
          <w:p w:rsidR="00000000" w:rsidDel="00000000" w:rsidP="00000000" w:rsidRDefault="00000000" w:rsidRPr="00000000" w14:paraId="0000015F">
            <w:pPr>
              <w:widowControl w:val="0"/>
              <w:spacing w:line="240" w:lineRule="auto"/>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2024</w:t>
            </w:r>
          </w:p>
        </w:tc>
      </w:tr>
      <w:tr>
        <w:trPr>
          <w:cantSplit w:val="0"/>
          <w:tblHeader w:val="0"/>
        </w:trPr>
        <w:tc>
          <w:tcPr>
            <w:tcMar>
              <w:top w:w="100.0" w:type="dxa"/>
              <w:left w:w="100.0" w:type="dxa"/>
              <w:bottom w:w="100.0" w:type="dxa"/>
              <w:right w:w="100.0" w:type="dxa"/>
            </w:tcMar>
          </w:tcPr>
          <w:p w:rsidR="00000000" w:rsidDel="00000000" w:rsidP="00000000" w:rsidRDefault="00000000" w:rsidRPr="00000000" w14:paraId="00000160">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Workload </w:t>
            </w:r>
          </w:p>
        </w:tc>
        <w:tc>
          <w:tcPr>
            <w:tcMar>
              <w:top w:w="100.0" w:type="dxa"/>
              <w:left w:w="100.0" w:type="dxa"/>
              <w:bottom w:w="100.0" w:type="dxa"/>
              <w:right w:w="100.0" w:type="dxa"/>
            </w:tcMar>
          </w:tcPr>
          <w:p w:rsidR="00000000" w:rsidDel="00000000" w:rsidP="00000000" w:rsidRDefault="00000000" w:rsidRPr="00000000" w14:paraId="00000161">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76%</w:t>
            </w:r>
          </w:p>
        </w:tc>
      </w:tr>
      <w:tr>
        <w:trPr>
          <w:cantSplit w:val="0"/>
          <w:tblHeader w:val="0"/>
        </w:trPr>
        <w:tc>
          <w:tcPr>
            <w:tcMar>
              <w:top w:w="100.0" w:type="dxa"/>
              <w:left w:w="100.0" w:type="dxa"/>
              <w:bottom w:w="100.0" w:type="dxa"/>
              <w:right w:w="100.0" w:type="dxa"/>
            </w:tcMar>
          </w:tcPr>
          <w:p w:rsidR="00000000" w:rsidDel="00000000" w:rsidP="00000000" w:rsidRDefault="00000000" w:rsidRPr="00000000" w14:paraId="00000162">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Family commitments </w:t>
            </w:r>
          </w:p>
        </w:tc>
        <w:tc>
          <w:tcPr>
            <w:tcMar>
              <w:top w:w="100.0" w:type="dxa"/>
              <w:left w:w="100.0" w:type="dxa"/>
              <w:bottom w:w="100.0" w:type="dxa"/>
              <w:right w:w="100.0" w:type="dxa"/>
            </w:tcMar>
          </w:tcPr>
          <w:p w:rsidR="00000000" w:rsidDel="00000000" w:rsidP="00000000" w:rsidRDefault="00000000" w:rsidRPr="00000000" w14:paraId="00000163">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65%</w:t>
            </w:r>
          </w:p>
        </w:tc>
      </w:tr>
      <w:tr>
        <w:trPr>
          <w:cantSplit w:val="0"/>
          <w:tblHeader w:val="0"/>
        </w:trPr>
        <w:tc>
          <w:tcPr>
            <w:tcMar>
              <w:top w:w="100.0" w:type="dxa"/>
              <w:left w:w="100.0" w:type="dxa"/>
              <w:bottom w:w="100.0" w:type="dxa"/>
              <w:right w:w="100.0" w:type="dxa"/>
            </w:tcMar>
          </w:tcPr>
          <w:p w:rsidR="00000000" w:rsidDel="00000000" w:rsidP="00000000" w:rsidRDefault="00000000" w:rsidRPr="00000000" w14:paraId="00000164">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Lack of flexible/part time working arrangements in teaching </w:t>
            </w:r>
          </w:p>
        </w:tc>
        <w:tc>
          <w:tcPr>
            <w:tcMar>
              <w:top w:w="100.0" w:type="dxa"/>
              <w:left w:w="100.0" w:type="dxa"/>
              <w:bottom w:w="100.0" w:type="dxa"/>
              <w:right w:w="100.0" w:type="dxa"/>
            </w:tcMar>
          </w:tcPr>
          <w:p w:rsidR="00000000" w:rsidDel="00000000" w:rsidP="00000000" w:rsidRDefault="00000000" w:rsidRPr="00000000" w14:paraId="00000165">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56%</w:t>
            </w:r>
          </w:p>
        </w:tc>
      </w:tr>
    </w:tbl>
    <w:p w:rsidR="00000000" w:rsidDel="00000000" w:rsidP="00000000" w:rsidRDefault="00000000" w:rsidRPr="00000000" w14:paraId="00000166">
      <w:pPr>
        <w:spacing w:after="240" w:before="240" w:line="480" w:lineRule="auto"/>
        <w:jc w:val="righ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w:t>
      </w:r>
      <w:r w:rsidDel="00000000" w:rsidR="00000000" w:rsidRPr="00000000">
        <w:rPr>
          <w:rFonts w:ascii="Times New Roman" w:cs="Times New Roman" w:eastAsia="Times New Roman" w:hAnsi="Times New Roman"/>
          <w:sz w:val="24"/>
          <w:szCs w:val="24"/>
          <w:highlight w:val="white"/>
          <w:rtl w:val="0"/>
        </w:rPr>
        <w:t xml:space="preserve">(The New Britain, 2018)</w:t>
      </w:r>
      <w:r w:rsidDel="00000000" w:rsidR="00000000" w:rsidRPr="00000000">
        <w:rPr>
          <w:rtl w:val="0"/>
        </w:rPr>
      </w:r>
    </w:p>
    <w:p w:rsidR="00000000" w:rsidDel="00000000" w:rsidP="00000000" w:rsidRDefault="00000000" w:rsidRPr="00000000" w14:paraId="00000167">
      <w:pPr>
        <w:spacing w:after="240" w:before="240" w:line="480" w:lineRule="auto"/>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sz w:val="24"/>
          <w:szCs w:val="24"/>
          <w:rtl w:val="0"/>
        </w:rPr>
        <w:t xml:space="preserve">Table 4 indicates that for mothers, the most significant factors influencing their decision to leave teaching are workload, family responsibilities, and limited flexibility. </w:t>
      </w:r>
      <w:r w:rsidDel="00000000" w:rsidR="00000000" w:rsidRPr="00000000">
        <w:rPr>
          <w:rtl w:val="0"/>
        </w:rPr>
      </w:r>
    </w:p>
    <w:p w:rsidR="00000000" w:rsidDel="00000000" w:rsidP="00000000" w:rsidRDefault="00000000" w:rsidRPr="00000000" w14:paraId="00000168">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Table 5: Gender distribution of teachers and leadership roles in English state schools</w:t>
      </w:r>
      <w:r w:rsidDel="00000000" w:rsidR="00000000" w:rsidRPr="00000000">
        <w:rPr>
          <w:rtl w:val="0"/>
        </w:rPr>
      </w:r>
    </w:p>
    <w:p w:rsidR="00000000" w:rsidDel="00000000" w:rsidP="00000000" w:rsidRDefault="00000000" w:rsidRPr="00000000" w14:paraId="00000169">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943600" cy="5429399"/>
            <wp:effectExtent b="0" l="0" r="0" t="0"/>
            <wp:docPr id="8" name="image5.png"/>
            <a:graphic>
              <a:graphicData uri="http://schemas.openxmlformats.org/drawingml/2006/picture">
                <pic:pic>
                  <pic:nvPicPr>
                    <pic:cNvPr id="0" name="image5.png"/>
                    <pic:cNvPicPr preferRelativeResize="0"/>
                  </pic:nvPicPr>
                  <pic:blipFill>
                    <a:blip r:embed="rId9"/>
                    <a:srcRect b="2893" l="0" r="0" t="0"/>
                    <a:stretch>
                      <a:fillRect/>
                    </a:stretch>
                  </pic:blipFill>
                  <pic:spPr>
                    <a:xfrm>
                      <a:off x="0" y="0"/>
                      <a:ext cx="5943600" cy="5429399"/>
                    </a:xfrm>
                    <a:prstGeom prst="rect"/>
                    <a:ln/>
                  </pic:spPr>
                </pic:pic>
              </a:graphicData>
            </a:graphic>
          </wp:inline>
        </w:drawing>
      </w:r>
      <w:r w:rsidDel="00000000" w:rsidR="00000000" w:rsidRPr="00000000">
        <w:rPr>
          <w:rtl w:val="0"/>
        </w:rPr>
      </w:r>
    </w:p>
    <w:p w:rsidR="00000000" w:rsidDel="00000000" w:rsidP="00000000" w:rsidRDefault="00000000" w:rsidRPr="00000000" w14:paraId="0000016A">
      <w:pPr>
        <w:spacing w:after="240" w:before="240" w:line="480" w:lineRule="auto"/>
        <w:jc w:val="right"/>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sz w:val="24"/>
          <w:szCs w:val="24"/>
          <w:rtl w:val="0"/>
        </w:rPr>
        <w:t xml:space="preserve">Source: DfE School Workforce in England 2023: FTE</w:t>
      </w:r>
      <w:r w:rsidDel="00000000" w:rsidR="00000000" w:rsidRPr="00000000">
        <w:rPr>
          <w:rtl w:val="0"/>
        </w:rPr>
      </w:r>
    </w:p>
    <w:p w:rsidR="00000000" w:rsidDel="00000000" w:rsidP="00000000" w:rsidRDefault="00000000" w:rsidRPr="00000000" w14:paraId="0000016B">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data in Table 5 shows a gender imbalance in school leadership. In secondary schools, men are 2.3 times more likely than women to become head teachers, despite the teaching workforce being predominantly female. Female representation in leadership positions is lower than male representation across all school phases, highlighting a consistent pattern in the dataset.</w:t>
      </w:r>
    </w:p>
    <w:p w:rsidR="00000000" w:rsidDel="00000000" w:rsidP="00000000" w:rsidRDefault="00000000" w:rsidRPr="00000000" w14:paraId="0000016C">
      <w:pPr>
        <w:pStyle w:val="Heading3"/>
        <w:rPr>
          <w:rFonts w:ascii="Times New Roman" w:cs="Times New Roman" w:eastAsia="Times New Roman" w:hAnsi="Times New Roman"/>
          <w:sz w:val="24"/>
          <w:szCs w:val="24"/>
        </w:rPr>
      </w:pPr>
      <w:bookmarkStart w:colFirst="0" w:colLast="0" w:name="_heading=h.sfy4ke8yxdku" w:id="30"/>
      <w:bookmarkEnd w:id="30"/>
      <w:r w:rsidDel="00000000" w:rsidR="00000000" w:rsidRPr="00000000">
        <w:rPr>
          <w:rFonts w:ascii="Times New Roman" w:cs="Times New Roman" w:eastAsia="Times New Roman" w:hAnsi="Times New Roman"/>
          <w:sz w:val="24"/>
          <w:szCs w:val="24"/>
          <w:rtl w:val="0"/>
        </w:rPr>
        <w:t xml:space="preserve">Theme 2: Identity negotiation </w:t>
      </w:r>
    </w:p>
    <w:p w:rsidR="00000000" w:rsidDel="00000000" w:rsidP="00000000" w:rsidRDefault="00000000" w:rsidRPr="00000000" w14:paraId="0000016D">
      <w:pPr>
        <w:spacing w:after="240" w:before="240" w:line="480" w:lineRule="auto"/>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Sample Comments from Respondents in the Secondary Dataset</w:t>
      </w:r>
    </w:p>
    <w:p w:rsidR="00000000" w:rsidDel="00000000" w:rsidP="00000000" w:rsidRDefault="00000000" w:rsidRPr="00000000" w14:paraId="0000016E">
      <w:pPr>
        <w:spacing w:after="240" w:before="240"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340446" cy="2487067"/>
            <wp:effectExtent b="0" l="0" r="0" t="0"/>
            <wp:docPr id="11" name="image1.png"/>
            <a:graphic>
              <a:graphicData uri="http://schemas.openxmlformats.org/drawingml/2006/picture">
                <pic:pic>
                  <pic:nvPicPr>
                    <pic:cNvPr id="0" name="image1.png"/>
                    <pic:cNvPicPr preferRelativeResize="0"/>
                  </pic:nvPicPr>
                  <pic:blipFill>
                    <a:blip r:embed="rId10"/>
                    <a:srcRect b="0" l="0" r="0" t="0"/>
                    <a:stretch>
                      <a:fillRect/>
                    </a:stretch>
                  </pic:blipFill>
                  <pic:spPr>
                    <a:xfrm>
                      <a:off x="0" y="0"/>
                      <a:ext cx="5340446" cy="2487067"/>
                    </a:xfrm>
                    <a:prstGeom prst="rect"/>
                    <a:ln/>
                  </pic:spPr>
                </pic:pic>
              </a:graphicData>
            </a:graphic>
          </wp:inline>
        </w:drawing>
      </w:r>
      <w:r w:rsidDel="00000000" w:rsidR="00000000" w:rsidRPr="00000000">
        <w:rPr>
          <w:rtl w:val="0"/>
        </w:rPr>
      </w:r>
    </w:p>
    <w:p w:rsidR="00000000" w:rsidDel="00000000" w:rsidP="00000000" w:rsidRDefault="00000000" w:rsidRPr="00000000" w14:paraId="0000016F">
      <w:pPr>
        <w:spacing w:after="240" w:before="240" w:line="480" w:lineRule="auto"/>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Pr>
        <w:drawing>
          <wp:inline distB="114300" distT="114300" distL="114300" distR="114300">
            <wp:extent cx="5410200" cy="3642689"/>
            <wp:effectExtent b="0" l="0" r="0" t="0"/>
            <wp:docPr id="10" name="image6.png"/>
            <a:graphic>
              <a:graphicData uri="http://schemas.openxmlformats.org/drawingml/2006/picture">
                <pic:pic>
                  <pic:nvPicPr>
                    <pic:cNvPr id="0" name="image6.png"/>
                    <pic:cNvPicPr preferRelativeResize="0"/>
                  </pic:nvPicPr>
                  <pic:blipFill>
                    <a:blip r:embed="rId11"/>
                    <a:srcRect b="0" l="0" r="0" t="0"/>
                    <a:stretch>
                      <a:fillRect/>
                    </a:stretch>
                  </pic:blipFill>
                  <pic:spPr>
                    <a:xfrm>
                      <a:off x="0" y="0"/>
                      <a:ext cx="5410200" cy="3642689"/>
                    </a:xfrm>
                    <a:prstGeom prst="rect"/>
                    <a:ln/>
                  </pic:spPr>
                </pic:pic>
              </a:graphicData>
            </a:graphic>
          </wp:inline>
        </w:drawing>
      </w:r>
      <w:r w:rsidDel="00000000" w:rsidR="00000000" w:rsidRPr="00000000">
        <w:rPr>
          <w:rtl w:val="0"/>
        </w:rPr>
      </w:r>
    </w:p>
    <w:p w:rsidR="00000000" w:rsidDel="00000000" w:rsidP="00000000" w:rsidRDefault="00000000" w:rsidRPr="00000000" w14:paraId="00000170">
      <w:pPr>
        <w:spacing w:after="240" w:before="240" w:line="480" w:lineRule="auto"/>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386388" cy="1562398"/>
            <wp:effectExtent b="0" l="0" r="0" t="0"/>
            <wp:docPr id="12" name="image4.png"/>
            <a:graphic>
              <a:graphicData uri="http://schemas.openxmlformats.org/drawingml/2006/picture">
                <pic:pic>
                  <pic:nvPicPr>
                    <pic:cNvPr id="0" name="image4.png"/>
                    <pic:cNvPicPr preferRelativeResize="0"/>
                  </pic:nvPicPr>
                  <pic:blipFill>
                    <a:blip r:embed="rId12"/>
                    <a:srcRect b="0" l="0" r="0" t="0"/>
                    <a:stretch>
                      <a:fillRect/>
                    </a:stretch>
                  </pic:blipFill>
                  <pic:spPr>
                    <a:xfrm>
                      <a:off x="0" y="0"/>
                      <a:ext cx="5386388" cy="1562398"/>
                    </a:xfrm>
                    <a:prstGeom prst="rect"/>
                    <a:ln/>
                  </pic:spPr>
                </pic:pic>
              </a:graphicData>
            </a:graphic>
          </wp:inline>
        </w:drawing>
      </w:r>
      <w:r w:rsidDel="00000000" w:rsidR="00000000" w:rsidRPr="00000000">
        <w:rPr>
          <w:rtl w:val="0"/>
        </w:rPr>
      </w:r>
    </w:p>
    <w:p w:rsidR="00000000" w:rsidDel="00000000" w:rsidP="00000000" w:rsidRDefault="00000000" w:rsidRPr="00000000" w14:paraId="00000171">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These comments are taken from the secondary dataset obtained from The New Britain (2018). They illustrate topics discussed by teachers in interviews and survey responses, including balancing work and family responsibilities and experiences related to returning from maternity leave.</w:t>
      </w:r>
    </w:p>
    <w:p w:rsidR="00000000" w:rsidDel="00000000" w:rsidP="00000000" w:rsidRDefault="00000000" w:rsidRPr="00000000" w14:paraId="00000172">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73">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Research by Garcia-Lorenzo at the London School of Economics provides qualitative evidence relevant to the study’s objective of examining how working mothers negotiate professional and caregiving identities within leadership contexts. Drawing on in-depth interviews with 80 working mothers, the findings illustrate a consistent pattern of identity tension across national and organisational settings. Participants reported that prioritising either professional or maternal roles was perceived to undermine performance in the other, resulting in sustained psychological strain. These qualitative insights complement the quantitative findings presented earlier by explaining the behavioural and experiential mechanisms underpinning post-maternity attrition and stalled progression.</w:t>
      </w:r>
    </w:p>
    <w:p w:rsidR="00000000" w:rsidDel="00000000" w:rsidP="00000000" w:rsidRDefault="00000000" w:rsidRPr="00000000" w14:paraId="00000174">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evidence further demonstrates that while maternity and shared parental leave policies offer formal support, they do not fully address identity tensions once mothers return to work. Workload expectations and norms of constant availability persist beyond formal policy frameworks, limiting their effectiveness. A recurring theme across the dataset is the importance of flexible working arrangements. Flexible schedules and adaptive practices are consistently identified as enabling working mothers to integrate professional and caregiving roles more effectively.</w:t>
      </w:r>
    </w:p>
    <w:p w:rsidR="00000000" w:rsidDel="00000000" w:rsidP="00000000" w:rsidRDefault="00000000" w:rsidRPr="00000000" w14:paraId="00000175">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Overall, the findings clearly link identity negotiation to organisational design and culture, reinforcing the research objective of assessing the effectiveness of existing policies in supporting inclusive leadership. When integrated with the broader dataset, this evidence highlights that identity tensions are not isolated individual experiences but structurally reinforced patterns, underscoring the need for organisational and cultural change alongside policy interventions.</w:t>
      </w:r>
    </w:p>
    <w:p w:rsidR="00000000" w:rsidDel="00000000" w:rsidP="00000000" w:rsidRDefault="00000000" w:rsidRPr="00000000" w14:paraId="00000176">
      <w:pPr>
        <w:pStyle w:val="Heading3"/>
        <w:rPr>
          <w:rFonts w:ascii="Times New Roman" w:cs="Times New Roman" w:eastAsia="Times New Roman" w:hAnsi="Times New Roman"/>
          <w:sz w:val="24"/>
          <w:szCs w:val="24"/>
        </w:rPr>
      </w:pPr>
      <w:bookmarkStart w:colFirst="0" w:colLast="0" w:name="_heading=h.i6zdtw1ryg5z" w:id="31"/>
      <w:bookmarkEnd w:id="31"/>
      <w:r w:rsidDel="00000000" w:rsidR="00000000" w:rsidRPr="00000000">
        <w:rPr>
          <w:rFonts w:ascii="Times New Roman" w:cs="Times New Roman" w:eastAsia="Times New Roman" w:hAnsi="Times New Roman"/>
          <w:sz w:val="24"/>
          <w:szCs w:val="24"/>
          <w:rtl w:val="0"/>
        </w:rPr>
        <w:t xml:space="preserve">Theme 3: Institutional cultures</w:t>
      </w:r>
    </w:p>
    <w:p w:rsidR="00000000" w:rsidDel="00000000" w:rsidP="00000000" w:rsidRDefault="00000000" w:rsidRPr="00000000" w14:paraId="00000177">
      <w:pPr>
        <w:spacing w:line="480" w:lineRule="auto"/>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sz w:val="24"/>
          <w:szCs w:val="24"/>
          <w:rtl w:val="0"/>
        </w:rPr>
        <w:t xml:space="preserve">In a press release published by the National Education Union (NEU)  in April 2025, the union argued that existing maternity pay, leave and post-maternity working conditions for teachers and support staff are inadequate. Under the national maternity scheme, support staff can receive only six weeks at 90% pay, and qualified teachers only four weeks at full pay; far less than maternity leave provisions in many other sectors. The union describes a systemic undervaluing of pregnant women and new mothers in schools and colleges. In their words: pregnant women and new mothers are “underpaid and put at risk,” “isolated on maternity leave,” and “undervalued on their return to the classroom.” The NEU links this disparity in maternity support directly to recruitment and retention problems in the education sector. They argue that poor maternity and return-to-work policies discourage retention of experienced staff, which undermines the stability of the workforce and exacerbates staffing crises. </w:t>
      </w:r>
      <w:r w:rsidDel="00000000" w:rsidR="00000000" w:rsidRPr="00000000">
        <w:rPr>
          <w:rtl w:val="0"/>
        </w:rPr>
      </w:r>
    </w:p>
    <w:p w:rsidR="00000000" w:rsidDel="00000000" w:rsidP="00000000" w:rsidRDefault="00000000" w:rsidRPr="00000000" w14:paraId="00000178">
      <w:pPr>
        <w:pStyle w:val="Heading3"/>
        <w:rPr>
          <w:rFonts w:ascii="Times New Roman" w:cs="Times New Roman" w:eastAsia="Times New Roman" w:hAnsi="Times New Roman"/>
          <w:sz w:val="24"/>
          <w:szCs w:val="24"/>
        </w:rPr>
      </w:pPr>
      <w:bookmarkStart w:colFirst="0" w:colLast="0" w:name="_heading=h.u2a1iil85hmq" w:id="32"/>
      <w:bookmarkEnd w:id="32"/>
      <w:r w:rsidDel="00000000" w:rsidR="00000000" w:rsidRPr="00000000">
        <w:rPr>
          <w:rFonts w:ascii="Times New Roman" w:cs="Times New Roman" w:eastAsia="Times New Roman" w:hAnsi="Times New Roman"/>
          <w:sz w:val="24"/>
          <w:szCs w:val="24"/>
          <w:rtl w:val="0"/>
        </w:rPr>
        <w:t xml:space="preserve">Theme 4: Effective supportive practices</w:t>
      </w:r>
    </w:p>
    <w:p w:rsidR="00000000" w:rsidDel="00000000" w:rsidP="00000000" w:rsidRDefault="00000000" w:rsidRPr="00000000" w14:paraId="00000179">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NEU calls for concerted action by both government and employers: better pay during maternity leave, improved flexibility on return, and stronger support for pregnant women and new mothers. Such measures, they suggest, are vital to retaining staff, especially women  and preventing further erosion of the teaching workforce.</w:t>
      </w:r>
    </w:p>
    <w:p w:rsidR="00000000" w:rsidDel="00000000" w:rsidP="00000000" w:rsidRDefault="00000000" w:rsidRPr="00000000" w14:paraId="0000017A">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Table 6: Key Factors Enabling Mother Teachers to Remain in UK State School Teaching</w:t>
      </w:r>
      <w:r w:rsidDel="00000000" w:rsidR="00000000" w:rsidRPr="00000000">
        <w:rPr>
          <w:rtl w:val="0"/>
        </w:rPr>
      </w:r>
    </w:p>
    <w:tbl>
      <w:tblPr>
        <w:tblStyle w:val="Table5"/>
        <w:tblW w:w="9360.0" w:type="dxa"/>
        <w:jc w:val="center"/>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6840"/>
        <w:gridCol w:w="2520"/>
        <w:tblGridChange w:id="0">
          <w:tblGrid>
            <w:gridCol w:w="6840"/>
            <w:gridCol w:w="2520"/>
          </w:tblGrid>
        </w:tblGridChange>
      </w:tblGrid>
      <w:tr>
        <w:trPr>
          <w:cantSplit w:val="0"/>
          <w:tblHeader w:val="0"/>
        </w:trPr>
        <w:tc>
          <w:tcPr>
            <w:tcMar>
              <w:top w:w="100.0" w:type="dxa"/>
              <w:left w:w="100.0" w:type="dxa"/>
              <w:bottom w:w="100.0" w:type="dxa"/>
              <w:right w:w="100.0" w:type="dxa"/>
            </w:tcMar>
          </w:tcPr>
          <w:p w:rsidR="00000000" w:rsidDel="00000000" w:rsidP="00000000" w:rsidRDefault="00000000" w:rsidRPr="00000000" w14:paraId="0000017B">
            <w:pPr>
              <w:widowControl w:val="0"/>
              <w:spacing w:line="240" w:lineRule="auto"/>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How important if at all were each of the following in your decision to remain teaching?</w:t>
            </w:r>
          </w:p>
        </w:tc>
        <w:tc>
          <w:tcPr>
            <w:tcMar>
              <w:top w:w="100.0" w:type="dxa"/>
              <w:left w:w="100.0" w:type="dxa"/>
              <w:bottom w:w="100.0" w:type="dxa"/>
              <w:right w:w="100.0" w:type="dxa"/>
            </w:tcMar>
          </w:tcPr>
          <w:p w:rsidR="00000000" w:rsidDel="00000000" w:rsidP="00000000" w:rsidRDefault="00000000" w:rsidRPr="00000000" w14:paraId="0000017C">
            <w:pPr>
              <w:widowControl w:val="0"/>
              <w:spacing w:line="240" w:lineRule="auto"/>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Extremely important/important</w:t>
            </w:r>
          </w:p>
        </w:tc>
      </w:tr>
      <w:tr>
        <w:trPr>
          <w:cantSplit w:val="0"/>
          <w:tblHeader w:val="0"/>
        </w:trPr>
        <w:tc>
          <w:tcPr>
            <w:tcMar>
              <w:top w:w="100.0" w:type="dxa"/>
              <w:left w:w="100.0" w:type="dxa"/>
              <w:bottom w:w="100.0" w:type="dxa"/>
              <w:right w:w="100.0" w:type="dxa"/>
            </w:tcMar>
          </w:tcPr>
          <w:p w:rsidR="00000000" w:rsidDel="00000000" w:rsidP="00000000" w:rsidRDefault="00000000" w:rsidRPr="00000000" w14:paraId="0000017D">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Supportive school polices/ culture around parental needs</w:t>
            </w:r>
          </w:p>
        </w:tc>
        <w:tc>
          <w:tcPr>
            <w:tcMar>
              <w:top w:w="100.0" w:type="dxa"/>
              <w:left w:w="100.0" w:type="dxa"/>
              <w:bottom w:w="100.0" w:type="dxa"/>
              <w:right w:w="100.0" w:type="dxa"/>
            </w:tcMar>
          </w:tcPr>
          <w:p w:rsidR="00000000" w:rsidDel="00000000" w:rsidP="00000000" w:rsidRDefault="00000000" w:rsidRPr="00000000" w14:paraId="0000017E">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95%</w:t>
            </w:r>
          </w:p>
        </w:tc>
      </w:tr>
      <w:tr>
        <w:trPr>
          <w:cantSplit w:val="0"/>
          <w:tblHeader w:val="0"/>
        </w:trPr>
        <w:tc>
          <w:tcPr>
            <w:tcMar>
              <w:top w:w="100.0" w:type="dxa"/>
              <w:left w:w="100.0" w:type="dxa"/>
              <w:bottom w:w="100.0" w:type="dxa"/>
              <w:right w:w="100.0" w:type="dxa"/>
            </w:tcMar>
          </w:tcPr>
          <w:p w:rsidR="00000000" w:rsidDel="00000000" w:rsidP="00000000" w:rsidRDefault="00000000" w:rsidRPr="00000000" w14:paraId="0000017F">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Work-life balance accommodations</w:t>
            </w:r>
          </w:p>
        </w:tc>
        <w:tc>
          <w:tcPr>
            <w:tcMar>
              <w:top w:w="100.0" w:type="dxa"/>
              <w:left w:w="100.0" w:type="dxa"/>
              <w:bottom w:w="100.0" w:type="dxa"/>
              <w:right w:w="100.0" w:type="dxa"/>
            </w:tcMar>
          </w:tcPr>
          <w:p w:rsidR="00000000" w:rsidDel="00000000" w:rsidP="00000000" w:rsidRDefault="00000000" w:rsidRPr="00000000" w14:paraId="00000180">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94%</w:t>
            </w:r>
          </w:p>
        </w:tc>
      </w:tr>
      <w:tr>
        <w:trPr>
          <w:cantSplit w:val="0"/>
          <w:tblHeader w:val="0"/>
        </w:trPr>
        <w:tc>
          <w:tcPr>
            <w:tcMar>
              <w:top w:w="100.0" w:type="dxa"/>
              <w:left w:w="100.0" w:type="dxa"/>
              <w:bottom w:w="100.0" w:type="dxa"/>
              <w:right w:w="100.0" w:type="dxa"/>
            </w:tcMar>
          </w:tcPr>
          <w:p w:rsidR="00000000" w:rsidDel="00000000" w:rsidP="00000000" w:rsidRDefault="00000000" w:rsidRPr="00000000" w14:paraId="00000181">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Flexibility around child care/ family obligations </w:t>
            </w:r>
          </w:p>
        </w:tc>
        <w:tc>
          <w:tcPr>
            <w:tcMar>
              <w:top w:w="100.0" w:type="dxa"/>
              <w:left w:w="100.0" w:type="dxa"/>
              <w:bottom w:w="100.0" w:type="dxa"/>
              <w:right w:w="100.0" w:type="dxa"/>
            </w:tcMar>
          </w:tcPr>
          <w:p w:rsidR="00000000" w:rsidDel="00000000" w:rsidP="00000000" w:rsidRDefault="00000000" w:rsidRPr="00000000" w14:paraId="00000182">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94%</w:t>
            </w:r>
          </w:p>
        </w:tc>
      </w:tr>
      <w:tr>
        <w:trPr>
          <w:cantSplit w:val="0"/>
          <w:tblHeader w:val="0"/>
        </w:trPr>
        <w:tc>
          <w:tcPr>
            <w:tcMar>
              <w:top w:w="100.0" w:type="dxa"/>
              <w:left w:w="100.0" w:type="dxa"/>
              <w:bottom w:w="100.0" w:type="dxa"/>
              <w:right w:w="100.0" w:type="dxa"/>
            </w:tcMar>
          </w:tcPr>
          <w:p w:rsidR="00000000" w:rsidDel="00000000" w:rsidP="00000000" w:rsidRDefault="00000000" w:rsidRPr="00000000" w14:paraId="00000183">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Ability to find part-time roles</w:t>
            </w:r>
          </w:p>
        </w:tc>
        <w:tc>
          <w:tcPr>
            <w:tcMar>
              <w:top w:w="100.0" w:type="dxa"/>
              <w:left w:w="100.0" w:type="dxa"/>
              <w:bottom w:w="100.0" w:type="dxa"/>
              <w:right w:w="100.0" w:type="dxa"/>
            </w:tcMar>
          </w:tcPr>
          <w:p w:rsidR="00000000" w:rsidDel="00000000" w:rsidP="00000000" w:rsidRDefault="00000000" w:rsidRPr="00000000" w14:paraId="00000184">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71%</w:t>
            </w:r>
          </w:p>
        </w:tc>
      </w:tr>
    </w:tbl>
    <w:p w:rsidR="00000000" w:rsidDel="00000000" w:rsidP="00000000" w:rsidRDefault="00000000" w:rsidRPr="00000000" w14:paraId="00000185">
      <w:pPr>
        <w:spacing w:after="240" w:before="240" w:line="480" w:lineRule="auto"/>
        <w:jc w:val="right"/>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highlight w:val="white"/>
          <w:rtl w:val="0"/>
        </w:rPr>
        <w:t xml:space="preserve">Source: (The New Britain, 2018)</w:t>
      </w:r>
      <w:r w:rsidDel="00000000" w:rsidR="00000000" w:rsidRPr="00000000">
        <w:rPr>
          <w:rtl w:val="0"/>
        </w:rPr>
      </w:r>
    </w:p>
    <w:p w:rsidR="00000000" w:rsidDel="00000000" w:rsidP="00000000" w:rsidRDefault="00000000" w:rsidRPr="00000000" w14:paraId="00000186">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Table 6 indicates that for mothers who remained in the profession, a school environment that recognized and accommodated the needs of parents played a crucial role in their decision to stay.</w:t>
      </w:r>
    </w:p>
    <w:p w:rsidR="00000000" w:rsidDel="00000000" w:rsidP="00000000" w:rsidRDefault="00000000" w:rsidRPr="00000000" w14:paraId="00000187">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Increasing Flexible Working Opportunities</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188">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UK Department for Education’s policy paper </w:t>
      </w:r>
      <w:r w:rsidDel="00000000" w:rsidR="00000000" w:rsidRPr="00000000">
        <w:rPr>
          <w:rFonts w:ascii="Times New Roman" w:cs="Times New Roman" w:eastAsia="Times New Roman" w:hAnsi="Times New Roman"/>
          <w:i w:val="1"/>
          <w:iCs w:val="1"/>
          <w:sz w:val="24"/>
          <w:szCs w:val="24"/>
          <w:rtl w:val="0"/>
        </w:rPr>
        <w:t xml:space="preserve">Increasing Flexible Working Opportunities in Schools</w:t>
      </w:r>
      <w:r w:rsidDel="00000000" w:rsidR="00000000" w:rsidRPr="00000000">
        <w:rPr>
          <w:rFonts w:ascii="Times New Roman" w:cs="Times New Roman" w:eastAsia="Times New Roman" w:hAnsi="Times New Roman"/>
          <w:sz w:val="24"/>
          <w:szCs w:val="24"/>
          <w:rtl w:val="0"/>
        </w:rPr>
        <w:t xml:space="preserve"> (Department for Education, 2017) states that flexible working is intended to support gender equality, help schools recruit and retain teachers, and improve career progression opportunities, including at senior levels. While demand for flexible working is high, existing school structures often lack viable options such as part-time roles, job sharing, or compressed hours. The DfE identifies inflexible working patterns as a key contributor to recruitment and retention challenges, particularly for staff balancing caregiving responsibilities. Flexible working is positioned as a critical lever for advancing gender equality, enabling women, especially those returning from maternity leave, to remain in the profession and progress into leadership. Expanding flexible leadership roles is therefore presented as a necessary intervention to address structural barriers embedded within current career pathways.</w:t>
      </w:r>
    </w:p>
    <w:p w:rsidR="00000000" w:rsidDel="00000000" w:rsidP="00000000" w:rsidRDefault="00000000" w:rsidRPr="00000000" w14:paraId="00000189">
      <w:pPr>
        <w:spacing w:after="240" w:before="240" w:line="480" w:lineRule="auto"/>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18A">
      <w:pPr>
        <w:pStyle w:val="Heading1"/>
        <w:jc w:val="center"/>
        <w:rPr>
          <w:rFonts w:ascii="Times New Roman" w:cs="Times New Roman" w:eastAsia="Times New Roman" w:hAnsi="Times New Roman"/>
          <w:b w:val="1"/>
          <w:bCs w:val="1"/>
          <w:sz w:val="24"/>
          <w:szCs w:val="24"/>
        </w:rPr>
      </w:pPr>
      <w:bookmarkStart w:colFirst="0" w:colLast="0" w:name="_heading=h.4fi7gor2tkf" w:id="33"/>
      <w:bookmarkEnd w:id="33"/>
      <w:r w:rsidDel="00000000" w:rsidR="00000000" w:rsidRPr="00000000">
        <w:rPr>
          <w:rFonts w:ascii="Times New Roman" w:cs="Times New Roman" w:eastAsia="Times New Roman" w:hAnsi="Times New Roman"/>
          <w:b w:val="1"/>
          <w:bCs w:val="1"/>
          <w:sz w:val="24"/>
          <w:szCs w:val="24"/>
          <w:rtl w:val="0"/>
        </w:rPr>
        <w:t xml:space="preserve">Chapter 5</w:t>
      </w:r>
    </w:p>
    <w:p w:rsidR="00000000" w:rsidDel="00000000" w:rsidP="00000000" w:rsidRDefault="00000000" w:rsidRPr="00000000" w14:paraId="0000018B">
      <w:pPr>
        <w:pStyle w:val="Heading2"/>
        <w:rPr>
          <w:rFonts w:ascii="Times New Roman" w:cs="Times New Roman" w:eastAsia="Times New Roman" w:hAnsi="Times New Roman"/>
          <w:sz w:val="24"/>
          <w:szCs w:val="24"/>
        </w:rPr>
      </w:pPr>
      <w:bookmarkStart w:colFirst="0" w:colLast="0" w:name="_heading=h.qnud7qaq0fmg" w:id="34"/>
      <w:bookmarkEnd w:id="34"/>
      <w:r w:rsidDel="00000000" w:rsidR="00000000" w:rsidRPr="00000000">
        <w:rPr>
          <w:rFonts w:ascii="Times New Roman" w:cs="Times New Roman" w:eastAsia="Times New Roman" w:hAnsi="Times New Roman"/>
          <w:sz w:val="24"/>
          <w:szCs w:val="24"/>
          <w:rtl w:val="0"/>
        </w:rPr>
        <w:t xml:space="preserve">Analysis and Interpretation of Findings</w:t>
      </w:r>
    </w:p>
    <w:p w:rsidR="00000000" w:rsidDel="00000000" w:rsidP="00000000" w:rsidRDefault="00000000" w:rsidRPr="00000000" w14:paraId="0000018C">
      <w:pPr>
        <w:pStyle w:val="Heading3"/>
        <w:rPr>
          <w:rFonts w:ascii="Times New Roman" w:cs="Times New Roman" w:eastAsia="Times New Roman" w:hAnsi="Times New Roman"/>
          <w:sz w:val="24"/>
          <w:szCs w:val="24"/>
        </w:rPr>
      </w:pPr>
      <w:bookmarkStart w:colFirst="0" w:colLast="0" w:name="_heading=h.1w60l9ozpupp" w:id="35"/>
      <w:bookmarkEnd w:id="35"/>
      <w:r w:rsidDel="00000000" w:rsidR="00000000" w:rsidRPr="00000000">
        <w:rPr>
          <w:rFonts w:ascii="Times New Roman" w:cs="Times New Roman" w:eastAsia="Times New Roman" w:hAnsi="Times New Roman"/>
          <w:sz w:val="24"/>
          <w:szCs w:val="24"/>
          <w:rtl w:val="0"/>
        </w:rPr>
        <w:t xml:space="preserve">Theme 1: Structural Barriers</w:t>
      </w:r>
    </w:p>
    <w:p w:rsidR="00000000" w:rsidDel="00000000" w:rsidP="00000000" w:rsidRDefault="00000000" w:rsidRPr="00000000" w14:paraId="0000018D">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secondary data (Tables 1-3) shows a persistent and significant attrition of teachers returning from maternity leave. On average, 38.6% of teachers who returned from maternity leave between 2016/17 and 2018/19 exited the profession within four years (Tables 1 &amp; 2). This attrition is more than double the rate for comparable female teachers in the same age brackets, indicating that motherhood constitutes a distinct structural barrier to career continuity and a significant risk to leadership pipeline sustainability. Table 3 further illustrates that female attrition is concentrated in the 30-39 age group, corresponding with peak motherhood and early caregiving responsibilities. These findings reinforce the “motherhood penalty” identified in the literature, while also demonstrating its cumulative impact on workforce stability and leadership capacity within UK schools (Schools Week, 2025; Sheppard, 2023; Torres et al., 2024). The longitudinal DfE data provides quantitative UK-specific evidence for patterns that narrative studies have observed qualitatively. While Brown (2023) and Facey (2022/23) emphasise the lived experiences of part-time mothers and aspiring leaders, the findings extend these insights to a systemic, sector-wide scale, confirming that structural barriers such as workload, limited flexible roles, and career interruptions due to maternity result in significant attrition and constrain leadership progression.</w:t>
      </w:r>
    </w:p>
    <w:p w:rsidR="00000000" w:rsidDel="00000000" w:rsidP="00000000" w:rsidRDefault="00000000" w:rsidRPr="00000000" w14:paraId="0000018E">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literature also discusses the structural underrepresentation of women in leadership roles (Keele, 2021; Joy, 2025; Table 7), and the findings corroborate this: despite women dominating the teaching workforce, men are 2.3 times more likely to become headteachers. This disparity underscores a structural misalignment between workforce demographics and leadership representation, exacerbated for mothers by caregiving responsibilities and inflexible leadership roles. Structural barriers in UK schools, high attrition post-maternity, limited part-time or flexible leadership opportunities, and gendered promotion patterns create a systemic disadvantage for working mothers, with direct implications for retention, succession planning, and organisational resilience, aligning with literature on the motherhood penalty and highlighting the need for institutional and policy interventions.</w:t>
      </w:r>
    </w:p>
    <w:p w:rsidR="00000000" w:rsidDel="00000000" w:rsidP="00000000" w:rsidRDefault="00000000" w:rsidRPr="00000000" w14:paraId="0000018F">
      <w:pPr>
        <w:pStyle w:val="Heading3"/>
        <w:rPr>
          <w:rFonts w:ascii="Times New Roman" w:cs="Times New Roman" w:eastAsia="Times New Roman" w:hAnsi="Times New Roman"/>
          <w:sz w:val="24"/>
          <w:szCs w:val="24"/>
        </w:rPr>
      </w:pPr>
      <w:bookmarkStart w:colFirst="0" w:colLast="0" w:name="_heading=h.usz8x9v7fngu" w:id="36"/>
      <w:bookmarkEnd w:id="36"/>
      <w:r w:rsidDel="00000000" w:rsidR="00000000" w:rsidRPr="00000000">
        <w:rPr>
          <w:rFonts w:ascii="Times New Roman" w:cs="Times New Roman" w:eastAsia="Times New Roman" w:hAnsi="Times New Roman"/>
          <w:sz w:val="24"/>
          <w:szCs w:val="24"/>
          <w:rtl w:val="0"/>
        </w:rPr>
        <w:t xml:space="preserve">Theme 2: Identity Negotiation</w:t>
      </w:r>
    </w:p>
    <w:p w:rsidR="00000000" w:rsidDel="00000000" w:rsidP="00000000" w:rsidRDefault="00000000" w:rsidRPr="00000000" w14:paraId="00000190">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LSE research (Garcia-Lorenzo, 2025) highlights that working mothers experience ongoing identity tension, negotiating between professional and caregiving roles. The qualitative findings, including secondary survey data, echo this: mothers reported feeling pressured to prioritise pupils over their own children, leading to psychological strain and role conflict. This aligns with Horton (2023) and Facey (2022/23), who note that mothers often redefine leadership practices to accommodate caregiving, effectively absorbing organisational inflexibility at an individual level yet still face institutional expectations that frame leadership as constant availability. The findings expand this by showing that the tension is persistent even when formal policies, such as maternity leave exist, illustrating the limits of policy in resolving identity negotiation without cultural and organisational change. Working mothers in UK schools must continuously navigate the dual demands of caregiving and leadership. While policies like maternity leave provide formal support, the ongoing psychological and professional negotiation highlights that identity tensions are embedded in organisational culture and not fully mitigated by existing structural provisions.</w:t>
      </w:r>
    </w:p>
    <w:p w:rsidR="00000000" w:rsidDel="00000000" w:rsidP="00000000" w:rsidRDefault="00000000" w:rsidRPr="00000000" w14:paraId="00000191">
      <w:pPr>
        <w:pStyle w:val="Heading3"/>
        <w:rPr>
          <w:rFonts w:ascii="Times New Roman" w:cs="Times New Roman" w:eastAsia="Times New Roman" w:hAnsi="Times New Roman"/>
          <w:sz w:val="24"/>
          <w:szCs w:val="24"/>
        </w:rPr>
      </w:pPr>
      <w:bookmarkStart w:colFirst="0" w:colLast="0" w:name="_heading=h.lzgg7tv7g16h" w:id="37"/>
      <w:bookmarkEnd w:id="37"/>
      <w:r w:rsidDel="00000000" w:rsidR="00000000" w:rsidRPr="00000000">
        <w:rPr>
          <w:rFonts w:ascii="Times New Roman" w:cs="Times New Roman" w:eastAsia="Times New Roman" w:hAnsi="Times New Roman"/>
          <w:sz w:val="24"/>
          <w:szCs w:val="24"/>
          <w:rtl w:val="0"/>
        </w:rPr>
        <w:t xml:space="preserve">Theme 3: Institutional Cultures</w:t>
      </w:r>
    </w:p>
    <w:p w:rsidR="00000000" w:rsidDel="00000000" w:rsidP="00000000" w:rsidRDefault="00000000" w:rsidRPr="00000000" w14:paraId="00000192">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NEU press release (2025) demonstrates that institutional practices undervalue new mothers, with limited maternity pay, insufficient leave, and inadequate post-maternity support contributing to attrition and recruitment challenges. The data in (Tables 1-4) mirrors this: workload, family commitments, and lack of flexible working arrangements are principal reasons mothers leave teaching, with the perceived importance of flexible working increasing from 33% to 51% between 2018 and 2024. This aligns with the literature: Keele (2021) and Ravindranath et al. (2021) identify institutional norms, managerial unsupportiveness, and workload expectations as cultural barriers that hinder mothers’ progression. The findings emphasise that culture, not just policy, plays a decisive role in shaping retention outcomes and leadership aspiration among working mothers, affecting both retention and leadership opportunities. UK school cultures often prioritise traditional notions of teaching and leadership availability, creating systemic challenges for working mothers. Institutional undervaluing of caregiving responsibilities perpetuates attrition and limits leadership progression, confirming the literature on structural and cultural motherhood penalties.</w:t>
      </w:r>
    </w:p>
    <w:p w:rsidR="00000000" w:rsidDel="00000000" w:rsidP="00000000" w:rsidRDefault="00000000" w:rsidRPr="00000000" w14:paraId="00000193">
      <w:pPr>
        <w:pStyle w:val="Heading3"/>
        <w:rPr>
          <w:rFonts w:ascii="Times New Roman" w:cs="Times New Roman" w:eastAsia="Times New Roman" w:hAnsi="Times New Roman"/>
          <w:sz w:val="24"/>
          <w:szCs w:val="24"/>
        </w:rPr>
      </w:pPr>
      <w:bookmarkStart w:colFirst="0" w:colLast="0" w:name="_heading=h.8tgbo4buzv5z" w:id="38"/>
      <w:bookmarkEnd w:id="38"/>
      <w:r w:rsidDel="00000000" w:rsidR="00000000" w:rsidRPr="00000000">
        <w:rPr>
          <w:rFonts w:ascii="Times New Roman" w:cs="Times New Roman" w:eastAsia="Times New Roman" w:hAnsi="Times New Roman"/>
          <w:sz w:val="24"/>
          <w:szCs w:val="24"/>
          <w:rtl w:val="0"/>
        </w:rPr>
        <w:t xml:space="preserve">Theme 4: Effective and Supportive Practices</w:t>
      </w:r>
    </w:p>
    <w:p w:rsidR="00000000" w:rsidDel="00000000" w:rsidP="00000000" w:rsidRDefault="00000000" w:rsidRPr="00000000" w14:paraId="00000194">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data in Table 6 (DfE 2023) and NEU recommendations highlight that flexible working arrangements, supportive school culture, and accommodation for parental needs are perceived as crucial for retention. Over 94% of respondents identified flexibility, work-life balance, and parental support as “extremely important/important,” while 71% valued part-time roles. The DfE policy on increasing flexible working in schools underscores that flexibility is a strategy for advancing gender equality and career progression.</w:t>
      </w:r>
    </w:p>
    <w:p w:rsidR="00000000" w:rsidDel="00000000" w:rsidP="00000000" w:rsidRDefault="00000000" w:rsidRPr="00000000" w14:paraId="00000195">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These findings corroborate Brown (2023) and Horton (2023), who advocate for flexible arrangements as enabling mechanisms for mothers to sustain teaching careers and pursue leadership. They also connect to flexible policies that reduce identity tension, enabling mothers to integrate professional and caregiving roles more effectively. Effective practices function as institutional levers that mitigate structural and cultural barriers while delivering measurable benefits in retention, engagement, and leadership continuity. Flexibility, parental support, and adaptable leadership opportunities are central to retaining mothers, reducing attrition, and fostering inclusive leadership pipelines.</w:t>
      </w:r>
    </w:p>
    <w:p w:rsidR="00000000" w:rsidDel="00000000" w:rsidP="00000000" w:rsidRDefault="00000000" w:rsidRPr="00000000" w14:paraId="00000196">
      <w:pPr>
        <w:spacing w:after="240" w:before="240" w:line="480" w:lineRule="auto"/>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Synthesis of Findings and Implications for Leadership Progression</w:t>
      </w:r>
    </w:p>
    <w:p w:rsidR="00000000" w:rsidDel="00000000" w:rsidP="00000000" w:rsidRDefault="00000000" w:rsidRPr="00000000" w14:paraId="00000197">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findings point to a persistent gender imbalance in senior leadership positions within secondary schools, reflecting the interplay of both structural and cultural dynamics. In particular, leadership is widely constructed as incompatible with family responsibilities, a perception reinforced by the limited provision of flexible working arrangements at senior levels. These conditions operate as disincentives to women’s leadership aspirations and simultaneously accelerate attrition among mothers already occupying leadership roles, who face sustained pressure in reconciling professional expectations with caregiving responsibilities. Additionally, the absence of visible role models successfully managing leadership and family responsibilities deters other women from pursuing senior roles after becoming parents. Increasing female representation in leadership could help normalise women in these positions, reduce structural and cultural barriers, and create clearer pathways for mothers to progress in their careers.</w:t>
      </w:r>
    </w:p>
    <w:p w:rsidR="00000000" w:rsidDel="00000000" w:rsidP="00000000" w:rsidRDefault="00000000" w:rsidRPr="00000000" w14:paraId="00000198">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chapter has presented findings across four themes; structural barriers, identity negotiation, institutional cultures, and effective supportive practices highlighting the challenges faced by working mothers in UK school leadership. The data reveal persistent post-maternity attrition, gendered underrepresentation in senior roles, and ongoing tensions between professional and caregiving identities, while also showing that flexible working and supportive school cultures facilitate retention and progression. These findings address the research questions, situate the results within existing literature, and extend understanding of the “motherhood penalty” by demonstrating how structural, cultural, and identity-based barriers interact to undermine leadership pipelines. Although limited by reliance on secondary data, the study contributes robust UK-specific evidence of how attrition patterns, institutional culture, and flexible practices shape leadership outcomes for working mothers.</w:t>
      </w:r>
    </w:p>
    <w:p w:rsidR="00000000" w:rsidDel="00000000" w:rsidP="00000000" w:rsidRDefault="00000000" w:rsidRPr="00000000" w14:paraId="00000199">
      <w:pPr>
        <w:pStyle w:val="Heading1"/>
        <w:jc w:val="center"/>
        <w:rPr>
          <w:rFonts w:ascii="Times New Roman" w:cs="Times New Roman" w:eastAsia="Times New Roman" w:hAnsi="Times New Roman"/>
          <w:b w:val="1"/>
          <w:bCs w:val="1"/>
          <w:sz w:val="24"/>
          <w:szCs w:val="24"/>
        </w:rPr>
      </w:pPr>
      <w:bookmarkStart w:colFirst="0" w:colLast="0" w:name="_heading=h.79nptfb4t6r1" w:id="39"/>
      <w:bookmarkEnd w:id="39"/>
      <w:r w:rsidDel="00000000" w:rsidR="00000000" w:rsidRPr="00000000">
        <w:rPr>
          <w:rtl w:val="0"/>
        </w:rPr>
      </w:r>
    </w:p>
    <w:p w:rsidR="00000000" w:rsidDel="00000000" w:rsidP="00000000" w:rsidRDefault="00000000" w:rsidRPr="00000000" w14:paraId="0000019A">
      <w:pPr>
        <w:pStyle w:val="Heading1"/>
        <w:jc w:val="center"/>
        <w:rPr>
          <w:rFonts w:ascii="Times New Roman" w:cs="Times New Roman" w:eastAsia="Times New Roman" w:hAnsi="Times New Roman"/>
          <w:b w:val="1"/>
          <w:bCs w:val="1"/>
          <w:sz w:val="24"/>
          <w:szCs w:val="24"/>
        </w:rPr>
      </w:pPr>
      <w:bookmarkStart w:colFirst="0" w:colLast="0" w:name="_heading=h.wwbkhcbgttea" w:id="40"/>
      <w:bookmarkEnd w:id="40"/>
      <w:r w:rsidDel="00000000" w:rsidR="00000000" w:rsidRPr="00000000">
        <w:rPr>
          <w:rtl w:val="0"/>
        </w:rPr>
      </w:r>
    </w:p>
    <w:p w:rsidR="00000000" w:rsidDel="00000000" w:rsidP="00000000" w:rsidRDefault="00000000" w:rsidRPr="00000000" w14:paraId="0000019B">
      <w:pPr>
        <w:pStyle w:val="Heading1"/>
        <w:jc w:val="center"/>
        <w:rPr>
          <w:rFonts w:ascii="Times New Roman" w:cs="Times New Roman" w:eastAsia="Times New Roman" w:hAnsi="Times New Roman"/>
          <w:b w:val="1"/>
          <w:bCs w:val="1"/>
          <w:sz w:val="24"/>
          <w:szCs w:val="24"/>
        </w:rPr>
      </w:pPr>
      <w:bookmarkStart w:colFirst="0" w:colLast="0" w:name="_heading=h.xuarw5s9tqe1" w:id="41"/>
      <w:bookmarkEnd w:id="41"/>
      <w:r w:rsidDel="00000000" w:rsidR="00000000" w:rsidRPr="00000000">
        <w:rPr>
          <w:rtl w:val="0"/>
        </w:rPr>
      </w:r>
    </w:p>
    <w:p w:rsidR="00000000" w:rsidDel="00000000" w:rsidP="00000000" w:rsidRDefault="00000000" w:rsidRPr="00000000" w14:paraId="0000019C">
      <w:pPr>
        <w:pStyle w:val="Heading1"/>
        <w:jc w:val="center"/>
        <w:rPr>
          <w:rFonts w:ascii="Times New Roman" w:cs="Times New Roman" w:eastAsia="Times New Roman" w:hAnsi="Times New Roman"/>
          <w:b w:val="1"/>
          <w:bCs w:val="1"/>
          <w:sz w:val="24"/>
          <w:szCs w:val="24"/>
        </w:rPr>
      </w:pPr>
      <w:bookmarkStart w:colFirst="0" w:colLast="0" w:name="_heading=h.hwr96oj03744" w:id="42"/>
      <w:bookmarkEnd w:id="42"/>
      <w:r w:rsidDel="00000000" w:rsidR="00000000" w:rsidRPr="00000000">
        <w:rPr>
          <w:rtl w:val="0"/>
        </w:rPr>
      </w:r>
    </w:p>
    <w:p w:rsidR="00000000" w:rsidDel="00000000" w:rsidP="00000000" w:rsidRDefault="00000000" w:rsidRPr="00000000" w14:paraId="0000019D">
      <w:pPr>
        <w:pStyle w:val="Heading1"/>
        <w:jc w:val="center"/>
        <w:rPr>
          <w:rFonts w:ascii="Times New Roman" w:cs="Times New Roman" w:eastAsia="Times New Roman" w:hAnsi="Times New Roman"/>
          <w:b w:val="1"/>
          <w:bCs w:val="1"/>
          <w:sz w:val="24"/>
          <w:szCs w:val="24"/>
        </w:rPr>
      </w:pPr>
      <w:bookmarkStart w:colFirst="0" w:colLast="0" w:name="_heading=h.y566mepq8wg8" w:id="43"/>
      <w:bookmarkEnd w:id="43"/>
      <w:r w:rsidDel="00000000" w:rsidR="00000000" w:rsidRPr="00000000">
        <w:rPr>
          <w:rtl w:val="0"/>
        </w:rPr>
      </w:r>
    </w:p>
    <w:p w:rsidR="00000000" w:rsidDel="00000000" w:rsidP="00000000" w:rsidRDefault="00000000" w:rsidRPr="00000000" w14:paraId="0000019E">
      <w:pPr>
        <w:pStyle w:val="Heading1"/>
        <w:jc w:val="center"/>
        <w:rPr>
          <w:rFonts w:ascii="Times New Roman" w:cs="Times New Roman" w:eastAsia="Times New Roman" w:hAnsi="Times New Roman"/>
          <w:b w:val="1"/>
          <w:bCs w:val="1"/>
          <w:sz w:val="24"/>
          <w:szCs w:val="24"/>
        </w:rPr>
      </w:pPr>
      <w:bookmarkStart w:colFirst="0" w:colLast="0" w:name="_heading=h.xmch8kexy3ti" w:id="44"/>
      <w:bookmarkEnd w:id="44"/>
      <w:r w:rsidDel="00000000" w:rsidR="00000000" w:rsidRPr="00000000">
        <w:rPr>
          <w:rtl w:val="0"/>
        </w:rPr>
      </w:r>
    </w:p>
    <w:p w:rsidR="00000000" w:rsidDel="00000000" w:rsidP="00000000" w:rsidRDefault="00000000" w:rsidRPr="00000000" w14:paraId="0000019F">
      <w:pPr>
        <w:pStyle w:val="Heading1"/>
        <w:jc w:val="center"/>
        <w:rPr>
          <w:rFonts w:ascii="Times New Roman" w:cs="Times New Roman" w:eastAsia="Times New Roman" w:hAnsi="Times New Roman"/>
          <w:b w:val="1"/>
          <w:bCs w:val="1"/>
          <w:sz w:val="24"/>
          <w:szCs w:val="24"/>
        </w:rPr>
      </w:pPr>
      <w:bookmarkStart w:colFirst="0" w:colLast="0" w:name="_heading=h.4kvayjabv566" w:id="45"/>
      <w:bookmarkEnd w:id="45"/>
      <w:r w:rsidDel="00000000" w:rsidR="00000000" w:rsidRPr="00000000">
        <w:rPr>
          <w:rtl w:val="0"/>
        </w:rPr>
      </w:r>
    </w:p>
    <w:p w:rsidR="00000000" w:rsidDel="00000000" w:rsidP="00000000" w:rsidRDefault="00000000" w:rsidRPr="00000000" w14:paraId="000001A0">
      <w:pPr>
        <w:rPr>
          <w:sz w:val="24"/>
          <w:szCs w:val="24"/>
        </w:rPr>
      </w:pPr>
      <w:r w:rsidDel="00000000" w:rsidR="00000000" w:rsidRPr="00000000">
        <w:rPr>
          <w:rtl w:val="0"/>
        </w:rPr>
      </w:r>
    </w:p>
    <w:p w:rsidR="00000000" w:rsidDel="00000000" w:rsidP="00000000" w:rsidRDefault="00000000" w:rsidRPr="00000000" w14:paraId="000001A1">
      <w:pPr>
        <w:rPr>
          <w:sz w:val="24"/>
          <w:szCs w:val="24"/>
        </w:rPr>
      </w:pPr>
      <w:r w:rsidDel="00000000" w:rsidR="00000000" w:rsidRPr="00000000">
        <w:rPr>
          <w:rtl w:val="0"/>
        </w:rPr>
      </w:r>
    </w:p>
    <w:p w:rsidR="00000000" w:rsidDel="00000000" w:rsidP="00000000" w:rsidRDefault="00000000" w:rsidRPr="00000000" w14:paraId="000001A2">
      <w:pPr>
        <w:pStyle w:val="Heading1"/>
        <w:jc w:val="center"/>
        <w:rPr>
          <w:rFonts w:ascii="Times New Roman" w:cs="Times New Roman" w:eastAsia="Times New Roman" w:hAnsi="Times New Roman"/>
          <w:b w:val="1"/>
          <w:bCs w:val="1"/>
          <w:sz w:val="24"/>
          <w:szCs w:val="24"/>
        </w:rPr>
      </w:pPr>
      <w:bookmarkStart w:colFirst="0" w:colLast="0" w:name="_heading=h.gk0bjsmewpf0" w:id="46"/>
      <w:bookmarkEnd w:id="46"/>
      <w:r w:rsidDel="00000000" w:rsidR="00000000" w:rsidRPr="00000000">
        <w:rPr>
          <w:rtl w:val="0"/>
        </w:rPr>
      </w:r>
    </w:p>
    <w:p w:rsidR="00000000" w:rsidDel="00000000" w:rsidP="00000000" w:rsidRDefault="00000000" w:rsidRPr="00000000" w14:paraId="000001A3">
      <w:pPr>
        <w:pStyle w:val="Heading1"/>
        <w:jc w:val="left"/>
        <w:rPr>
          <w:rFonts w:ascii="Times New Roman" w:cs="Times New Roman" w:eastAsia="Times New Roman" w:hAnsi="Times New Roman"/>
          <w:b w:val="1"/>
          <w:bCs w:val="1"/>
          <w:sz w:val="24"/>
          <w:szCs w:val="24"/>
        </w:rPr>
      </w:pPr>
      <w:bookmarkStart w:colFirst="0" w:colLast="0" w:name="_heading=h.h843fsye9qpc" w:id="47"/>
      <w:bookmarkEnd w:id="47"/>
      <w:r w:rsidDel="00000000" w:rsidR="00000000" w:rsidRPr="00000000">
        <w:rPr>
          <w:rtl w:val="0"/>
        </w:rPr>
      </w:r>
    </w:p>
    <w:p w:rsidR="00000000" w:rsidDel="00000000" w:rsidP="00000000" w:rsidRDefault="00000000" w:rsidRPr="00000000" w14:paraId="000001A4">
      <w:pPr>
        <w:rPr>
          <w:sz w:val="24"/>
          <w:szCs w:val="24"/>
        </w:rPr>
      </w:pPr>
      <w:r w:rsidDel="00000000" w:rsidR="00000000" w:rsidRPr="00000000">
        <w:rPr>
          <w:rtl w:val="0"/>
        </w:rPr>
      </w:r>
    </w:p>
    <w:p w:rsidR="00000000" w:rsidDel="00000000" w:rsidP="00000000" w:rsidRDefault="00000000" w:rsidRPr="00000000" w14:paraId="000001A5">
      <w:pPr>
        <w:rPr>
          <w:sz w:val="24"/>
          <w:szCs w:val="24"/>
        </w:rPr>
      </w:pPr>
      <w:r w:rsidDel="00000000" w:rsidR="00000000" w:rsidRPr="00000000">
        <w:rPr>
          <w:rtl w:val="0"/>
        </w:rPr>
      </w:r>
    </w:p>
    <w:p w:rsidR="00000000" w:rsidDel="00000000" w:rsidP="00000000" w:rsidRDefault="00000000" w:rsidRPr="00000000" w14:paraId="000001A6">
      <w:pPr>
        <w:pStyle w:val="Heading1"/>
        <w:jc w:val="left"/>
        <w:rPr>
          <w:rFonts w:ascii="Times New Roman" w:cs="Times New Roman" w:eastAsia="Times New Roman" w:hAnsi="Times New Roman"/>
          <w:b w:val="1"/>
          <w:bCs w:val="1"/>
          <w:sz w:val="24"/>
          <w:szCs w:val="24"/>
        </w:rPr>
      </w:pPr>
      <w:bookmarkStart w:colFirst="0" w:colLast="0" w:name="_heading=h.mmdas2eoq5vm" w:id="48"/>
      <w:bookmarkEnd w:id="48"/>
      <w:r w:rsidDel="00000000" w:rsidR="00000000" w:rsidRPr="00000000">
        <w:rPr>
          <w:rtl w:val="0"/>
        </w:rPr>
      </w:r>
    </w:p>
    <w:p w:rsidR="00000000" w:rsidDel="00000000" w:rsidP="00000000" w:rsidRDefault="00000000" w:rsidRPr="00000000" w14:paraId="000001A7">
      <w:pPr>
        <w:pStyle w:val="Heading1"/>
        <w:jc w:val="center"/>
        <w:rPr>
          <w:rFonts w:ascii="Times New Roman" w:cs="Times New Roman" w:eastAsia="Times New Roman" w:hAnsi="Times New Roman"/>
          <w:b w:val="1"/>
          <w:bCs w:val="1"/>
          <w:sz w:val="24"/>
          <w:szCs w:val="24"/>
        </w:rPr>
      </w:pPr>
      <w:bookmarkStart w:colFirst="0" w:colLast="0" w:name="_heading=h.p5uxwlrmfp4c" w:id="49"/>
      <w:bookmarkEnd w:id="49"/>
      <w:r w:rsidDel="00000000" w:rsidR="00000000" w:rsidRPr="00000000">
        <w:rPr>
          <w:rFonts w:ascii="Times New Roman" w:cs="Times New Roman" w:eastAsia="Times New Roman" w:hAnsi="Times New Roman"/>
          <w:b w:val="1"/>
          <w:bCs w:val="1"/>
          <w:sz w:val="24"/>
          <w:szCs w:val="24"/>
          <w:rtl w:val="0"/>
        </w:rPr>
        <w:t xml:space="preserve">Chapter 6 </w:t>
      </w:r>
    </w:p>
    <w:p w:rsidR="00000000" w:rsidDel="00000000" w:rsidP="00000000" w:rsidRDefault="00000000" w:rsidRPr="00000000" w14:paraId="000001A8">
      <w:pPr>
        <w:pStyle w:val="Heading1"/>
        <w:jc w:val="center"/>
        <w:rPr>
          <w:rFonts w:ascii="Times New Roman" w:cs="Times New Roman" w:eastAsia="Times New Roman" w:hAnsi="Times New Roman"/>
          <w:b w:val="1"/>
          <w:bCs w:val="1"/>
          <w:sz w:val="24"/>
          <w:szCs w:val="24"/>
          <w:highlight w:val="yellow"/>
        </w:rPr>
      </w:pPr>
      <w:bookmarkStart w:colFirst="0" w:colLast="0" w:name="_heading=h.63cbmf5k8i4l" w:id="50"/>
      <w:bookmarkEnd w:id="50"/>
      <w:r w:rsidDel="00000000" w:rsidR="00000000" w:rsidRPr="00000000">
        <w:rPr>
          <w:rFonts w:ascii="Times New Roman" w:cs="Times New Roman" w:eastAsia="Times New Roman" w:hAnsi="Times New Roman"/>
          <w:b w:val="1"/>
          <w:bCs w:val="1"/>
          <w:sz w:val="24"/>
          <w:szCs w:val="24"/>
          <w:rtl w:val="0"/>
        </w:rPr>
        <w:t xml:space="preserve">Conclusions and Recommendations </w:t>
      </w:r>
      <w:r w:rsidDel="00000000" w:rsidR="00000000" w:rsidRPr="00000000">
        <w:rPr>
          <w:rtl w:val="0"/>
        </w:rPr>
      </w:r>
    </w:p>
    <w:p w:rsidR="00000000" w:rsidDel="00000000" w:rsidP="00000000" w:rsidRDefault="00000000" w:rsidRPr="00000000" w14:paraId="000001A9">
      <w:pPr>
        <w:pStyle w:val="Heading3"/>
        <w:keepNext w:val="0"/>
        <w:keepLines w:val="0"/>
        <w:spacing w:before="280" w:line="480" w:lineRule="auto"/>
        <w:rPr>
          <w:rFonts w:ascii="Times New Roman" w:cs="Times New Roman" w:eastAsia="Times New Roman" w:hAnsi="Times New Roman"/>
          <w:b w:val="1"/>
          <w:bCs w:val="1"/>
          <w:color w:val="000000"/>
          <w:sz w:val="24"/>
          <w:szCs w:val="24"/>
        </w:rPr>
      </w:pPr>
      <w:bookmarkStart w:colFirst="0" w:colLast="0" w:name="_heading=h.c07ynno54hvg" w:id="51"/>
      <w:bookmarkEnd w:id="51"/>
      <w:r w:rsidDel="00000000" w:rsidR="00000000" w:rsidRPr="00000000">
        <w:rPr>
          <w:rFonts w:ascii="Times New Roman" w:cs="Times New Roman" w:eastAsia="Times New Roman" w:hAnsi="Times New Roman"/>
          <w:b w:val="1"/>
          <w:bCs w:val="1"/>
          <w:color w:val="000000"/>
          <w:sz w:val="24"/>
          <w:szCs w:val="24"/>
          <w:rtl w:val="0"/>
        </w:rPr>
        <w:t xml:space="preserve">Conclusion</w:t>
      </w:r>
    </w:p>
    <w:p w:rsidR="00000000" w:rsidDel="00000000" w:rsidP="00000000" w:rsidRDefault="00000000" w:rsidRPr="00000000" w14:paraId="000001AA">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study examined the barriers faced by working mothers in leadership roles within UK schools, focusing on structural constraints, identity negotiation, institutional culture, and the effectiveness of current policies and practices. Drawing on secondary quantitative data and survey-based qualitative evidence capturing the lived experiences of working mothers, the findings demonstrate that the underrepresentation of working mothers in senior leadership is not the result of individual preference or capability, but of systemic barriers embedded within organisational design and cultural norms.</w:t>
      </w:r>
    </w:p>
    <w:p w:rsidR="00000000" w:rsidDel="00000000" w:rsidP="00000000" w:rsidRDefault="00000000" w:rsidRPr="00000000" w14:paraId="000001AB">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Structural barriers emerge as the most significant constraint on leadership progression. Rigid workload expectations, linear career pathways, and limited access to flexible or part-time leadership roles disproportionately affect women during peak caregiving years. These conditions contribute to slower progression, voluntary step-downs, and attrition from leadership pipelines, reinforcing the “motherhood penalty” identified in the wider literature. Importantly, these outcomes represent not only an equity failure but a strategic loss of leadership capability within the sector.</w:t>
      </w:r>
    </w:p>
    <w:p w:rsidR="00000000" w:rsidDel="00000000" w:rsidP="00000000" w:rsidRDefault="00000000" w:rsidRPr="00000000" w14:paraId="000001AC">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findings further highlight the central role of identity negotiation in shaping leadership trajectories. Working mothers are required to reconcile competing expectations of uninterrupted professional availability and primary caregiving responsibility, creating a persistent double bind. Even where formal maternity and flexible working policies exist, identity tensions remain unresolved due to entrenched cultural expectations and workload norms. This underscores that policy interventions alone are insufficient without complementary cultural change.</w:t>
      </w:r>
    </w:p>
    <w:p w:rsidR="00000000" w:rsidDel="00000000" w:rsidP="00000000" w:rsidRDefault="00000000" w:rsidRPr="00000000" w14:paraId="000001AD">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Institutional culture plays a decisive role in mediating both retention and leadership aspiration. Where senior leadership is perceived as incompatible with family life, working mothers are less likely to pursue advancement and more likely to disengage or exit. The absence of visible role models who successfully combine leadership and caregiving further reinforces these perceptions. Conversely, schools that normalise flexible working, provide parental accommodations, and actively support work-life integration demonstrate stronger retention and more inclusive leadership pathways.</w:t>
      </w:r>
    </w:p>
    <w:p w:rsidR="00000000" w:rsidDel="00000000" w:rsidP="00000000" w:rsidRDefault="00000000" w:rsidRPr="00000000" w14:paraId="000001AE">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Overall, the study concludes that improving leadership equity for working mothers requires a coordinated, system-level response addressing structural design, cultural norms, and practical support mechanisms simultaneously. Without such alignment, the sector risks continued talent attrition, reduced leadership diversity, and weakened organisational resilience.</w:t>
      </w:r>
    </w:p>
    <w:p w:rsidR="00000000" w:rsidDel="00000000" w:rsidP="00000000" w:rsidRDefault="00000000" w:rsidRPr="00000000" w14:paraId="000001AF">
      <w:pPr>
        <w:pStyle w:val="Heading3"/>
        <w:keepNext w:val="0"/>
        <w:keepLines w:val="0"/>
        <w:spacing w:before="280" w:line="480" w:lineRule="auto"/>
        <w:rPr>
          <w:rFonts w:ascii="Times New Roman" w:cs="Times New Roman" w:eastAsia="Times New Roman" w:hAnsi="Times New Roman"/>
          <w:b w:val="1"/>
          <w:bCs w:val="1"/>
          <w:color w:val="000000"/>
          <w:sz w:val="24"/>
          <w:szCs w:val="24"/>
        </w:rPr>
      </w:pPr>
      <w:bookmarkStart w:colFirst="0" w:colLast="0" w:name="_heading=h.nt0kvevkjs3j" w:id="52"/>
      <w:bookmarkEnd w:id="52"/>
      <w:r w:rsidDel="00000000" w:rsidR="00000000" w:rsidRPr="00000000">
        <w:rPr>
          <w:rFonts w:ascii="Times New Roman" w:cs="Times New Roman" w:eastAsia="Times New Roman" w:hAnsi="Times New Roman"/>
          <w:b w:val="1"/>
          <w:bCs w:val="1"/>
          <w:color w:val="000000"/>
          <w:sz w:val="24"/>
          <w:szCs w:val="24"/>
          <w:rtl w:val="0"/>
        </w:rPr>
        <w:t xml:space="preserve">Recommendations</w:t>
      </w:r>
    </w:p>
    <w:p w:rsidR="00000000" w:rsidDel="00000000" w:rsidP="00000000" w:rsidRDefault="00000000" w:rsidRPr="00000000" w14:paraId="000001B0">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Four actionable and cost-aware recommendations are proposed.</w:t>
      </w:r>
    </w:p>
    <w:p w:rsidR="00000000" w:rsidDel="00000000" w:rsidP="00000000" w:rsidRDefault="00000000" w:rsidRPr="00000000" w14:paraId="000001B1">
      <w:pPr>
        <w:spacing w:after="240" w:before="240" w:line="480" w:lineRule="auto"/>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Embedding Flexible Working Through Dedicated Leadership Accountability</w:t>
      </w:r>
    </w:p>
    <w:p w:rsidR="00000000" w:rsidDel="00000000" w:rsidP="00000000" w:rsidRDefault="00000000" w:rsidRPr="00000000" w14:paraId="000001B2">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address the gap between the Department for Education’s flexible working policy and inconsistent implementation at school level, schools should appoint Flexible Working Champions, supported through TLR3 payments, to embed and monitor flexible working practices. An initial rollout targeting the most affected schools, supported by central government funding, would allow for structured evaluation prior to wider adoption. Indicative costs are limited to TLR3 allowances and targeted training provision, which could be absorbed within existing staffing and professional development budgets. By translating national policy into day-to-day practice, this intervention addresses both structural constraints and entrenched cultural norms surrounding leadership availability.</w:t>
      </w:r>
    </w:p>
    <w:p w:rsidR="00000000" w:rsidDel="00000000" w:rsidP="00000000" w:rsidRDefault="00000000" w:rsidRPr="00000000" w14:paraId="000001B3">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Priority childcare provision for education employees</w:t>
        <w:br w:type="textWrapping"/>
      </w:r>
      <w:r w:rsidDel="00000000" w:rsidR="00000000" w:rsidRPr="00000000">
        <w:rPr>
          <w:rFonts w:ascii="Times New Roman" w:cs="Times New Roman" w:eastAsia="Times New Roman" w:hAnsi="Times New Roman"/>
          <w:sz w:val="24"/>
          <w:szCs w:val="24"/>
          <w:rtl w:val="0"/>
        </w:rPr>
        <w:t xml:space="preserve"> Schools, working with local authorities, should offer priority childcare places for all education employees, including wraparound care. Funding can be integrated into existing childcare support budgets or supplemented by targeted government grants, recognising the economic and workforce benefits of improved retention. While costs vary by context, leveraging existing provision limits financial exposure.</w:t>
      </w:r>
    </w:p>
    <w:p w:rsidR="00000000" w:rsidDel="00000000" w:rsidP="00000000" w:rsidRDefault="00000000" w:rsidRPr="00000000" w14:paraId="000001B4">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Commitment to gender parity in leadership</w:t>
        <w:br w:type="textWrapping"/>
      </w:r>
      <w:r w:rsidDel="00000000" w:rsidR="00000000" w:rsidRPr="00000000">
        <w:rPr>
          <w:rFonts w:ascii="Times New Roman" w:cs="Times New Roman" w:eastAsia="Times New Roman" w:hAnsi="Times New Roman"/>
          <w:sz w:val="24"/>
          <w:szCs w:val="24"/>
          <w:rtl w:val="0"/>
        </w:rPr>
        <w:t xml:space="preserve"> The Department for Education should adopt a clear, non-binding commitment to gender parity in school leadership, supported by transparent annual monitoring. Leadership development activity can be embedded within existing professional development budgets, minimising additional costs while strengthening accountability and strategic focus.</w:t>
      </w:r>
    </w:p>
    <w:p w:rsidR="00000000" w:rsidDel="00000000" w:rsidP="00000000" w:rsidRDefault="00000000" w:rsidRPr="00000000" w14:paraId="000001B5">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Revised recruitment messaging and role modelling</w:t>
        <w:br w:type="textWrapping"/>
      </w:r>
      <w:r w:rsidDel="00000000" w:rsidR="00000000" w:rsidRPr="00000000">
        <w:rPr>
          <w:rFonts w:ascii="Times New Roman" w:cs="Times New Roman" w:eastAsia="Times New Roman" w:hAnsi="Times New Roman"/>
          <w:sz w:val="24"/>
          <w:szCs w:val="24"/>
          <w:rtl w:val="0"/>
        </w:rPr>
        <w:t xml:space="preserve"> Recruitment strategies should explicitly showcase leaders who balance professional and caregiving responsibilities, reframing leadership as a sustainable career path. Implementation costs are modest, largely limited to communications activity and the development of case studies.</w:t>
      </w:r>
    </w:p>
    <w:p w:rsidR="00000000" w:rsidDel="00000000" w:rsidP="00000000" w:rsidRDefault="00000000" w:rsidRPr="00000000" w14:paraId="000001B6">
      <w:pPr>
        <w:pStyle w:val="Heading3"/>
        <w:keepNext w:val="0"/>
        <w:keepLines w:val="0"/>
        <w:spacing w:before="280" w:line="480" w:lineRule="auto"/>
        <w:rPr>
          <w:rFonts w:ascii="Times New Roman" w:cs="Times New Roman" w:eastAsia="Times New Roman" w:hAnsi="Times New Roman"/>
          <w:b w:val="1"/>
          <w:bCs w:val="1"/>
          <w:color w:val="000000"/>
          <w:sz w:val="24"/>
          <w:szCs w:val="24"/>
        </w:rPr>
      </w:pPr>
      <w:bookmarkStart w:colFirst="0" w:colLast="0" w:name="_heading=h.bhyzmrpf0nbl" w:id="53"/>
      <w:bookmarkEnd w:id="53"/>
      <w:r w:rsidDel="00000000" w:rsidR="00000000" w:rsidRPr="00000000">
        <w:rPr>
          <w:rFonts w:ascii="Times New Roman" w:cs="Times New Roman" w:eastAsia="Times New Roman" w:hAnsi="Times New Roman"/>
          <w:b w:val="1"/>
          <w:bCs w:val="1"/>
          <w:color w:val="000000"/>
          <w:sz w:val="24"/>
          <w:szCs w:val="24"/>
          <w:rtl w:val="0"/>
        </w:rPr>
        <w:t xml:space="preserve">Limitations and Further Research</w:t>
      </w:r>
    </w:p>
    <w:p w:rsidR="00000000" w:rsidDel="00000000" w:rsidP="00000000" w:rsidRDefault="00000000" w:rsidRPr="00000000" w14:paraId="000001B7">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study is limited by its reliance on secondary data and the absence of in-depth intersectional analysis. Future research should include longitudinal studies of leadership progression, intersectional analyses of compounded disadvantage, and evaluation of pilot interventions to assess impact and cost-effectiveness.</w:t>
      </w:r>
    </w:p>
    <w:p w:rsidR="00000000" w:rsidDel="00000000" w:rsidP="00000000" w:rsidRDefault="00000000" w:rsidRPr="00000000" w14:paraId="000001B8">
      <w:pPr>
        <w:pStyle w:val="Heading3"/>
        <w:keepNext w:val="0"/>
        <w:keepLines w:val="0"/>
        <w:spacing w:before="280" w:line="480" w:lineRule="auto"/>
        <w:rPr>
          <w:rFonts w:ascii="Times New Roman" w:cs="Times New Roman" w:eastAsia="Times New Roman" w:hAnsi="Times New Roman"/>
          <w:b w:val="1"/>
          <w:bCs w:val="1"/>
          <w:color w:val="000000"/>
          <w:sz w:val="24"/>
          <w:szCs w:val="24"/>
        </w:rPr>
      </w:pPr>
      <w:bookmarkStart w:colFirst="0" w:colLast="0" w:name="_heading=h.ucpo062k0k16" w:id="54"/>
      <w:bookmarkEnd w:id="54"/>
      <w:r w:rsidDel="00000000" w:rsidR="00000000" w:rsidRPr="00000000">
        <w:rPr>
          <w:rFonts w:ascii="Times New Roman" w:cs="Times New Roman" w:eastAsia="Times New Roman" w:hAnsi="Times New Roman"/>
          <w:b w:val="1"/>
          <w:bCs w:val="1"/>
          <w:color w:val="000000"/>
          <w:sz w:val="24"/>
          <w:szCs w:val="24"/>
          <w:rtl w:val="0"/>
        </w:rPr>
        <w:t xml:space="preserve">Final Reflection</w:t>
      </w:r>
    </w:p>
    <w:p w:rsidR="00000000" w:rsidDel="00000000" w:rsidP="00000000" w:rsidRDefault="00000000" w:rsidRPr="00000000" w14:paraId="000001B9">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Enhancing leadership equity for working mothers is both an ethical imperative and a strategic necessity. By aligning policy, culture, and organisational practice, the education sector can retain skilled professionals, strengthen leadership pipelines, and improve long-term performance.</w:t>
      </w:r>
    </w:p>
    <w:p w:rsidR="00000000" w:rsidDel="00000000" w:rsidP="00000000" w:rsidRDefault="00000000" w:rsidRPr="00000000" w14:paraId="000001BA">
      <w:pPr>
        <w:spacing w:after="240" w:before="240"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BB">
      <w:pPr>
        <w:spacing w:after="240" w:before="240"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BC">
      <w:pPr>
        <w:spacing w:after="240" w:before="240"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BD">
      <w:pPr>
        <w:spacing w:after="240" w:before="240"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BE">
      <w:pPr>
        <w:spacing w:after="240" w:before="240"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BF">
      <w:pPr>
        <w:spacing w:after="240" w:before="240"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C0">
      <w:pPr>
        <w:spacing w:after="240" w:before="240" w:line="480" w:lineRule="auto"/>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C1">
      <w:pPr>
        <w:spacing w:after="240" w:before="240" w:line="480" w:lineRule="auto"/>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C2">
      <w:pPr>
        <w:pStyle w:val="Heading1"/>
        <w:rPr>
          <w:rFonts w:ascii="Times New Roman" w:cs="Times New Roman" w:eastAsia="Times New Roman" w:hAnsi="Times New Roman"/>
          <w:b w:val="1"/>
          <w:bCs w:val="1"/>
          <w:sz w:val="24"/>
          <w:szCs w:val="24"/>
        </w:rPr>
      </w:pPr>
      <w:bookmarkStart w:colFirst="0" w:colLast="0" w:name="_heading=h.p407q47szyhn" w:id="55"/>
      <w:bookmarkEnd w:id="55"/>
      <w:r w:rsidDel="00000000" w:rsidR="00000000" w:rsidRPr="00000000">
        <w:rPr>
          <w:rFonts w:ascii="Times New Roman" w:cs="Times New Roman" w:eastAsia="Times New Roman" w:hAnsi="Times New Roman"/>
          <w:b w:val="1"/>
          <w:bCs w:val="1"/>
          <w:sz w:val="24"/>
          <w:szCs w:val="24"/>
          <w:rtl w:val="0"/>
        </w:rPr>
        <w:t xml:space="preserve">References </w:t>
      </w:r>
    </w:p>
    <w:p w:rsidR="00000000" w:rsidDel="00000000" w:rsidP="00000000" w:rsidRDefault="00000000" w:rsidRPr="00000000" w14:paraId="000001C3">
      <w:pPr>
        <w:shd w:fill="ffffff" w:val="clear"/>
        <w:spacing w:after="240"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Brown, S. (2023). Where are the part-time women teachers in senior school leadership: Inequalities, tensions and timescapes? </w:t>
      </w:r>
      <w:r w:rsidDel="00000000" w:rsidR="00000000" w:rsidRPr="00000000">
        <w:rPr>
          <w:rFonts w:ascii="Times New Roman" w:cs="Times New Roman" w:eastAsia="Times New Roman" w:hAnsi="Times New Roman"/>
          <w:i w:val="1"/>
          <w:iCs w:val="1"/>
          <w:sz w:val="24"/>
          <w:szCs w:val="24"/>
          <w:rtl w:val="0"/>
        </w:rPr>
        <w:t xml:space="preserve">Educational management administration &amp; leadership</w:t>
      </w:r>
      <w:r w:rsidDel="00000000" w:rsidR="00000000" w:rsidRPr="00000000">
        <w:rPr>
          <w:rFonts w:ascii="Times New Roman" w:cs="Times New Roman" w:eastAsia="Times New Roman" w:hAnsi="Times New Roman"/>
          <w:sz w:val="24"/>
          <w:szCs w:val="24"/>
          <w:rtl w:val="0"/>
        </w:rPr>
        <w:t xml:space="preserve">. doi:</w:t>
      </w:r>
      <w:hyperlink r:id="rId13">
        <w:r w:rsidDel="00000000" w:rsidR="00000000" w:rsidRPr="00000000">
          <w:rPr>
            <w:rFonts w:ascii="Times New Roman" w:cs="Times New Roman" w:eastAsia="Times New Roman" w:hAnsi="Times New Roman"/>
            <w:sz w:val="24"/>
            <w:szCs w:val="24"/>
            <w:rtl w:val="0"/>
          </w:rPr>
          <w:t xml:space="preserve">https://doi.org/10.1177/17411432231219679</w:t>
        </w:r>
      </w:hyperlink>
      <w:r w:rsidDel="00000000" w:rsidR="00000000" w:rsidRPr="00000000">
        <w:rPr>
          <w:rFonts w:ascii="Times New Roman" w:cs="Times New Roman" w:eastAsia="Times New Roman" w:hAnsi="Times New Roman"/>
          <w:sz w:val="24"/>
          <w:szCs w:val="24"/>
          <w:rtl w:val="0"/>
        </w:rPr>
        <w:t xml:space="preserve">. (Accessed 29 October 2025).</w:t>
      </w:r>
    </w:p>
    <w:p w:rsidR="00000000" w:rsidDel="00000000" w:rsidP="00000000" w:rsidRDefault="00000000" w:rsidRPr="00000000" w14:paraId="000001C4">
      <w:pPr>
        <w:shd w:fill="ffffff" w:val="clear"/>
        <w:spacing w:after="240"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GOV.UK. (2017). </w:t>
      </w:r>
      <w:r w:rsidDel="00000000" w:rsidR="00000000" w:rsidRPr="00000000">
        <w:rPr>
          <w:rFonts w:ascii="Times New Roman" w:cs="Times New Roman" w:eastAsia="Times New Roman" w:hAnsi="Times New Roman"/>
          <w:i w:val="1"/>
          <w:iCs w:val="1"/>
          <w:sz w:val="24"/>
          <w:szCs w:val="24"/>
          <w:rtl w:val="0"/>
        </w:rPr>
        <w:t xml:space="preserve">Increasing flexible working opportunities in schools</w:t>
      </w:r>
      <w:r w:rsidDel="00000000" w:rsidR="00000000" w:rsidRPr="00000000">
        <w:rPr>
          <w:rFonts w:ascii="Times New Roman" w:cs="Times New Roman" w:eastAsia="Times New Roman" w:hAnsi="Times New Roman"/>
          <w:sz w:val="24"/>
          <w:szCs w:val="24"/>
          <w:rtl w:val="0"/>
        </w:rPr>
        <w:t xml:space="preserve">. [online] Available at: </w:t>
      </w:r>
      <w:hyperlink r:id="rId14">
        <w:r w:rsidDel="00000000" w:rsidR="00000000" w:rsidRPr="00000000">
          <w:rPr>
            <w:rFonts w:ascii="Times New Roman" w:cs="Times New Roman" w:eastAsia="Times New Roman" w:hAnsi="Times New Roman"/>
            <w:color w:val="1155cc"/>
            <w:sz w:val="24"/>
            <w:szCs w:val="24"/>
            <w:u w:val="single"/>
            <w:rtl w:val="0"/>
          </w:rPr>
          <w:t xml:space="preserve">https://www.gov.uk/government/publications/increasing-flexible-working-in-schools/increasing-flexible-working-opportunities-in-schools</w:t>
        </w:r>
      </w:hyperlink>
      <w:r w:rsidDel="00000000" w:rsidR="00000000" w:rsidRPr="00000000">
        <w:rPr>
          <w:rFonts w:ascii="Times New Roman" w:cs="Times New Roman" w:eastAsia="Times New Roman" w:hAnsi="Times New Roman"/>
          <w:sz w:val="24"/>
          <w:szCs w:val="24"/>
          <w:rtl w:val="0"/>
        </w:rPr>
        <w:t xml:space="preserve">. (Accessed 14 December 2025).</w:t>
      </w:r>
    </w:p>
    <w:p w:rsidR="00000000" w:rsidDel="00000000" w:rsidP="00000000" w:rsidRDefault="00000000" w:rsidRPr="00000000" w14:paraId="000001C5">
      <w:pPr>
        <w:shd w:fill="ffffff" w:val="clear"/>
        <w:spacing w:after="240"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GOV.UK (2024). </w:t>
      </w:r>
      <w:r w:rsidDel="00000000" w:rsidR="00000000" w:rsidRPr="00000000">
        <w:rPr>
          <w:rFonts w:ascii="Times New Roman" w:cs="Times New Roman" w:eastAsia="Times New Roman" w:hAnsi="Times New Roman"/>
          <w:i w:val="1"/>
          <w:iCs w:val="1"/>
          <w:sz w:val="24"/>
          <w:szCs w:val="24"/>
          <w:rtl w:val="0"/>
        </w:rPr>
        <w:t xml:space="preserve">School workforce in England, Reporting year 2024</w:t>
      </w:r>
      <w:r w:rsidDel="00000000" w:rsidR="00000000" w:rsidRPr="00000000">
        <w:rPr>
          <w:rFonts w:ascii="Times New Roman" w:cs="Times New Roman" w:eastAsia="Times New Roman" w:hAnsi="Times New Roman"/>
          <w:sz w:val="24"/>
          <w:szCs w:val="24"/>
          <w:rtl w:val="0"/>
        </w:rPr>
        <w:t xml:space="preserve">. [online] Service.gov.uk. Available at: https://explore-education-statistics.service.gov.uk/find-statistics/school-workforce-in-england/2024.(Accessed 14 December 2025).</w:t>
      </w:r>
    </w:p>
    <w:p w:rsidR="00000000" w:rsidDel="00000000" w:rsidP="00000000" w:rsidRDefault="00000000" w:rsidRPr="00000000" w14:paraId="000001C6">
      <w:pPr>
        <w:spacing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Horton, J. (n.d.). Available at: </w:t>
      </w:r>
      <w:hyperlink r:id="rId15">
        <w:r w:rsidDel="00000000" w:rsidR="00000000" w:rsidRPr="00000000">
          <w:rPr>
            <w:rFonts w:ascii="Times New Roman" w:cs="Times New Roman" w:eastAsia="Times New Roman" w:hAnsi="Times New Roman"/>
            <w:sz w:val="24"/>
            <w:szCs w:val="24"/>
            <w:rtl w:val="0"/>
          </w:rPr>
          <w:t xml:space="preserve">https://discovery.ucl.ac.uk/id/eprint/10176072/1/Final%20Thesis.pdf</w:t>
        </w:r>
      </w:hyperlink>
      <w:r w:rsidDel="00000000" w:rsidR="00000000" w:rsidRPr="00000000">
        <w:rPr>
          <w:rFonts w:ascii="Times New Roman" w:cs="Times New Roman" w:eastAsia="Times New Roman" w:hAnsi="Times New Roman"/>
          <w:sz w:val="24"/>
          <w:szCs w:val="24"/>
          <w:rtl w:val="0"/>
        </w:rPr>
        <w:t xml:space="preserve">.  (Accessed 28 October 2025).</w:t>
      </w:r>
    </w:p>
    <w:p w:rsidR="00000000" w:rsidDel="00000000" w:rsidP="00000000" w:rsidRDefault="00000000" w:rsidRPr="00000000" w14:paraId="000001C7">
      <w:pPr>
        <w:shd w:fill="ffffff" w:val="clear"/>
        <w:spacing w:after="240"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Joy, D. (2025). </w:t>
      </w:r>
      <w:r w:rsidDel="00000000" w:rsidR="00000000" w:rsidRPr="00000000">
        <w:rPr>
          <w:rFonts w:ascii="Times New Roman" w:cs="Times New Roman" w:eastAsia="Times New Roman" w:hAnsi="Times New Roman"/>
          <w:i w:val="1"/>
          <w:iCs w:val="1"/>
          <w:sz w:val="24"/>
          <w:szCs w:val="24"/>
          <w:rtl w:val="0"/>
        </w:rPr>
        <w:t xml:space="preserve">The Impact of Women Leaders in the UK’s Education Sector - Learn ICT</w:t>
      </w:r>
      <w:r w:rsidDel="00000000" w:rsidR="00000000" w:rsidRPr="00000000">
        <w:rPr>
          <w:rFonts w:ascii="Times New Roman" w:cs="Times New Roman" w:eastAsia="Times New Roman" w:hAnsi="Times New Roman"/>
          <w:sz w:val="24"/>
          <w:szCs w:val="24"/>
          <w:rtl w:val="0"/>
        </w:rPr>
        <w:t xml:space="preserve">. [online] Learn ICT. Available at: https://www.learn-ict.org.uk/education/the-impact-of-women-leaders-in-the-uks-education-sector/ (Accessed 28 October 2025).</w:t>
      </w:r>
    </w:p>
    <w:p w:rsidR="00000000" w:rsidDel="00000000" w:rsidP="00000000" w:rsidRDefault="00000000" w:rsidRPr="00000000" w14:paraId="000001C8">
      <w:pPr>
        <w:shd w:fill="ffffff" w:val="clear"/>
        <w:spacing w:after="240"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Keele University - Study online. (2021). </w:t>
      </w:r>
      <w:r w:rsidDel="00000000" w:rsidR="00000000" w:rsidRPr="00000000">
        <w:rPr>
          <w:rFonts w:ascii="Times New Roman" w:cs="Times New Roman" w:eastAsia="Times New Roman" w:hAnsi="Times New Roman"/>
          <w:i w:val="1"/>
          <w:iCs w:val="1"/>
          <w:sz w:val="24"/>
          <w:szCs w:val="24"/>
          <w:rtl w:val="0"/>
        </w:rPr>
        <w:t xml:space="preserve">The role of women in education leadership</w:t>
      </w:r>
      <w:r w:rsidDel="00000000" w:rsidR="00000000" w:rsidRPr="00000000">
        <w:rPr>
          <w:rFonts w:ascii="Times New Roman" w:cs="Times New Roman" w:eastAsia="Times New Roman" w:hAnsi="Times New Roman"/>
          <w:sz w:val="24"/>
          <w:szCs w:val="24"/>
          <w:rtl w:val="0"/>
        </w:rPr>
        <w:t xml:space="preserve">. [online] Available at: </w:t>
      </w:r>
      <w:hyperlink r:id="rId16">
        <w:r w:rsidDel="00000000" w:rsidR="00000000" w:rsidRPr="00000000">
          <w:rPr>
            <w:rFonts w:ascii="Times New Roman" w:cs="Times New Roman" w:eastAsia="Times New Roman" w:hAnsi="Times New Roman"/>
            <w:sz w:val="24"/>
            <w:szCs w:val="24"/>
            <w:rtl w:val="0"/>
          </w:rPr>
          <w:t xml:space="preserve">https://online.keele.ac.uk/the-role-of-women-in-education-leadership/</w:t>
        </w:r>
      </w:hyperlink>
      <w:r w:rsidDel="00000000" w:rsidR="00000000" w:rsidRPr="00000000">
        <w:rPr>
          <w:rFonts w:ascii="Times New Roman" w:cs="Times New Roman" w:eastAsia="Times New Roman" w:hAnsi="Times New Roman"/>
          <w:sz w:val="24"/>
          <w:szCs w:val="24"/>
          <w:rtl w:val="0"/>
        </w:rPr>
        <w:t xml:space="preserve">. (Accessed 28 October 2025).</w:t>
      </w:r>
    </w:p>
    <w:p w:rsidR="00000000" w:rsidDel="00000000" w:rsidP="00000000" w:rsidRDefault="00000000" w:rsidRPr="00000000" w14:paraId="000001C9">
      <w:pPr>
        <w:shd w:fill="ffffff" w:val="clear"/>
        <w:spacing w:after="240"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Maternity Attrition and its impact on the teacher workforce. (n.d.). Available at: https://www.mtpt.org.uk/wp-content/uploads/2025/12/Maternity-Attrition-2025.pdf (Accessed 7 Dec. 2025).</w:t>
      </w:r>
    </w:p>
    <w:p w:rsidR="00000000" w:rsidDel="00000000" w:rsidP="00000000" w:rsidRDefault="00000000" w:rsidRPr="00000000" w14:paraId="000001CA">
      <w:pPr>
        <w:shd w:fill="ffffff" w:val="clear"/>
        <w:spacing w:after="240"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National Education Union. (2025). </w:t>
      </w:r>
      <w:r w:rsidDel="00000000" w:rsidR="00000000" w:rsidRPr="00000000">
        <w:rPr>
          <w:rFonts w:ascii="Times New Roman" w:cs="Times New Roman" w:eastAsia="Times New Roman" w:hAnsi="Times New Roman"/>
          <w:i w:val="1"/>
          <w:iCs w:val="1"/>
          <w:sz w:val="24"/>
          <w:szCs w:val="24"/>
          <w:rtl w:val="0"/>
        </w:rPr>
        <w:t xml:space="preserve">Maternity and teacher retention | National Education Union</w:t>
      </w:r>
      <w:r w:rsidDel="00000000" w:rsidR="00000000" w:rsidRPr="00000000">
        <w:rPr>
          <w:rFonts w:ascii="Times New Roman" w:cs="Times New Roman" w:eastAsia="Times New Roman" w:hAnsi="Times New Roman"/>
          <w:sz w:val="24"/>
          <w:szCs w:val="24"/>
          <w:rtl w:val="0"/>
        </w:rPr>
        <w:t xml:space="preserve">. [online] Available at: https://neu.org.uk/press-releases/maternity-and-teacher-retention (Accessed 7 Dec. 2025).</w:t>
      </w:r>
    </w:p>
    <w:p w:rsidR="00000000" w:rsidDel="00000000" w:rsidP="00000000" w:rsidRDefault="00000000" w:rsidRPr="00000000" w14:paraId="000001CB">
      <w:pPr>
        <w:shd w:fill="ffffff" w:val="clear"/>
        <w:spacing w:after="240"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O’Neil, D.A., Hopkins, M.M. and Bilimoria, D. (2007). Women’s Careers at the Start of the 21st Century: Patterns and Paradoxes. </w:t>
      </w:r>
      <w:r w:rsidDel="00000000" w:rsidR="00000000" w:rsidRPr="00000000">
        <w:rPr>
          <w:rFonts w:ascii="Times New Roman" w:cs="Times New Roman" w:eastAsia="Times New Roman" w:hAnsi="Times New Roman"/>
          <w:i w:val="1"/>
          <w:iCs w:val="1"/>
          <w:sz w:val="24"/>
          <w:szCs w:val="24"/>
          <w:rtl w:val="0"/>
        </w:rPr>
        <w:t xml:space="preserve">Journal of Business Ethics</w:t>
      </w:r>
      <w:r w:rsidDel="00000000" w:rsidR="00000000" w:rsidRPr="00000000">
        <w:rPr>
          <w:rFonts w:ascii="Times New Roman" w:cs="Times New Roman" w:eastAsia="Times New Roman" w:hAnsi="Times New Roman"/>
          <w:sz w:val="24"/>
          <w:szCs w:val="24"/>
          <w:rtl w:val="0"/>
        </w:rPr>
        <w:t xml:space="preserve">, 80(4), pp.727–743. doi:</w:t>
      </w:r>
      <w:hyperlink r:id="rId17">
        <w:r w:rsidDel="00000000" w:rsidR="00000000" w:rsidRPr="00000000">
          <w:rPr>
            <w:rFonts w:ascii="Times New Roman" w:cs="Times New Roman" w:eastAsia="Times New Roman" w:hAnsi="Times New Roman"/>
            <w:sz w:val="24"/>
            <w:szCs w:val="24"/>
            <w:rtl w:val="0"/>
          </w:rPr>
          <w:t xml:space="preserve">https://doi.org/10.1007/s10551-007-9465-6</w:t>
        </w:r>
      </w:hyperlink>
      <w:r w:rsidDel="00000000" w:rsidR="00000000" w:rsidRPr="00000000">
        <w:rPr>
          <w:rFonts w:ascii="Times New Roman" w:cs="Times New Roman" w:eastAsia="Times New Roman" w:hAnsi="Times New Roman"/>
          <w:sz w:val="24"/>
          <w:szCs w:val="24"/>
          <w:rtl w:val="0"/>
        </w:rPr>
        <w:t xml:space="preserve">. (Accessed 28 Oct. 2025).</w:t>
      </w:r>
    </w:p>
    <w:p w:rsidR="00000000" w:rsidDel="00000000" w:rsidP="00000000" w:rsidRDefault="00000000" w:rsidRPr="00000000" w14:paraId="000001CC">
      <w:pPr>
        <w:shd w:fill="ffffff" w:val="clear"/>
        <w:spacing w:after="240"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Ravindranath, H.D., Kartar Singh, J.S., Arumugam, T. and Kularajasingam, J. (2021). Exploring the Challenges Faced by Working Mothers and the Perceived Factors to Retain them in the Private Education Sector. </w:t>
      </w:r>
      <w:r w:rsidDel="00000000" w:rsidR="00000000" w:rsidRPr="00000000">
        <w:rPr>
          <w:rFonts w:ascii="Times New Roman" w:cs="Times New Roman" w:eastAsia="Times New Roman" w:hAnsi="Times New Roman"/>
          <w:i w:val="1"/>
          <w:iCs w:val="1"/>
          <w:sz w:val="24"/>
          <w:szCs w:val="24"/>
          <w:rtl w:val="0"/>
        </w:rPr>
        <w:t xml:space="preserve">International Journal of Human Resource Studies</w:t>
      </w:r>
      <w:r w:rsidDel="00000000" w:rsidR="00000000" w:rsidRPr="00000000">
        <w:rPr>
          <w:rFonts w:ascii="Times New Roman" w:cs="Times New Roman" w:eastAsia="Times New Roman" w:hAnsi="Times New Roman"/>
          <w:sz w:val="24"/>
          <w:szCs w:val="24"/>
          <w:rtl w:val="0"/>
        </w:rPr>
        <w:t xml:space="preserve">, 11(2), p.17. doi:</w:t>
      </w:r>
      <w:hyperlink r:id="rId18">
        <w:r w:rsidDel="00000000" w:rsidR="00000000" w:rsidRPr="00000000">
          <w:rPr>
            <w:rFonts w:ascii="Times New Roman" w:cs="Times New Roman" w:eastAsia="Times New Roman" w:hAnsi="Times New Roman"/>
            <w:sz w:val="24"/>
            <w:szCs w:val="24"/>
            <w:rtl w:val="0"/>
          </w:rPr>
          <w:t xml:space="preserve">https://doi.org/10.5296/ijhrs.v11i2.18457</w:t>
        </w:r>
      </w:hyperlink>
      <w:r w:rsidDel="00000000" w:rsidR="00000000" w:rsidRPr="00000000">
        <w:rPr>
          <w:rFonts w:ascii="Times New Roman" w:cs="Times New Roman" w:eastAsia="Times New Roman" w:hAnsi="Times New Roman"/>
          <w:sz w:val="24"/>
          <w:szCs w:val="24"/>
          <w:rtl w:val="0"/>
        </w:rPr>
        <w:t xml:space="preserve">. (Accessed 29 October 2025).</w:t>
      </w:r>
    </w:p>
    <w:p w:rsidR="00000000" w:rsidDel="00000000" w:rsidP="00000000" w:rsidRDefault="00000000" w:rsidRPr="00000000" w14:paraId="000001CD">
      <w:pPr>
        <w:spacing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Sheppard, E. (2023) ‘The ‘motherhood penalty’ is driving teachers in their 30s to quit’, </w:t>
      </w:r>
      <w:r w:rsidDel="00000000" w:rsidR="00000000" w:rsidRPr="00000000">
        <w:rPr>
          <w:rFonts w:ascii="Times New Roman" w:cs="Times New Roman" w:eastAsia="Times New Roman" w:hAnsi="Times New Roman"/>
          <w:i w:val="1"/>
          <w:iCs w:val="1"/>
          <w:sz w:val="24"/>
          <w:szCs w:val="24"/>
          <w:rtl w:val="0"/>
        </w:rPr>
        <w:t xml:space="preserve">Tes</w:t>
      </w:r>
      <w:r w:rsidDel="00000000" w:rsidR="00000000" w:rsidRPr="00000000">
        <w:rPr>
          <w:rFonts w:ascii="Times New Roman" w:cs="Times New Roman" w:eastAsia="Times New Roman" w:hAnsi="Times New Roman"/>
          <w:sz w:val="24"/>
          <w:szCs w:val="24"/>
          <w:rtl w:val="0"/>
        </w:rPr>
        <w:t xml:space="preserve">, 15 September. Available at:</w:t>
      </w:r>
      <w:hyperlink r:id="rId19">
        <w:r w:rsidDel="00000000" w:rsidR="00000000" w:rsidRPr="00000000">
          <w:rPr>
            <w:rFonts w:ascii="Times New Roman" w:cs="Times New Roman" w:eastAsia="Times New Roman" w:hAnsi="Times New Roman"/>
            <w:sz w:val="24"/>
            <w:szCs w:val="24"/>
            <w:rtl w:val="0"/>
          </w:rPr>
          <w:t xml:space="preserve"> https://www.tes.com/magazine/analysis/general/motherhood-penalty-over-30s-leaving-education</w:t>
        </w:r>
      </w:hyperlink>
      <w:r w:rsidDel="00000000" w:rsidR="00000000" w:rsidRPr="00000000">
        <w:rPr>
          <w:rFonts w:ascii="Times New Roman" w:cs="Times New Roman" w:eastAsia="Times New Roman" w:hAnsi="Times New Roman"/>
          <w:sz w:val="24"/>
          <w:szCs w:val="24"/>
          <w:rtl w:val="0"/>
        </w:rPr>
        <w:t xml:space="preserve"> (Accessed 28 Oct. 2025).</w:t>
      </w:r>
    </w:p>
    <w:p w:rsidR="00000000" w:rsidDel="00000000" w:rsidP="00000000" w:rsidRDefault="00000000" w:rsidRPr="00000000" w14:paraId="000001CE">
      <w:pPr>
        <w:spacing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Sikes, O. (2022). </w:t>
      </w:r>
      <w:r w:rsidDel="00000000" w:rsidR="00000000" w:rsidRPr="00000000">
        <w:rPr>
          <w:rFonts w:ascii="Times New Roman" w:cs="Times New Roman" w:eastAsia="Times New Roman" w:hAnsi="Times New Roman"/>
          <w:i w:val="1"/>
          <w:iCs w:val="1"/>
          <w:sz w:val="24"/>
          <w:szCs w:val="24"/>
          <w:rtl w:val="0"/>
        </w:rPr>
        <w:t xml:space="preserve">THE INTERSECTIONALITY OF MOTHERHOOD AND EDUCATIONAL LEADERSHIP A Dissertation by</w:t>
      </w:r>
      <w:r w:rsidDel="00000000" w:rsidR="00000000" w:rsidRPr="00000000">
        <w:rPr>
          <w:rFonts w:ascii="Times New Roman" w:cs="Times New Roman" w:eastAsia="Times New Roman" w:hAnsi="Times New Roman"/>
          <w:sz w:val="24"/>
          <w:szCs w:val="24"/>
          <w:rtl w:val="0"/>
        </w:rPr>
        <w:t xml:space="preserve">. [online] Available at: </w:t>
      </w:r>
      <w:hyperlink r:id="rId20">
        <w:r w:rsidDel="00000000" w:rsidR="00000000" w:rsidRPr="00000000">
          <w:rPr>
            <w:rFonts w:ascii="Times New Roman" w:cs="Times New Roman" w:eastAsia="Times New Roman" w:hAnsi="Times New Roman"/>
            <w:sz w:val="24"/>
            <w:szCs w:val="24"/>
            <w:rtl w:val="0"/>
          </w:rPr>
          <w:t xml:space="preserve">https://libres.uncg.edu/ir/asu/f/Sikes_Olivia_December_2022_Dissertation.pdf</w:t>
        </w:r>
      </w:hyperlink>
      <w:r w:rsidDel="00000000" w:rsidR="00000000" w:rsidRPr="00000000">
        <w:rPr>
          <w:rFonts w:ascii="Times New Roman" w:cs="Times New Roman" w:eastAsia="Times New Roman" w:hAnsi="Times New Roman"/>
          <w:sz w:val="24"/>
          <w:szCs w:val="24"/>
          <w:rtl w:val="0"/>
        </w:rPr>
        <w:t xml:space="preserve">. (Accessed 28 Oct. 2025).</w:t>
      </w:r>
    </w:p>
    <w:p w:rsidR="00000000" w:rsidDel="00000000" w:rsidP="00000000" w:rsidRDefault="00000000" w:rsidRPr="00000000" w14:paraId="000001CF">
      <w:pPr>
        <w:spacing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New Britain. (2018). </w:t>
      </w:r>
      <w:r w:rsidDel="00000000" w:rsidR="00000000" w:rsidRPr="00000000">
        <w:rPr>
          <w:rFonts w:ascii="Times New Roman" w:cs="Times New Roman" w:eastAsia="Times New Roman" w:hAnsi="Times New Roman"/>
          <w:i w:val="1"/>
          <w:iCs w:val="1"/>
          <w:sz w:val="24"/>
          <w:szCs w:val="24"/>
          <w:rtl w:val="0"/>
        </w:rPr>
        <w:t xml:space="preserve">MISSING MOTHERS | The New Britain</w:t>
      </w:r>
      <w:r w:rsidDel="00000000" w:rsidR="00000000" w:rsidRPr="00000000">
        <w:rPr>
          <w:rFonts w:ascii="Times New Roman" w:cs="Times New Roman" w:eastAsia="Times New Roman" w:hAnsi="Times New Roman"/>
          <w:sz w:val="24"/>
          <w:szCs w:val="24"/>
          <w:rtl w:val="0"/>
        </w:rPr>
        <w:t xml:space="preserve">. [online] Available at: </w:t>
      </w:r>
      <w:hyperlink r:id="rId21">
        <w:r w:rsidDel="00000000" w:rsidR="00000000" w:rsidRPr="00000000">
          <w:rPr>
            <w:rFonts w:ascii="Times New Roman" w:cs="Times New Roman" w:eastAsia="Times New Roman" w:hAnsi="Times New Roman"/>
            <w:sz w:val="24"/>
            <w:szCs w:val="24"/>
            <w:u w:val="single"/>
            <w:rtl w:val="0"/>
          </w:rPr>
          <w:t xml:space="preserve">https://www.newbritain.org.uk/missing-mothers</w:t>
        </w:r>
      </w:hyperlink>
      <w:r w:rsidDel="00000000" w:rsidR="00000000" w:rsidRPr="00000000">
        <w:rPr>
          <w:rFonts w:ascii="Times New Roman" w:cs="Times New Roman" w:eastAsia="Times New Roman" w:hAnsi="Times New Roman"/>
          <w:sz w:val="24"/>
          <w:szCs w:val="24"/>
          <w:rtl w:val="0"/>
        </w:rPr>
        <w:t xml:space="preserve">. (Accessed 28 Oct. 2025).</w:t>
      </w:r>
    </w:p>
    <w:p w:rsidR="00000000" w:rsidDel="00000000" w:rsidP="00000000" w:rsidRDefault="00000000" w:rsidRPr="00000000" w14:paraId="000001D0">
      <w:pPr>
        <w:spacing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Torres, A., Barbosa-Silva, L., Oliveira-Silva, L.C., Pillar, O., Rodrigues, C., Fisher, A.N. and Ryan, M.K. (2024). The Impact of Motherhood on Women’s Career Progression: A Scoping Review of Evidence-Based Interventions. </w:t>
      </w:r>
      <w:r w:rsidDel="00000000" w:rsidR="00000000" w:rsidRPr="00000000">
        <w:rPr>
          <w:rFonts w:ascii="Times New Roman" w:cs="Times New Roman" w:eastAsia="Times New Roman" w:hAnsi="Times New Roman"/>
          <w:i w:val="1"/>
          <w:iCs w:val="1"/>
          <w:sz w:val="24"/>
          <w:szCs w:val="24"/>
          <w:rtl w:val="0"/>
        </w:rPr>
        <w:t xml:space="preserve">Behavioral sciences</w:t>
      </w:r>
      <w:r w:rsidDel="00000000" w:rsidR="00000000" w:rsidRPr="00000000">
        <w:rPr>
          <w:rFonts w:ascii="Times New Roman" w:cs="Times New Roman" w:eastAsia="Times New Roman" w:hAnsi="Times New Roman"/>
          <w:sz w:val="24"/>
          <w:szCs w:val="24"/>
          <w:rtl w:val="0"/>
        </w:rPr>
        <w:t xml:space="preserve">, [online] 14(4), pp.275–275. doi:</w:t>
      </w:r>
      <w:hyperlink r:id="rId22">
        <w:r w:rsidDel="00000000" w:rsidR="00000000" w:rsidRPr="00000000">
          <w:rPr>
            <w:rFonts w:ascii="Times New Roman" w:cs="Times New Roman" w:eastAsia="Times New Roman" w:hAnsi="Times New Roman"/>
            <w:color w:val="1155cc"/>
            <w:sz w:val="24"/>
            <w:szCs w:val="24"/>
            <w:u w:val="single"/>
            <w:rtl w:val="0"/>
          </w:rPr>
          <w:t xml:space="preserve">https://doi.org/10.3390/bs14040275</w:t>
        </w:r>
      </w:hyperlink>
      <w:r w:rsidDel="00000000" w:rsidR="00000000" w:rsidRPr="00000000">
        <w:rPr>
          <w:rFonts w:ascii="Times New Roman" w:cs="Times New Roman" w:eastAsia="Times New Roman" w:hAnsi="Times New Roman"/>
          <w:sz w:val="24"/>
          <w:szCs w:val="24"/>
          <w:rtl w:val="0"/>
        </w:rPr>
        <w:t xml:space="preserve">  (Accessed: 16 November  2025).</w:t>
      </w:r>
    </w:p>
    <w:p w:rsidR="00000000" w:rsidDel="00000000" w:rsidP="00000000" w:rsidRDefault="00000000" w:rsidRPr="00000000" w14:paraId="000001D1">
      <w:pPr>
        <w:spacing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www.lse.ac.uk. (2023). </w:t>
      </w:r>
      <w:r w:rsidDel="00000000" w:rsidR="00000000" w:rsidRPr="00000000">
        <w:rPr>
          <w:rFonts w:ascii="Times New Roman" w:cs="Times New Roman" w:eastAsia="Times New Roman" w:hAnsi="Times New Roman"/>
          <w:i w:val="1"/>
          <w:iCs w:val="1"/>
          <w:sz w:val="24"/>
          <w:szCs w:val="24"/>
          <w:rtl w:val="0"/>
        </w:rPr>
        <w:t xml:space="preserve">The identity struggle facing working mothers | LSE Research</w:t>
      </w:r>
      <w:r w:rsidDel="00000000" w:rsidR="00000000" w:rsidRPr="00000000">
        <w:rPr>
          <w:rFonts w:ascii="Times New Roman" w:cs="Times New Roman" w:eastAsia="Times New Roman" w:hAnsi="Times New Roman"/>
          <w:sz w:val="24"/>
          <w:szCs w:val="24"/>
          <w:rtl w:val="0"/>
        </w:rPr>
        <w:t xml:space="preserve">. [online] Available at: </w:t>
      </w:r>
      <w:hyperlink r:id="rId23">
        <w:r w:rsidDel="00000000" w:rsidR="00000000" w:rsidRPr="00000000">
          <w:rPr>
            <w:rFonts w:ascii="Times New Roman" w:cs="Times New Roman" w:eastAsia="Times New Roman" w:hAnsi="Times New Roman"/>
            <w:color w:val="1155cc"/>
            <w:sz w:val="24"/>
            <w:szCs w:val="24"/>
            <w:u w:val="single"/>
            <w:rtl w:val="0"/>
          </w:rPr>
          <w:t xml:space="preserve">https://www.lse.ac.uk/research/research-for-the-world/society/working-mothers-employment</w:t>
        </w:r>
      </w:hyperlink>
      <w:r w:rsidDel="00000000" w:rsidR="00000000" w:rsidRPr="00000000">
        <w:rPr>
          <w:rFonts w:ascii="Times New Roman" w:cs="Times New Roman" w:eastAsia="Times New Roman" w:hAnsi="Times New Roman"/>
          <w:sz w:val="24"/>
          <w:szCs w:val="24"/>
          <w:rtl w:val="0"/>
        </w:rPr>
        <w:t xml:space="preserve"> (Accessed: 14 December  2025).</w:t>
      </w:r>
    </w:p>
    <w:p w:rsidR="00000000" w:rsidDel="00000000" w:rsidP="00000000" w:rsidRDefault="00000000" w:rsidRPr="00000000" w14:paraId="000001D2">
      <w:pPr>
        <w:rPr>
          <w:rFonts w:ascii="Times New Roman" w:cs="Times New Roman" w:eastAsia="Times New Roman" w:hAnsi="Times New Roman"/>
          <w:sz w:val="24"/>
          <w:szCs w:val="24"/>
          <w:highlight w:val="yellow"/>
        </w:rPr>
      </w:pPr>
      <w:r w:rsidDel="00000000" w:rsidR="00000000" w:rsidRPr="00000000">
        <w:rPr>
          <w:rtl w:val="0"/>
        </w:rPr>
      </w:r>
    </w:p>
    <w:p w:rsidR="00000000" w:rsidDel="00000000" w:rsidP="00000000" w:rsidRDefault="00000000" w:rsidRPr="00000000" w14:paraId="000001D3">
      <w:pPr>
        <w:rPr>
          <w:rFonts w:ascii="Times New Roman" w:cs="Times New Roman" w:eastAsia="Times New Roman" w:hAnsi="Times New Roman"/>
          <w:sz w:val="24"/>
          <w:szCs w:val="24"/>
        </w:rPr>
      </w:pPr>
      <w:r w:rsidDel="00000000" w:rsidR="00000000" w:rsidRPr="00000000">
        <w:rPr>
          <w:rtl w:val="0"/>
        </w:rPr>
      </w:r>
    </w:p>
    <w:sectPr>
      <w:headerReference r:id="rId24" w:type="default"/>
      <w:footerReference r:id="rId25" w:type="default"/>
      <w:footerReference r:id="rId26" w:type="firs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D5">
    <w:pPr>
      <w:jc w:val="center"/>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D6">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D4">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8">
    <w:lvl w:ilvl="0">
      <w:start w:val="1"/>
      <w:numFmt w:val="decimal"/>
      <w:lvlText w:val="%1."/>
      <w:lvlJc w:val="left"/>
      <w:pPr>
        <w:ind w:left="1440" w:hanging="360"/>
      </w:pPr>
      <w:rPr>
        <w:u w:val="none"/>
      </w:rPr>
    </w:lvl>
    <w:lvl w:ilvl="1">
      <w:start w:val="1"/>
      <w:numFmt w:val="lowerLetter"/>
      <w:lvlText w:val="%2."/>
      <w:lvlJc w:val="left"/>
      <w:pPr>
        <w:ind w:left="2160" w:hanging="360"/>
      </w:pPr>
      <w:rPr>
        <w:u w:val="none"/>
      </w:rPr>
    </w:lvl>
    <w:lvl w:ilvl="2">
      <w:start w:val="1"/>
      <w:numFmt w:val="lowerRoman"/>
      <w:lvlText w:val="%3."/>
      <w:lvlJc w:val="right"/>
      <w:pPr>
        <w:ind w:left="2880" w:hanging="360"/>
      </w:pPr>
      <w:rPr>
        <w:u w:val="none"/>
      </w:rPr>
    </w:lvl>
    <w:lvl w:ilvl="3">
      <w:start w:val="1"/>
      <w:numFmt w:val="decimal"/>
      <w:lvlText w:val="%4."/>
      <w:lvlJc w:val="left"/>
      <w:pPr>
        <w:ind w:left="3600" w:hanging="360"/>
      </w:pPr>
      <w:rPr>
        <w:u w:val="none"/>
      </w:rPr>
    </w:lvl>
    <w:lvl w:ilvl="4">
      <w:start w:val="1"/>
      <w:numFmt w:val="lowerLetter"/>
      <w:lvlText w:val="%5."/>
      <w:lvlJc w:val="left"/>
      <w:pPr>
        <w:ind w:left="4320" w:hanging="360"/>
      </w:pPr>
      <w:rPr>
        <w:u w:val="none"/>
      </w:rPr>
    </w:lvl>
    <w:lvl w:ilvl="5">
      <w:start w:val="1"/>
      <w:numFmt w:val="lowerRoman"/>
      <w:lvlText w:val="%6."/>
      <w:lvlJc w:val="right"/>
      <w:pPr>
        <w:ind w:left="5040" w:hanging="360"/>
      </w:pPr>
      <w:rPr>
        <w:u w:val="none"/>
      </w:rPr>
    </w:lvl>
    <w:lvl w:ilvl="6">
      <w:start w:val="1"/>
      <w:numFmt w:val="decimal"/>
      <w:lvlText w:val="%7."/>
      <w:lvlJc w:val="left"/>
      <w:pPr>
        <w:ind w:left="5760" w:hanging="360"/>
      </w:pPr>
      <w:rPr>
        <w:u w:val="none"/>
      </w:rPr>
    </w:lvl>
    <w:lvl w:ilvl="7">
      <w:start w:val="1"/>
      <w:numFmt w:val="lowerLetter"/>
      <w:lvlText w:val="%8."/>
      <w:lvlJc w:val="left"/>
      <w:pPr>
        <w:ind w:left="6480" w:hanging="360"/>
      </w:pPr>
      <w:rPr>
        <w:u w:val="none"/>
      </w:rPr>
    </w:lvl>
    <w:lvl w:ilvl="8">
      <w:start w:val="1"/>
      <w:numFmt w:val="lowerRoman"/>
      <w:lvlText w:val="%9."/>
      <w:lvlJc w:val="right"/>
      <w:pPr>
        <w:ind w:left="720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iCs w:val="1"/>
      <w:color w:val="666666"/>
    </w:rPr>
  </w:style>
  <w:style w:type="paragraph" w:styleId="Title">
    <w:name w:val="Title"/>
    <w:basedOn w:val="Normal"/>
    <w:next w:val="Normal"/>
    <w:pPr>
      <w:keepNext w:val="1"/>
      <w:keepLines w:val="1"/>
      <w:spacing w:after="60" w:lineRule="auto"/>
    </w:pPr>
    <w:rPr>
      <w:sz w:val="52"/>
      <w:szCs w:val="5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table" w:styleId="TableNormal0" w:customStyle="1">
    <w:name w:val="TableNormal"/>
    <w:tblPr>
      <w:tblCellMar>
        <w:top w:w="100.0" w:type="dxa"/>
        <w:left w:w="100.0" w:type="dxa"/>
        <w:bottom w:w="100.0" w:type="dxa"/>
        <w:right w:w="100.0" w:type="dxa"/>
      </w:tblCellMar>
    </w:tblPr>
  </w:style>
  <w:style w:type="table" w:styleId="a" w:customStyle="1">
    <w:basedOn w:val="TableNormal0"/>
    <w:tblPr>
      <w:tblStyleRowBandSize w:val="1"/>
      <w:tblStyleColBandSize w:val="1"/>
    </w:tblPr>
  </w:style>
  <w:style w:type="table" w:styleId="a0" w:customStyle="1">
    <w:basedOn w:val="TableNormal0"/>
    <w:tblPr>
      <w:tblStyleRowBandSize w:val="1"/>
      <w:tblStyleColBandSize w:val="1"/>
    </w:tblPr>
  </w:style>
  <w:style w:type="table" w:styleId="a1" w:customStyle="1">
    <w:basedOn w:val="TableNormal0"/>
    <w:tblPr>
      <w:tblStyleRowBandSize w:val="1"/>
      <w:tblStyleColBandSize w:val="1"/>
    </w:tblPr>
  </w:style>
  <w:style w:type="table" w:styleId="a2" w:customStyle="1">
    <w:basedOn w:val="TableNormal0"/>
    <w:tblPr>
      <w:tblStyleRowBandSize w:val="1"/>
      <w:tblStyleColBandSize w:val="1"/>
    </w:tblPr>
  </w:style>
  <w:style w:type="table" w:styleId="a3" w:customStyle="1">
    <w:basedOn w:val="TableNormal0"/>
    <w:tblPr>
      <w:tblStyleRowBandSize w:val="1"/>
      <w:tblStyleColBandSize w:val="1"/>
    </w:tblPr>
  </w:style>
  <w:style w:type="paragraph" w:styleId="TOCHeading">
    <w:name w:val="TOC Heading"/>
    <w:basedOn w:val="Heading1"/>
    <w:next w:val="Normal"/>
    <w:uiPriority w:val="39"/>
    <w:unhideWhenUsed w:val="1"/>
    <w:qFormat w:val="1"/>
    <w:rsid w:val="000332D8"/>
    <w:pPr>
      <w:spacing w:after="0" w:before="240" w:line="259" w:lineRule="auto"/>
      <w:outlineLvl w:val="9"/>
    </w:pPr>
    <w:rPr>
      <w:rFonts w:asciiTheme="majorHAnsi" w:cstheme="majorBidi" w:eastAsiaTheme="majorEastAsia" w:hAnsiTheme="majorHAnsi"/>
      <w:color w:val="365f91" w:themeColor="accent1" w:themeShade="0000BF"/>
      <w:sz w:val="32"/>
      <w:szCs w:val="32"/>
      <w:lang w:eastAsia="en-US" w:val="en-US"/>
    </w:rPr>
  </w:style>
  <w:style w:type="paragraph" w:styleId="TOC1">
    <w:name w:val="toc 1"/>
    <w:basedOn w:val="Normal"/>
    <w:next w:val="Normal"/>
    <w:autoRedefine w:val="1"/>
    <w:uiPriority w:val="39"/>
    <w:unhideWhenUsed w:val="1"/>
    <w:rsid w:val="00CA1232"/>
    <w:pPr>
      <w:tabs>
        <w:tab w:val="right" w:leader="dot" w:pos="9350"/>
      </w:tabs>
      <w:spacing w:after="100"/>
    </w:pPr>
    <w:rPr>
      <w:b w:val="1"/>
      <w:bCs w:val="1"/>
      <w:noProof w:val="1"/>
    </w:rPr>
  </w:style>
  <w:style w:type="paragraph" w:styleId="TOC2">
    <w:name w:val="toc 2"/>
    <w:basedOn w:val="Normal"/>
    <w:next w:val="Normal"/>
    <w:autoRedefine w:val="1"/>
    <w:uiPriority w:val="39"/>
    <w:unhideWhenUsed w:val="1"/>
    <w:rsid w:val="000332D8"/>
    <w:pPr>
      <w:spacing w:after="100"/>
      <w:ind w:left="220"/>
    </w:pPr>
  </w:style>
  <w:style w:type="paragraph" w:styleId="TOC3">
    <w:name w:val="toc 3"/>
    <w:basedOn w:val="Normal"/>
    <w:next w:val="Normal"/>
    <w:autoRedefine w:val="1"/>
    <w:uiPriority w:val="39"/>
    <w:unhideWhenUsed w:val="1"/>
    <w:rsid w:val="000332D8"/>
    <w:pPr>
      <w:spacing w:after="100"/>
      <w:ind w:left="440"/>
    </w:pPr>
  </w:style>
  <w:style w:type="character" w:styleId="Hyperlink">
    <w:name w:val="Hyperlink"/>
    <w:basedOn w:val="DefaultParagraphFont"/>
    <w:uiPriority w:val="99"/>
    <w:unhideWhenUsed w:val="1"/>
    <w:rsid w:val="000332D8"/>
    <w:rPr>
      <w:color w:val="0000ff" w:themeColor="hyperlink"/>
      <w:u w:val="single"/>
    </w:rPr>
  </w:style>
  <w:style w:type="paragraph" w:styleId="Subtitle">
    <w:name w:val="Subtitle"/>
    <w:basedOn w:val="Normal"/>
    <w:next w:val="Normal"/>
    <w:pPr>
      <w:keepNext w:val="1"/>
      <w:keepLines w:val="1"/>
      <w:spacing w:after="320" w:lineRule="auto"/>
    </w:pPr>
    <w:rPr>
      <w:color w:val="666666"/>
      <w:sz w:val="30"/>
      <w:szCs w:val="30"/>
    </w:rPr>
  </w:style>
  <w:style w:type="table" w:styleId="Table1">
    <w:basedOn w:val="TableNormal"/>
    <w:tblPr>
      <w:tblStyleRowBandSize w:val="1"/>
      <w:tblStyleColBandSize w:val="1"/>
    </w:tblPr>
  </w:style>
  <w:style w:type="table" w:styleId="Table2">
    <w:basedOn w:val="TableNormal"/>
    <w:tblPr>
      <w:tblStyleRowBandSize w:val="1"/>
      <w:tblStyleColBandSize w:val="1"/>
    </w:tblPr>
  </w:style>
  <w:style w:type="table" w:styleId="Table3">
    <w:basedOn w:val="TableNormal"/>
    <w:tblPr>
      <w:tblStyleRowBandSize w:val="1"/>
      <w:tblStyleColBandSize w:val="1"/>
    </w:tblPr>
  </w:style>
  <w:style w:type="table" w:styleId="Table4">
    <w:basedOn w:val="TableNormal"/>
    <w:tblPr>
      <w:tblStyleRowBandSize w:val="1"/>
      <w:tblStyleColBandSize w:val="1"/>
    </w:tblPr>
  </w:style>
  <w:style w:type="table" w:styleId="Table5">
    <w:basedOn w:val="TableNormal"/>
    <w:tblPr>
      <w:tblStyleRowBandSize w:val="1"/>
      <w:tblStyleColBandSize w:val="1"/>
    </w:tblPr>
  </w:style>
</w:styles>
</file>

<file path=word/_rels/document.xml.rels><?xml version="1.0" encoding="UTF-8" standalone="yes"?><Relationships xmlns="http://schemas.openxmlformats.org/package/2006/relationships"><Relationship Id="rId20" Type="http://schemas.openxmlformats.org/officeDocument/2006/relationships/hyperlink" Target="https://libres.uncg.edu/ir/asu/f/Sikes_Olivia_December_2022_Dissertation.pdf" TargetMode="External"/><Relationship Id="rId22" Type="http://schemas.openxmlformats.org/officeDocument/2006/relationships/hyperlink" Target="https://doi.org/10.3390/bs14040275" TargetMode="External"/><Relationship Id="rId21" Type="http://schemas.openxmlformats.org/officeDocument/2006/relationships/hyperlink" Target="https://www.newbritain.org.uk/missing-mothers" TargetMode="External"/><Relationship Id="rId24" Type="http://schemas.openxmlformats.org/officeDocument/2006/relationships/header" Target="header1.xml"/><Relationship Id="rId23" Type="http://schemas.openxmlformats.org/officeDocument/2006/relationships/hyperlink" Target="https://www.lse.ac.uk/research/research-for-the-world/society/working-mothers-employment"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5.png"/><Relationship Id="rId26" Type="http://schemas.openxmlformats.org/officeDocument/2006/relationships/footer" Target="footer2.xml"/><Relationship Id="rId25"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3.png"/><Relationship Id="rId8" Type="http://schemas.openxmlformats.org/officeDocument/2006/relationships/image" Target="media/image2.png"/><Relationship Id="rId11" Type="http://schemas.openxmlformats.org/officeDocument/2006/relationships/image" Target="media/image6.png"/><Relationship Id="rId10" Type="http://schemas.openxmlformats.org/officeDocument/2006/relationships/image" Target="media/image1.png"/><Relationship Id="rId13" Type="http://schemas.openxmlformats.org/officeDocument/2006/relationships/hyperlink" Target="https://doi.org/10.1177/17411432231219679" TargetMode="External"/><Relationship Id="rId12" Type="http://schemas.openxmlformats.org/officeDocument/2006/relationships/image" Target="media/image4.png"/><Relationship Id="rId15" Type="http://schemas.openxmlformats.org/officeDocument/2006/relationships/hyperlink" Target="https://discovery.ucl.ac.uk/id/eprint/10176072/1/Final%20Thesis.pdf" TargetMode="External"/><Relationship Id="rId14" Type="http://schemas.openxmlformats.org/officeDocument/2006/relationships/hyperlink" Target="https://www.gov.uk/government/publications/increasing-flexible-working-in-schools/increasing-flexible-working-opportunities-in-schools" TargetMode="External"/><Relationship Id="rId17" Type="http://schemas.openxmlformats.org/officeDocument/2006/relationships/hyperlink" Target="https://doi.org/10.1007/s10551-007-9465-6" TargetMode="External"/><Relationship Id="rId16" Type="http://schemas.openxmlformats.org/officeDocument/2006/relationships/hyperlink" Target="https://online.keele.ac.uk/the-role-of-women-in-education-leadership/" TargetMode="External"/><Relationship Id="rId19" Type="http://schemas.openxmlformats.org/officeDocument/2006/relationships/hyperlink" Target="https://www.tes.com/magazine/analysis/general/motherhood-penalty-over-30s-leaving-education" TargetMode="External"/><Relationship Id="rId18" Type="http://schemas.openxmlformats.org/officeDocument/2006/relationships/hyperlink" Target="https://doi.org/10.5296/ijhrs.v11i2.1845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uEw09O41fhiTGmm9eX8T4dztMMw==">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2026-01-03T08:11:00Z</dcterms:created>
  <dc:creator>Coreen Grant-Nembhard</dc:creator>
</cp:coreProperties>
</file>