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A598EF" w14:textId="77777777" w:rsidR="00FF07F4" w:rsidRDefault="00FF07F4"/>
    <w:p w14:paraId="1979D84B" w14:textId="77777777" w:rsidR="00FF07F4" w:rsidRDefault="00FF07F4"/>
    <w:p w14:paraId="2209DFED" w14:textId="77777777" w:rsidR="00FF07F4" w:rsidRDefault="00FF07F4"/>
    <w:p w14:paraId="0C053F1B" w14:textId="77777777" w:rsidR="00FF07F4" w:rsidRDefault="00FF07F4"/>
    <w:p w14:paraId="3FDA7D27" w14:textId="77777777" w:rsidR="00FF07F4" w:rsidRDefault="00FF07F4"/>
    <w:p w14:paraId="6C499FB0" w14:textId="77777777" w:rsidR="00FF07F4" w:rsidRDefault="00FF07F4"/>
    <w:p w14:paraId="4F868835" w14:textId="77777777" w:rsidR="00FF07F4" w:rsidRDefault="00FF07F4"/>
    <w:p w14:paraId="43448BD4" w14:textId="6A49D1A7" w:rsidR="00FF07F4" w:rsidRPr="00FF07F4" w:rsidRDefault="00C93F79" w:rsidP="00FF07F4">
      <w:pPr>
        <w:jc w:val="center"/>
        <w:rPr>
          <w:sz w:val="44"/>
          <w:szCs w:val="44"/>
        </w:rPr>
      </w:pPr>
      <w:r>
        <w:rPr>
          <w:sz w:val="44"/>
          <w:szCs w:val="44"/>
        </w:rPr>
        <w:t xml:space="preserve">Critical Analysis – </w:t>
      </w:r>
      <w:proofErr w:type="spellStart"/>
      <w:r>
        <w:rPr>
          <w:sz w:val="44"/>
          <w:szCs w:val="44"/>
        </w:rPr>
        <w:t>Verrines</w:t>
      </w:r>
      <w:proofErr w:type="spellEnd"/>
      <w:r>
        <w:rPr>
          <w:sz w:val="44"/>
          <w:szCs w:val="44"/>
        </w:rPr>
        <w:t xml:space="preserve"> 2.1.66-68</w:t>
      </w:r>
    </w:p>
    <w:p w14:paraId="4267BA21" w14:textId="456E115D" w:rsidR="00FF07F4" w:rsidRDefault="00FF07F4" w:rsidP="00FF07F4">
      <w:pPr>
        <w:jc w:val="center"/>
      </w:pPr>
      <w:r>
        <w:t>University of Wales Trinity St David</w:t>
      </w:r>
    </w:p>
    <w:p w14:paraId="6158192F" w14:textId="77777777" w:rsidR="00FF07F4" w:rsidRDefault="00FF07F4"/>
    <w:p w14:paraId="0951C499" w14:textId="77777777" w:rsidR="00FF07F4" w:rsidRDefault="00FF07F4"/>
    <w:p w14:paraId="2F00AD44" w14:textId="77777777" w:rsidR="00FF07F4" w:rsidRDefault="00FF07F4"/>
    <w:p w14:paraId="54A266AE" w14:textId="77777777" w:rsidR="00FF07F4" w:rsidRDefault="00FF07F4"/>
    <w:p w14:paraId="34E5B43A" w14:textId="77777777" w:rsidR="00FF07F4" w:rsidRDefault="00FF07F4"/>
    <w:p w14:paraId="0F52AB98" w14:textId="77777777" w:rsidR="00FF07F4" w:rsidRDefault="00FF07F4"/>
    <w:p w14:paraId="62A3F86F" w14:textId="77777777" w:rsidR="00FF07F4" w:rsidRDefault="00FF07F4"/>
    <w:p w14:paraId="7CFCF3BC" w14:textId="77777777" w:rsidR="00FF07F4" w:rsidRDefault="00FF07F4"/>
    <w:p w14:paraId="4584BCE7" w14:textId="77777777" w:rsidR="00FF07F4" w:rsidRDefault="00FF07F4"/>
    <w:p w14:paraId="5CA5F736" w14:textId="77777777" w:rsidR="00FF07F4" w:rsidRDefault="00FF07F4"/>
    <w:p w14:paraId="1DE1A264" w14:textId="77777777" w:rsidR="00FF07F4" w:rsidRDefault="00FF07F4"/>
    <w:p w14:paraId="7C23F0E8" w14:textId="77777777" w:rsidR="00FF07F4" w:rsidRDefault="00FF07F4"/>
    <w:p w14:paraId="209D65F4" w14:textId="77777777" w:rsidR="00FF07F4" w:rsidRDefault="00FF07F4"/>
    <w:p w14:paraId="7A648154" w14:textId="77777777" w:rsidR="00FF07F4" w:rsidRDefault="00FF07F4"/>
    <w:p w14:paraId="4A6850F8" w14:textId="76740474" w:rsidR="00FF07F4" w:rsidRDefault="00FF07F4">
      <w:r>
        <w:t>Brent J. Broadnax</w:t>
      </w:r>
    </w:p>
    <w:p w14:paraId="1C029C69" w14:textId="0BDC58E2" w:rsidR="00FF07F4" w:rsidRDefault="00FF07F4">
      <w:r>
        <w:t>October 2</w:t>
      </w:r>
      <w:r w:rsidR="00C93F79">
        <w:t>4</w:t>
      </w:r>
      <w:r w:rsidRPr="00FF07F4">
        <w:rPr>
          <w:vertAlign w:val="superscript"/>
        </w:rPr>
        <w:t>th</w:t>
      </w:r>
      <w:r>
        <w:t>, 202</w:t>
      </w:r>
      <w:r w:rsidR="00C93F79">
        <w:t>6</w:t>
      </w:r>
    </w:p>
    <w:p w14:paraId="610515AF" w14:textId="6216FC68" w:rsidR="00FF07F4" w:rsidRDefault="00FF07F4">
      <w:r>
        <w:br w:type="page"/>
      </w:r>
      <w:r>
        <w:lastRenderedPageBreak/>
        <w:t>Introduction</w:t>
      </w:r>
    </w:p>
    <w:p w14:paraId="4075E8B0" w14:textId="3D9F5CD3" w:rsidR="007A42D8" w:rsidRDefault="006B714D">
      <w:r w:rsidRPr="006B714D">
        <w:t xml:space="preserve">The ill-fated dinner at </w:t>
      </w:r>
      <w:proofErr w:type="spellStart"/>
      <w:r w:rsidRPr="006B714D">
        <w:t>Lampsacus</w:t>
      </w:r>
      <w:proofErr w:type="spellEnd"/>
      <w:r w:rsidRPr="006B714D">
        <w:t xml:space="preserve"> is more than a vivid anecdote in Cicero's indictment of Verres — it is a case study in how register itself becomes argument. Cicero deliberately shifts tone and syntax across the episode: from vivid, paratactic narrative (§66–67) to dense, legalistic indirect discourse (§68), paired with increasingly moralistic language (</w:t>
      </w:r>
      <w:proofErr w:type="spellStart"/>
      <w:r w:rsidRPr="006B714D">
        <w:rPr>
          <w:i/>
          <w:iCs/>
        </w:rPr>
        <w:t>pudicitia</w:t>
      </w:r>
      <w:proofErr w:type="spellEnd"/>
      <w:r w:rsidRPr="006B714D">
        <w:rPr>
          <w:i/>
          <w:iCs/>
        </w:rPr>
        <w:t xml:space="preserve"> </w:t>
      </w:r>
      <w:proofErr w:type="spellStart"/>
      <w:r w:rsidRPr="006B714D">
        <w:rPr>
          <w:i/>
          <w:iCs/>
        </w:rPr>
        <w:t>liberorum</w:t>
      </w:r>
      <w:proofErr w:type="spellEnd"/>
      <w:r w:rsidRPr="006B714D">
        <w:t>). This shift transforms what begins as a private sexual outrage into evidence of systemic imperial failure, converting a single disgraceful dinner party into a referendum on whether Verres can be trusted with Roman power at all.</w:t>
      </w:r>
    </w:p>
    <w:p w14:paraId="53792C01" w14:textId="77777777" w:rsidR="008D4F4B" w:rsidRDefault="008D4F4B">
      <w:pPr>
        <w:rPr>
          <w:rFonts w:cs="Arial"/>
          <w:color w:val="000000"/>
        </w:rPr>
      </w:pPr>
    </w:p>
    <w:p w14:paraId="0C67F935" w14:textId="4335013E" w:rsidR="007A42D8" w:rsidRDefault="007A42D8">
      <w:pPr>
        <w:rPr>
          <w:rFonts w:cs="Arial"/>
          <w:color w:val="000000"/>
        </w:rPr>
      </w:pPr>
      <w:r>
        <w:rPr>
          <w:rFonts w:cs="Arial"/>
          <w:color w:val="000000"/>
        </w:rPr>
        <w:t>Context</w:t>
      </w:r>
    </w:p>
    <w:p w14:paraId="7FFD60A7" w14:textId="4150B995" w:rsidR="006B714D" w:rsidRDefault="006B714D" w:rsidP="006B714D">
      <w:r w:rsidRPr="006B714D">
        <w:t xml:space="preserve">The </w:t>
      </w:r>
      <w:proofErr w:type="spellStart"/>
      <w:r w:rsidRPr="006B714D">
        <w:t>Lampsacus</w:t>
      </w:r>
      <w:proofErr w:type="spellEnd"/>
      <w:r w:rsidRPr="006B714D">
        <w:t xml:space="preserve"> incident occurred roughly a decade before the Sicilian governorship that</w:t>
      </w:r>
      <w:r>
        <w:t xml:space="preserve"> </w:t>
      </w:r>
      <w:r w:rsidRPr="006B714D">
        <w:t xml:space="preserve">forms the bulk of Cicero's indictment, while Verres served as legate under Gaius Dolabella, likely in 80–79 BCE. Cicero places this earlier material strategically at the start of </w:t>
      </w:r>
      <w:proofErr w:type="spellStart"/>
      <w:r w:rsidRPr="006B714D">
        <w:rPr>
          <w:i/>
          <w:iCs/>
        </w:rPr>
        <w:t>Actio</w:t>
      </w:r>
      <w:proofErr w:type="spellEnd"/>
      <w:r w:rsidRPr="006B714D">
        <w:rPr>
          <w:i/>
          <w:iCs/>
        </w:rPr>
        <w:t xml:space="preserve"> II</w:t>
      </w:r>
      <w:r w:rsidRPr="006B714D">
        <w:t>, using it as character evidence before turning to the financially</w:t>
      </w:r>
      <w:r>
        <w:t xml:space="preserve"> </w:t>
      </w:r>
      <w:r w:rsidRPr="006B714D">
        <w:t xml:space="preserve">substantive extortion charges that follow. This structural choice matters: Cicero is not simply narrating events in chronological order but deliberately front-loading moral material ahead of legal material, shaping how the jury will receive the technical charges once they arrive. </w:t>
      </w:r>
    </w:p>
    <w:p w14:paraId="755F5111" w14:textId="33BCB4F4" w:rsidR="009B2DA4" w:rsidRDefault="006B714D" w:rsidP="006B714D">
      <w:r w:rsidRPr="006B714D">
        <w:t xml:space="preserve">The regional setting intensifies the stakes of the episode considerably. </w:t>
      </w:r>
      <w:proofErr w:type="spellStart"/>
      <w:r w:rsidRPr="006B714D">
        <w:t>Lampsacus</w:t>
      </w:r>
      <w:proofErr w:type="spellEnd"/>
      <w:r w:rsidRPr="006B714D">
        <w:t xml:space="preserve"> lay near the Hellespont, in a province still shadowed by recent trauma: during the First Mithridatic War (89–85 BCE), Mithridates VI of Pontus orchestrated the massacre of an estimated tens of thousands of Romans and Italians living across Asia Minor, an event later termed the "Asian Vespers" (88 BCE). Rome's subsequent reassertion of control in the region depended heavily on fragile relationships with allied Greek communities, whose cooperation — securing grain supply, tax revenue, and basic provincial stability — could not be taken for granted (Kallet-Marx, 1995). Against this backdrop, a Roman legate's misconduct toward an allied town was not merely a private disgrace; it carried the live possibility of reigniting exactly the kind of unrest Rome had</w:t>
      </w:r>
      <w:r w:rsidR="009B2DA4">
        <w:t xml:space="preserve"> </w:t>
      </w:r>
      <w:r w:rsidRPr="006B714D">
        <w:t xml:space="preserve">only recently, and violently, survived. This is almost certainly why Cicero works so hard, as noted in lecture, to frame the </w:t>
      </w:r>
      <w:proofErr w:type="spellStart"/>
      <w:r w:rsidRPr="006B714D">
        <w:t>Lampsacenes</w:t>
      </w:r>
      <w:proofErr w:type="spellEnd"/>
      <w:r w:rsidRPr="006B714D">
        <w:t xml:space="preserve"> as unusually peaceable and slow to anger — he is managing the optics of provincial volatility rather than denying that the danger was real. </w:t>
      </w:r>
    </w:p>
    <w:p w14:paraId="0EE1AA97" w14:textId="77777777" w:rsidR="009B2DA4" w:rsidRDefault="006B714D" w:rsidP="006B714D">
      <w:r w:rsidRPr="006B714D">
        <w:t xml:space="preserve">Legally, the episode falls outside the technical scope of the </w:t>
      </w:r>
      <w:r w:rsidRPr="006B714D">
        <w:rPr>
          <w:i/>
          <w:iCs/>
        </w:rPr>
        <w:t xml:space="preserve">res </w:t>
      </w:r>
      <w:proofErr w:type="spellStart"/>
      <w:r w:rsidRPr="006B714D">
        <w:rPr>
          <w:i/>
          <w:iCs/>
        </w:rPr>
        <w:t>repetundae</w:t>
      </w:r>
      <w:proofErr w:type="spellEnd"/>
      <w:r w:rsidRPr="006B714D">
        <w:t xml:space="preserve"> charge, which required proof of unlawful financial extortion rather than evidence of general misconduct. Cicero includes it nonetheless because Roman forensic oratory rewarded character evidence — establishing a defendant's </w:t>
      </w:r>
      <w:r w:rsidRPr="006B714D">
        <w:rPr>
          <w:i/>
          <w:iCs/>
        </w:rPr>
        <w:t>mores</w:t>
      </w:r>
      <w:r w:rsidRPr="006B714D">
        <w:t xml:space="preserve"> — as persuasive groundwork laid before the legally dispositive material is argued. </w:t>
      </w:r>
      <w:proofErr w:type="spellStart"/>
      <w:r w:rsidRPr="006B714D">
        <w:t>Gildenhard</w:t>
      </w:r>
      <w:proofErr w:type="spellEnd"/>
      <w:r w:rsidRPr="006B714D">
        <w:t xml:space="preserve"> (2011, ad loc.) frames the episode in </w:t>
      </w:r>
      <w:r w:rsidRPr="006B714D">
        <w:lastRenderedPageBreak/>
        <w:t xml:space="preserve">precisely these terms: an emotive primer that secures the jury's moral judgment of Verres before the Sicilian extortion case proper is made. </w:t>
      </w:r>
    </w:p>
    <w:p w14:paraId="5650DE74" w14:textId="77777777" w:rsidR="009B2DA4" w:rsidRDefault="006B714D" w:rsidP="006B714D">
      <w:proofErr w:type="spellStart"/>
      <w:r w:rsidRPr="006B714D">
        <w:t>Gildenhard</w:t>
      </w:r>
      <w:proofErr w:type="spellEnd"/>
      <w:r w:rsidRPr="006B714D">
        <w:t xml:space="preserve"> also identifies a genuine interpretive ambiguity at the heart of the episode: whether the riot resulted from a deliberate scheme by Verres and </w:t>
      </w:r>
      <w:proofErr w:type="spellStart"/>
      <w:r w:rsidRPr="006B714D">
        <w:t>Rubrius</w:t>
      </w:r>
      <w:proofErr w:type="spellEnd"/>
      <w:r w:rsidRPr="006B714D">
        <w:t xml:space="preserve"> to assault </w:t>
      </w:r>
      <w:proofErr w:type="spellStart"/>
      <w:r w:rsidRPr="006B714D">
        <w:t>Philodamus's</w:t>
      </w:r>
      <w:proofErr w:type="spellEnd"/>
      <w:r w:rsidRPr="006B714D">
        <w:t xml:space="preserve"> daughter, or from an escalating cultural misunderstanding compounded by differing norms around women's presence at a symposium. Cicero's narrative choices consistently favor the former reading without ever conclusively proving it, relying on unnamed voices, impersonal constructions, and the historic infinitive to generate vividness while remaining evidentially non-committal. This is precisely the terrain Steel (2004) treats with scholarly skepticism, arguing that Cicero's account demands critical rather than straightforward reading — an instinct this essay extends further in its treatment of the lictor's death at §67. </w:t>
      </w:r>
    </w:p>
    <w:p w14:paraId="564F9261" w14:textId="7772ECB2" w:rsidR="006A7DFC" w:rsidRDefault="006B714D">
      <w:r w:rsidRPr="006B714D">
        <w:t>Read against Rome's structural dependence on allied goodwill in a still-unstable province, the episode allows Cicero to fuse private vice and public negligence into a single portrait of systemic unfitness to govern — the foundation on which the thesis of this essay rests.</w:t>
      </w:r>
    </w:p>
    <w:p w14:paraId="0DEAE89D" w14:textId="77777777" w:rsidR="009B2DA4" w:rsidRDefault="009B2DA4"/>
    <w:p w14:paraId="42960F5E" w14:textId="77777777" w:rsidR="00A251D3" w:rsidRPr="00A251D3" w:rsidRDefault="00A251D3">
      <w:r w:rsidRPr="00A251D3">
        <w:t xml:space="preserve">Close Reading: §66–67 </w:t>
      </w:r>
    </w:p>
    <w:p w14:paraId="70E2FC06" w14:textId="526688AC" w:rsidR="0091063E" w:rsidRDefault="00A251D3">
      <w:r w:rsidRPr="00A251D3">
        <w:t xml:space="preserve">The </w:t>
      </w:r>
      <w:proofErr w:type="spellStart"/>
      <w:r w:rsidRPr="00A251D3">
        <w:t>Lampsacus</w:t>
      </w:r>
      <w:proofErr w:type="spellEnd"/>
      <w:r w:rsidRPr="00A251D3">
        <w:t xml:space="preserve"> dinner begins as an exercise in Roman hospitality rewarded with betrayal. </w:t>
      </w:r>
      <w:proofErr w:type="spellStart"/>
      <w:r w:rsidRPr="00A251D3">
        <w:t>Philodamus</w:t>
      </w:r>
      <w:proofErr w:type="spellEnd"/>
      <w:r w:rsidRPr="00A251D3">
        <w:t xml:space="preserve">, by all indications a generous and socially competent host, is ambushed not with force but with a single, deceptively polite question from </w:t>
      </w:r>
      <w:proofErr w:type="spellStart"/>
      <w:r w:rsidRPr="00A251D3">
        <w:t>Rubrius</w:t>
      </w:r>
      <w:proofErr w:type="spellEnd"/>
      <w:r w:rsidRPr="00A251D3">
        <w:t xml:space="preserve">: </w:t>
      </w:r>
      <w:r w:rsidRPr="00A251D3">
        <w:rPr>
          <w:i/>
          <w:iCs/>
        </w:rPr>
        <w:t>"</w:t>
      </w:r>
      <w:proofErr w:type="spellStart"/>
      <w:r w:rsidRPr="00A251D3">
        <w:rPr>
          <w:i/>
          <w:iCs/>
        </w:rPr>
        <w:t>Quaeso</w:t>
      </w:r>
      <w:proofErr w:type="spellEnd"/>
      <w:r w:rsidRPr="00A251D3">
        <w:rPr>
          <w:i/>
          <w:iCs/>
        </w:rPr>
        <w:t xml:space="preserve">, </w:t>
      </w:r>
      <w:proofErr w:type="spellStart"/>
      <w:r w:rsidRPr="00A251D3">
        <w:rPr>
          <w:i/>
          <w:iCs/>
        </w:rPr>
        <w:t>Philodame</w:t>
      </w:r>
      <w:proofErr w:type="spellEnd"/>
      <w:r w:rsidRPr="00A251D3">
        <w:rPr>
          <w:i/>
          <w:iCs/>
        </w:rPr>
        <w:t xml:space="preserve">, cur ad </w:t>
      </w:r>
      <w:proofErr w:type="spellStart"/>
      <w:r w:rsidRPr="00A251D3">
        <w:rPr>
          <w:i/>
          <w:iCs/>
        </w:rPr>
        <w:t>nos</w:t>
      </w:r>
      <w:proofErr w:type="spellEnd"/>
      <w:r w:rsidRPr="00A251D3">
        <w:rPr>
          <w:i/>
          <w:iCs/>
        </w:rPr>
        <w:t xml:space="preserve"> </w:t>
      </w:r>
      <w:proofErr w:type="spellStart"/>
      <w:r w:rsidRPr="00A251D3">
        <w:rPr>
          <w:i/>
          <w:iCs/>
        </w:rPr>
        <w:t>filiam</w:t>
      </w:r>
      <w:proofErr w:type="spellEnd"/>
      <w:r w:rsidRPr="00A251D3">
        <w:rPr>
          <w:i/>
          <w:iCs/>
        </w:rPr>
        <w:t xml:space="preserve"> </w:t>
      </w:r>
      <w:proofErr w:type="spellStart"/>
      <w:r w:rsidRPr="00A251D3">
        <w:rPr>
          <w:i/>
          <w:iCs/>
        </w:rPr>
        <w:t>tuam</w:t>
      </w:r>
      <w:proofErr w:type="spellEnd"/>
      <w:r w:rsidRPr="00A251D3">
        <w:rPr>
          <w:i/>
          <w:iCs/>
        </w:rPr>
        <w:t xml:space="preserve"> non intro </w:t>
      </w:r>
      <w:proofErr w:type="spellStart"/>
      <w:r w:rsidRPr="00A251D3">
        <w:rPr>
          <w:i/>
          <w:iCs/>
        </w:rPr>
        <w:t>vocari</w:t>
      </w:r>
      <w:proofErr w:type="spellEnd"/>
      <w:r w:rsidRPr="00A251D3">
        <w:rPr>
          <w:i/>
          <w:iCs/>
        </w:rPr>
        <w:t xml:space="preserve"> </w:t>
      </w:r>
      <w:proofErr w:type="spellStart"/>
      <w:r w:rsidRPr="00A251D3">
        <w:rPr>
          <w:i/>
          <w:iCs/>
        </w:rPr>
        <w:t>iubes</w:t>
      </w:r>
      <w:proofErr w:type="spellEnd"/>
      <w:r w:rsidRPr="00A251D3">
        <w:rPr>
          <w:i/>
          <w:iCs/>
        </w:rPr>
        <w:t>?"</w:t>
      </w:r>
      <w:r w:rsidRPr="00A251D3">
        <w:t xml:space="preserve"> The courtesy of the phrasing — </w:t>
      </w:r>
      <w:proofErr w:type="spellStart"/>
      <w:r w:rsidRPr="00A251D3">
        <w:rPr>
          <w:i/>
          <w:iCs/>
        </w:rPr>
        <w:t>quaeso</w:t>
      </w:r>
      <w:proofErr w:type="spellEnd"/>
      <w:r w:rsidRPr="00A251D3">
        <w:t xml:space="preserve">, a request, not a demand — is itself part of the violation; </w:t>
      </w:r>
      <w:proofErr w:type="spellStart"/>
      <w:r w:rsidRPr="00A251D3">
        <w:t>Rubrius</w:t>
      </w:r>
      <w:proofErr w:type="spellEnd"/>
      <w:r w:rsidRPr="00A251D3">
        <w:t xml:space="preserve"> weaponizes the vocabulary of polite social exchange to make an outrageous demand sound almost reasonable, forcing </w:t>
      </w:r>
      <w:proofErr w:type="spellStart"/>
      <w:r w:rsidRPr="00A251D3">
        <w:t>Philodamus</w:t>
      </w:r>
      <w:proofErr w:type="spellEnd"/>
      <w:r w:rsidRPr="00A251D3">
        <w:t xml:space="preserve"> into a position where any refusal will appear to be the breach of manners rather than the request itself. </w:t>
      </w:r>
      <w:proofErr w:type="spellStart"/>
      <w:r w:rsidRPr="00A251D3">
        <w:t>Philodamus's</w:t>
      </w:r>
      <w:proofErr w:type="spellEnd"/>
      <w:r w:rsidRPr="00A251D3">
        <w:t xml:space="preserve"> response, </w:t>
      </w:r>
      <w:proofErr w:type="spellStart"/>
      <w:r w:rsidRPr="00A251D3">
        <w:rPr>
          <w:i/>
          <w:iCs/>
        </w:rPr>
        <w:t>obstipuit</w:t>
      </w:r>
      <w:proofErr w:type="spellEnd"/>
      <w:r w:rsidRPr="00A251D3">
        <w:t>, is worth pausing on. The verb denotes a stunned, almost paralyzed shock — not fear exactly, but disorientation, the reaction of a man whose understanding of the social rules governing his own house has just been proven wrong in real time. That he follows this with a calm, culturally grounded excuse — that Greek custom does not permit women's presence at a men's symposium — reinforces his characterization as reasonable and competent; he is not improvising an excuse but drawing on genuine social norms, trying to de-escalate the situation from within the only framework he has.</w:t>
      </w:r>
    </w:p>
    <w:p w14:paraId="294B75BB" w14:textId="406A1913" w:rsidR="00A251D3" w:rsidRDefault="00A251D3">
      <w:pPr>
        <w:rPr>
          <w:rFonts w:cs="Arial"/>
          <w:color w:val="000000"/>
        </w:rPr>
      </w:pPr>
      <w:r w:rsidRPr="00A251D3">
        <w:rPr>
          <w:rFonts w:cs="Arial"/>
          <w:color w:val="000000"/>
        </w:rPr>
        <w:t xml:space="preserve">What follows is telling in a different way. An anonymous heckler from within the room overrides </w:t>
      </w:r>
      <w:proofErr w:type="spellStart"/>
      <w:r w:rsidRPr="00A251D3">
        <w:rPr>
          <w:rFonts w:cs="Arial"/>
          <w:color w:val="000000"/>
        </w:rPr>
        <w:t>Philodamus's</w:t>
      </w:r>
      <w:proofErr w:type="spellEnd"/>
      <w:r w:rsidRPr="00A251D3">
        <w:rPr>
          <w:rFonts w:cs="Arial"/>
          <w:color w:val="000000"/>
        </w:rPr>
        <w:t xml:space="preserve"> explanation, and shortly after, the doors are shut and guarded. Cicero's narration here is instructive for what it withholds: the heckler is never named, and </w:t>
      </w:r>
      <w:r w:rsidRPr="00A251D3">
        <w:rPr>
          <w:rFonts w:cs="Arial"/>
          <w:color w:val="000000"/>
        </w:rPr>
        <w:lastRenderedPageBreak/>
        <w:t>at no point does Cicero explicitly place Verres in the room issuing commands. Agency is</w:t>
      </w:r>
      <w:r>
        <w:rPr>
          <w:rFonts w:cs="Arial"/>
          <w:color w:val="000000"/>
        </w:rPr>
        <w:t xml:space="preserve"> </w:t>
      </w:r>
      <w:r w:rsidRPr="00A251D3">
        <w:rPr>
          <w:rFonts w:cs="Arial"/>
          <w:color w:val="000000"/>
        </w:rPr>
        <w:t xml:space="preserve">diffused — distributed across </w:t>
      </w:r>
      <w:r w:rsidR="00936571">
        <w:rPr>
          <w:rFonts w:cs="Arial"/>
          <w:color w:val="000000"/>
        </w:rPr>
        <w:t xml:space="preserve">largely </w:t>
      </w:r>
      <w:r w:rsidRPr="00A251D3">
        <w:rPr>
          <w:rFonts w:cs="Arial"/>
          <w:color w:val="000000"/>
        </w:rPr>
        <w:t xml:space="preserve">unnamed voices and impersonal actions — precisely </w:t>
      </w:r>
      <w:proofErr w:type="gramStart"/>
      <w:r w:rsidRPr="00A251D3">
        <w:rPr>
          <w:rFonts w:cs="Arial"/>
          <w:color w:val="000000"/>
        </w:rPr>
        <w:t>at the moment</w:t>
      </w:r>
      <w:proofErr w:type="gramEnd"/>
      <w:r w:rsidRPr="00A251D3">
        <w:rPr>
          <w:rFonts w:cs="Arial"/>
          <w:color w:val="000000"/>
        </w:rPr>
        <w:t xml:space="preserve"> the scene turns coercive. This diffusion recurs throughout the episode and is not incidental; it allows Cicero to generate vivid, damning narrative momentum while insulating the specific claims from being pinned down and challenged. The doors closing deserve a brief note here as well: this is the first instance of a motif that will recur at the episode's end, when the mob besieges and ultimately burns the doors of Verres's own lodging at §69. Domestic space, violated here as a mechanism of entrapment, returns later as a site of retribution — a structural symmetry worth flagging now and returning to only briefly later, since it should not compete with the episode's central argument for word count or attention.</w:t>
      </w:r>
    </w:p>
    <w:p w14:paraId="5669DFFF" w14:textId="28E7F3BE" w:rsidR="00A251D3" w:rsidRDefault="00A251D3">
      <w:pPr>
        <w:rPr>
          <w:rFonts w:cs="Arial"/>
          <w:color w:val="000000"/>
        </w:rPr>
      </w:pPr>
      <w:r w:rsidRPr="00A251D3">
        <w:rPr>
          <w:rFonts w:cs="Arial"/>
          <w:color w:val="000000"/>
        </w:rPr>
        <w:t xml:space="preserve">The scene's register shifts decisively once the violence begins. </w:t>
      </w:r>
      <w:proofErr w:type="spellStart"/>
      <w:r w:rsidRPr="00A251D3">
        <w:rPr>
          <w:rFonts w:cs="Arial"/>
          <w:color w:val="000000"/>
        </w:rPr>
        <w:t>Philodamus's</w:t>
      </w:r>
      <w:proofErr w:type="spellEnd"/>
      <w:r w:rsidRPr="00A251D3">
        <w:rPr>
          <w:rFonts w:cs="Arial"/>
          <w:color w:val="000000"/>
        </w:rPr>
        <w:t xml:space="preserve"> instructions to his household are not self-preserving but protective of his daughter — he orders his slaves to save her, not him — and the narration that follows moves in short, paratactic bursts: the household erupts, </w:t>
      </w:r>
      <w:proofErr w:type="spellStart"/>
      <w:r w:rsidRPr="00A251D3">
        <w:rPr>
          <w:rFonts w:cs="Arial"/>
          <w:color w:val="000000"/>
        </w:rPr>
        <w:t>Rubrius</w:t>
      </w:r>
      <w:proofErr w:type="spellEnd"/>
      <w:r w:rsidRPr="00A251D3">
        <w:rPr>
          <w:rFonts w:cs="Arial"/>
          <w:color w:val="000000"/>
        </w:rPr>
        <w:t xml:space="preserve"> scalds him with boiling water, the son escapes to raise the town, the crowd converges on the house. Cicero's syntax enacts the chaos it describes. Clauses are coordinated rather than subordinated, action follows action with minimal connective tissue, and the effect is of events outpacing any attempt to process or rationalize them — which is, of course, exactly the register Cicero needs at this point in the narrative. The reader is meant to experience the scene's velocity, not analyze it; analysis is deferred, strategically, to §68.</w:t>
      </w:r>
    </w:p>
    <w:p w14:paraId="420F334F" w14:textId="595DB996" w:rsidR="00A251D3" w:rsidRDefault="00A251D3">
      <w:pPr>
        <w:rPr>
          <w:rFonts w:cs="Arial"/>
          <w:color w:val="000000"/>
        </w:rPr>
      </w:pPr>
      <w:r w:rsidRPr="00A251D3">
        <w:rPr>
          <w:rFonts w:cs="Arial"/>
          <w:color w:val="000000"/>
        </w:rPr>
        <w:t xml:space="preserve">It is within this rush of violence that the episode's most quietly significant detail occurs: Verres's own lictor, Cornelius, is killed by the crowd — reported in a single verb, </w:t>
      </w:r>
      <w:proofErr w:type="spellStart"/>
      <w:r w:rsidRPr="00A251D3">
        <w:rPr>
          <w:rFonts w:cs="Arial"/>
          <w:i/>
          <w:iCs/>
          <w:color w:val="000000"/>
        </w:rPr>
        <w:t>occiditur</w:t>
      </w:r>
      <w:proofErr w:type="spellEnd"/>
      <w:r w:rsidRPr="00A251D3">
        <w:rPr>
          <w:rFonts w:cs="Arial"/>
          <w:color w:val="000000"/>
        </w:rPr>
        <w:t>, with none of the emotional elaboration Cicero lavishes on every other casualty and indignity in the scene. This is a detail that should, by any</w:t>
      </w:r>
      <w:r>
        <w:rPr>
          <w:rFonts w:cs="Arial"/>
          <w:color w:val="000000"/>
        </w:rPr>
        <w:t xml:space="preserve"> </w:t>
      </w:r>
      <w:r w:rsidRPr="00A251D3">
        <w:rPr>
          <w:rFonts w:cs="Arial"/>
          <w:color w:val="000000"/>
        </w:rPr>
        <w:t xml:space="preserve">ordinary narrative logic, demand more attention than it receives. A lictor is not an incidental figure; he is the visible symbol of Roman magisterial authority, the fasces-bearer whose presence marks the legitimate exercise of Roman power. That he dies not in defense of law or order but in the service of Verres's and </w:t>
      </w:r>
      <w:proofErr w:type="spellStart"/>
      <w:r w:rsidRPr="00A251D3">
        <w:rPr>
          <w:rFonts w:cs="Arial"/>
          <w:color w:val="000000"/>
        </w:rPr>
        <w:t>Rubrius's</w:t>
      </w:r>
      <w:proofErr w:type="spellEnd"/>
      <w:r w:rsidRPr="00A251D3">
        <w:rPr>
          <w:rFonts w:cs="Arial"/>
          <w:color w:val="000000"/>
        </w:rPr>
        <w:t xml:space="preserve"> sexual predation is, structurally, an embarrassment to Cicero's case — a dead Roman citizen is a detail that could just as easily generate sympathy for Verres's side, or at minimum complicate the straightforward villain/victim framing Cicero needs the jury to accept. His clinical, almost perfunctory treatment of the death is therefore not an oversight but a rhetorical choice: Cicero minimizes narrative attention to precisely the detail that cuts against his own argument.</w:t>
      </w:r>
    </w:p>
    <w:p w14:paraId="5E758DB8" w14:textId="54B5B60A" w:rsidR="00A251D3" w:rsidRDefault="00A251D3">
      <w:pPr>
        <w:rPr>
          <w:rFonts w:cs="Arial"/>
          <w:color w:val="000000"/>
        </w:rPr>
      </w:pPr>
      <w:r w:rsidRPr="00A251D3">
        <w:rPr>
          <w:rFonts w:cs="Arial"/>
          <w:color w:val="000000"/>
        </w:rPr>
        <w:t xml:space="preserve">This supports, and productively extends, Steel's broader argument that Cicero's account of the </w:t>
      </w:r>
      <w:proofErr w:type="spellStart"/>
      <w:r w:rsidRPr="00A251D3">
        <w:rPr>
          <w:rFonts w:cs="Arial"/>
          <w:color w:val="000000"/>
        </w:rPr>
        <w:t>Lampsacus</w:t>
      </w:r>
      <w:proofErr w:type="spellEnd"/>
      <w:r w:rsidRPr="00A251D3">
        <w:rPr>
          <w:rFonts w:cs="Arial"/>
          <w:color w:val="000000"/>
        </w:rPr>
        <w:t xml:space="preserve"> episode cannot be taken as straightforward reportage and instead </w:t>
      </w:r>
      <w:r w:rsidRPr="00A251D3">
        <w:rPr>
          <w:rFonts w:cs="Arial"/>
          <w:color w:val="000000"/>
        </w:rPr>
        <w:lastRenderedPageBreak/>
        <w:t xml:space="preserve">demands skeptical, critical reading (Steel, 2004, p. 233). Steel's case rests primarily on the evidentiary looseness of Cicero's narrative — unnamed witnesses, impersonal constructions, the convenient absence of Verres from the room at key moments. The lictor's death offers a further, more precise instance of the same underlying strategy: where Steel identifies gaps and ambiguities Cicero leaves unresolved, the treatment of Cornelius shows Cicero actively managing a detail that is </w:t>
      </w:r>
      <w:r w:rsidRPr="00A251D3">
        <w:rPr>
          <w:rFonts w:cs="Arial"/>
          <w:i/>
          <w:iCs/>
          <w:color w:val="000000"/>
        </w:rPr>
        <w:t>not</w:t>
      </w:r>
      <w:r w:rsidRPr="00A251D3">
        <w:rPr>
          <w:rFonts w:cs="Arial"/>
          <w:color w:val="000000"/>
        </w:rPr>
        <w:t xml:space="preserve"> ambiguous — the death is reported, not hidden — but is deliberately under-narrated relative to its actual significance. This is Cicero's register control operating at its most visible: he does not suppress the inconvenient fact, he simply refuses to dwell on it, trusting the momentum of the surrounding violence to carry the reader past it without pause.</w:t>
      </w:r>
    </w:p>
    <w:p w14:paraId="006AEBE0" w14:textId="77777777" w:rsidR="00A251D3" w:rsidRDefault="00A251D3">
      <w:pPr>
        <w:rPr>
          <w:rFonts w:cs="Arial"/>
          <w:color w:val="000000"/>
        </w:rPr>
      </w:pPr>
    </w:p>
    <w:p w14:paraId="2153E474" w14:textId="75AB46EB" w:rsidR="00A251D3" w:rsidRDefault="00A251D3">
      <w:pPr>
        <w:rPr>
          <w:rFonts w:cs="Arial"/>
          <w:color w:val="000000"/>
        </w:rPr>
      </w:pPr>
      <w:r w:rsidRPr="00A251D3">
        <w:rPr>
          <w:rFonts w:cs="Arial"/>
          <w:color w:val="000000"/>
        </w:rPr>
        <w:t>Close Reading: §68</w:t>
      </w:r>
    </w:p>
    <w:p w14:paraId="3E00EEBB" w14:textId="3A09671F" w:rsidR="00A251D3" w:rsidRDefault="00A251D3">
      <w:pPr>
        <w:rPr>
          <w:rFonts w:cs="Arial"/>
          <w:color w:val="000000"/>
        </w:rPr>
      </w:pPr>
      <w:r w:rsidRPr="00A251D3">
        <w:rPr>
          <w:rFonts w:cs="Arial"/>
          <w:color w:val="000000"/>
        </w:rPr>
        <w:t>Having established, through pace and register, the emotional register of the riot, Cicero pivots the narrative sharply at §68. The short,</w:t>
      </w:r>
      <w:r>
        <w:rPr>
          <w:rFonts w:cs="Arial"/>
          <w:color w:val="000000"/>
        </w:rPr>
        <w:t xml:space="preserve"> </w:t>
      </w:r>
      <w:r w:rsidRPr="00A251D3">
        <w:rPr>
          <w:rFonts w:cs="Arial"/>
          <w:color w:val="000000"/>
        </w:rPr>
        <w:t xml:space="preserve">coordinated, indicative clauses of §66–67 give way to indirect discourse and extended periodic sentences — a shift that is immediate and total, not gradual. The </w:t>
      </w:r>
      <w:proofErr w:type="spellStart"/>
      <w:r w:rsidRPr="00A251D3">
        <w:rPr>
          <w:rFonts w:cs="Arial"/>
          <w:color w:val="000000"/>
        </w:rPr>
        <w:t>Lampsacenes</w:t>
      </w:r>
      <w:proofErr w:type="spellEnd"/>
      <w:r w:rsidRPr="00A251D3">
        <w:rPr>
          <w:rFonts w:cs="Arial"/>
          <w:color w:val="000000"/>
        </w:rPr>
        <w:t xml:space="preserve"> are no longer actors within a scene of chaos; they become, through </w:t>
      </w:r>
      <w:proofErr w:type="spellStart"/>
      <w:r w:rsidRPr="00A251D3">
        <w:rPr>
          <w:rFonts w:cs="Arial"/>
          <w:i/>
          <w:iCs/>
          <w:color w:val="000000"/>
        </w:rPr>
        <w:t>oratio</w:t>
      </w:r>
      <w:proofErr w:type="spellEnd"/>
      <w:r w:rsidRPr="00A251D3">
        <w:rPr>
          <w:rFonts w:cs="Arial"/>
          <w:i/>
          <w:iCs/>
          <w:color w:val="000000"/>
        </w:rPr>
        <w:t xml:space="preserve"> </w:t>
      </w:r>
      <w:proofErr w:type="spellStart"/>
      <w:r w:rsidRPr="00A251D3">
        <w:rPr>
          <w:rFonts w:cs="Arial"/>
          <w:i/>
          <w:iCs/>
          <w:color w:val="000000"/>
        </w:rPr>
        <w:t>obliqua</w:t>
      </w:r>
      <w:proofErr w:type="spellEnd"/>
      <w:r w:rsidRPr="00A251D3">
        <w:rPr>
          <w:rFonts w:cs="Arial"/>
          <w:color w:val="000000"/>
        </w:rPr>
        <w:t>, the subjects of a reported collective deliberation. This shift accomplishes something the preceding violence could not: it stages the townspeople as rational political actors engaged in reasoned judgment rather than as victims simply enduring misfortune. For a Roman jury, this distinction carries real persuasive weight — provincials who reason like Romans, who weigh evidence and reach conclusions through recognizable deliberative structures, are easier to extend sympathy to on Roman terms than victims who can only be pitied.</w:t>
      </w:r>
    </w:p>
    <w:p w14:paraId="7C7428BE" w14:textId="2B667F35" w:rsidR="00A251D3" w:rsidRDefault="00A251D3">
      <w:pPr>
        <w:rPr>
          <w:rFonts w:cs="Arial"/>
          <w:color w:val="000000"/>
        </w:rPr>
      </w:pPr>
      <w:r w:rsidRPr="00A251D3">
        <w:rPr>
          <w:rFonts w:cs="Arial"/>
          <w:color w:val="000000"/>
        </w:rPr>
        <w:t xml:space="preserve">The conditional sentence at the heart of this section performs exactly this kind of reasoning: </w:t>
      </w:r>
      <w:r w:rsidRPr="00A251D3">
        <w:rPr>
          <w:rFonts w:cs="Arial"/>
          <w:i/>
          <w:iCs/>
          <w:color w:val="000000"/>
        </w:rPr>
        <w:t>"</w:t>
      </w:r>
      <w:proofErr w:type="spellStart"/>
      <w:r w:rsidRPr="00A251D3">
        <w:rPr>
          <w:rFonts w:cs="Arial"/>
          <w:i/>
          <w:iCs/>
          <w:color w:val="000000"/>
        </w:rPr>
        <w:t>quodsi</w:t>
      </w:r>
      <w:proofErr w:type="spellEnd"/>
      <w:r w:rsidRPr="00A251D3">
        <w:rPr>
          <w:rFonts w:cs="Arial"/>
          <w:i/>
          <w:iCs/>
          <w:color w:val="000000"/>
        </w:rPr>
        <w:t xml:space="preserve"> hoc </w:t>
      </w:r>
      <w:proofErr w:type="spellStart"/>
      <w:r w:rsidRPr="00A251D3">
        <w:rPr>
          <w:rFonts w:cs="Arial"/>
          <w:i/>
          <w:iCs/>
          <w:color w:val="000000"/>
        </w:rPr>
        <w:t>iure</w:t>
      </w:r>
      <w:proofErr w:type="spellEnd"/>
      <w:r w:rsidRPr="00A251D3">
        <w:rPr>
          <w:rFonts w:cs="Arial"/>
          <w:i/>
          <w:iCs/>
          <w:color w:val="000000"/>
        </w:rPr>
        <w:t xml:space="preserve"> </w:t>
      </w:r>
      <w:proofErr w:type="spellStart"/>
      <w:r w:rsidRPr="00A251D3">
        <w:rPr>
          <w:rFonts w:cs="Arial"/>
          <w:i/>
          <w:iCs/>
          <w:color w:val="000000"/>
        </w:rPr>
        <w:t>legati</w:t>
      </w:r>
      <w:proofErr w:type="spellEnd"/>
      <w:r w:rsidRPr="00A251D3">
        <w:rPr>
          <w:rFonts w:cs="Arial"/>
          <w:i/>
          <w:iCs/>
          <w:color w:val="000000"/>
        </w:rPr>
        <w:t xml:space="preserve"> populi Romani in </w:t>
      </w:r>
      <w:proofErr w:type="spellStart"/>
      <w:r w:rsidRPr="00A251D3">
        <w:rPr>
          <w:rFonts w:cs="Arial"/>
          <w:i/>
          <w:iCs/>
          <w:color w:val="000000"/>
        </w:rPr>
        <w:t>socios</w:t>
      </w:r>
      <w:proofErr w:type="spellEnd"/>
      <w:r w:rsidRPr="00A251D3">
        <w:rPr>
          <w:rFonts w:cs="Arial"/>
          <w:i/>
          <w:iCs/>
          <w:color w:val="000000"/>
        </w:rPr>
        <w:t xml:space="preserve"> </w:t>
      </w:r>
      <w:proofErr w:type="spellStart"/>
      <w:r w:rsidRPr="00A251D3">
        <w:rPr>
          <w:rFonts w:cs="Arial"/>
          <w:i/>
          <w:iCs/>
          <w:color w:val="000000"/>
        </w:rPr>
        <w:t>nationesque</w:t>
      </w:r>
      <w:proofErr w:type="spellEnd"/>
      <w:r w:rsidRPr="00A251D3">
        <w:rPr>
          <w:rFonts w:cs="Arial"/>
          <w:i/>
          <w:iCs/>
          <w:color w:val="000000"/>
        </w:rPr>
        <w:t xml:space="preserve"> </w:t>
      </w:r>
      <w:proofErr w:type="spellStart"/>
      <w:r w:rsidRPr="00A251D3">
        <w:rPr>
          <w:rFonts w:cs="Arial"/>
          <w:i/>
          <w:iCs/>
          <w:color w:val="000000"/>
        </w:rPr>
        <w:t>exteras</w:t>
      </w:r>
      <w:proofErr w:type="spellEnd"/>
      <w:r w:rsidRPr="00A251D3">
        <w:rPr>
          <w:rFonts w:cs="Arial"/>
          <w:i/>
          <w:iCs/>
          <w:color w:val="000000"/>
        </w:rPr>
        <w:t xml:space="preserve"> </w:t>
      </w:r>
      <w:proofErr w:type="spellStart"/>
      <w:r w:rsidRPr="00A251D3">
        <w:rPr>
          <w:rFonts w:cs="Arial"/>
          <w:i/>
          <w:iCs/>
          <w:color w:val="000000"/>
        </w:rPr>
        <w:t>uterentur</w:t>
      </w:r>
      <w:proofErr w:type="spellEnd"/>
      <w:r w:rsidRPr="00A251D3">
        <w:rPr>
          <w:rFonts w:cs="Arial"/>
          <w:i/>
          <w:iCs/>
          <w:color w:val="000000"/>
        </w:rPr>
        <w:t xml:space="preserve">, </w:t>
      </w:r>
      <w:proofErr w:type="spellStart"/>
      <w:r w:rsidRPr="00A251D3">
        <w:rPr>
          <w:rFonts w:cs="Arial"/>
          <w:i/>
          <w:iCs/>
          <w:color w:val="000000"/>
        </w:rPr>
        <w:t>ut</w:t>
      </w:r>
      <w:proofErr w:type="spellEnd"/>
      <w:r w:rsidRPr="00A251D3">
        <w:rPr>
          <w:rFonts w:cs="Arial"/>
          <w:i/>
          <w:iCs/>
          <w:color w:val="000000"/>
        </w:rPr>
        <w:t xml:space="preserve"> </w:t>
      </w:r>
      <w:proofErr w:type="spellStart"/>
      <w:r w:rsidRPr="00A251D3">
        <w:rPr>
          <w:rFonts w:cs="Arial"/>
          <w:i/>
          <w:iCs/>
          <w:color w:val="000000"/>
        </w:rPr>
        <w:t>pudicitiam</w:t>
      </w:r>
      <w:proofErr w:type="spellEnd"/>
      <w:r w:rsidRPr="00A251D3">
        <w:rPr>
          <w:rFonts w:cs="Arial"/>
          <w:i/>
          <w:iCs/>
          <w:color w:val="000000"/>
        </w:rPr>
        <w:t xml:space="preserve"> </w:t>
      </w:r>
      <w:proofErr w:type="spellStart"/>
      <w:r w:rsidRPr="00A251D3">
        <w:rPr>
          <w:rFonts w:cs="Arial"/>
          <w:i/>
          <w:iCs/>
          <w:color w:val="000000"/>
        </w:rPr>
        <w:t>liberorum</w:t>
      </w:r>
      <w:proofErr w:type="spellEnd"/>
      <w:r w:rsidRPr="00A251D3">
        <w:rPr>
          <w:rFonts w:cs="Arial"/>
          <w:i/>
          <w:iCs/>
          <w:color w:val="000000"/>
        </w:rPr>
        <w:t xml:space="preserve"> </w:t>
      </w:r>
      <w:proofErr w:type="spellStart"/>
      <w:r w:rsidRPr="00A251D3">
        <w:rPr>
          <w:rFonts w:cs="Arial"/>
          <w:i/>
          <w:iCs/>
          <w:color w:val="000000"/>
        </w:rPr>
        <w:t>servare</w:t>
      </w:r>
      <w:proofErr w:type="spellEnd"/>
      <w:r w:rsidRPr="00A251D3">
        <w:rPr>
          <w:rFonts w:cs="Arial"/>
          <w:i/>
          <w:iCs/>
          <w:color w:val="000000"/>
        </w:rPr>
        <w:t xml:space="preserve"> ab </w:t>
      </w:r>
      <w:proofErr w:type="spellStart"/>
      <w:r w:rsidRPr="00A251D3">
        <w:rPr>
          <w:rFonts w:cs="Arial"/>
          <w:i/>
          <w:iCs/>
          <w:color w:val="000000"/>
        </w:rPr>
        <w:t>eorum</w:t>
      </w:r>
      <w:proofErr w:type="spellEnd"/>
      <w:r w:rsidRPr="00A251D3">
        <w:rPr>
          <w:rFonts w:cs="Arial"/>
          <w:i/>
          <w:iCs/>
          <w:color w:val="000000"/>
        </w:rPr>
        <w:t xml:space="preserve"> </w:t>
      </w:r>
      <w:proofErr w:type="spellStart"/>
      <w:r w:rsidRPr="00A251D3">
        <w:rPr>
          <w:rFonts w:cs="Arial"/>
          <w:i/>
          <w:iCs/>
          <w:color w:val="000000"/>
        </w:rPr>
        <w:t>libidine</w:t>
      </w:r>
      <w:proofErr w:type="spellEnd"/>
      <w:r w:rsidRPr="00A251D3">
        <w:rPr>
          <w:rFonts w:cs="Arial"/>
          <w:i/>
          <w:iCs/>
          <w:color w:val="000000"/>
        </w:rPr>
        <w:t xml:space="preserve"> </w:t>
      </w:r>
      <w:proofErr w:type="spellStart"/>
      <w:r w:rsidRPr="00A251D3">
        <w:rPr>
          <w:rFonts w:cs="Arial"/>
          <w:i/>
          <w:iCs/>
          <w:color w:val="000000"/>
        </w:rPr>
        <w:t>tutam</w:t>
      </w:r>
      <w:proofErr w:type="spellEnd"/>
      <w:r w:rsidRPr="00A251D3">
        <w:rPr>
          <w:rFonts w:cs="Arial"/>
          <w:i/>
          <w:iCs/>
          <w:color w:val="000000"/>
        </w:rPr>
        <w:t xml:space="preserve"> non </w:t>
      </w:r>
      <w:proofErr w:type="spellStart"/>
      <w:r w:rsidRPr="00A251D3">
        <w:rPr>
          <w:rFonts w:cs="Arial"/>
          <w:i/>
          <w:iCs/>
          <w:color w:val="000000"/>
        </w:rPr>
        <w:t>liceret</w:t>
      </w:r>
      <w:proofErr w:type="spellEnd"/>
      <w:r w:rsidRPr="00A251D3">
        <w:rPr>
          <w:rFonts w:cs="Arial"/>
          <w:i/>
          <w:iCs/>
          <w:color w:val="000000"/>
        </w:rPr>
        <w:t xml:space="preserve">, </w:t>
      </w:r>
      <w:proofErr w:type="spellStart"/>
      <w:r w:rsidRPr="00A251D3">
        <w:rPr>
          <w:rFonts w:cs="Arial"/>
          <w:i/>
          <w:iCs/>
          <w:color w:val="000000"/>
        </w:rPr>
        <w:t>quidvis</w:t>
      </w:r>
      <w:proofErr w:type="spellEnd"/>
      <w:r w:rsidRPr="00A251D3">
        <w:rPr>
          <w:rFonts w:cs="Arial"/>
          <w:i/>
          <w:iCs/>
          <w:color w:val="000000"/>
        </w:rPr>
        <w:t xml:space="preserve"> esse </w:t>
      </w:r>
      <w:proofErr w:type="spellStart"/>
      <w:r w:rsidRPr="00A251D3">
        <w:rPr>
          <w:rFonts w:cs="Arial"/>
          <w:i/>
          <w:iCs/>
          <w:color w:val="000000"/>
        </w:rPr>
        <w:t>perpeti</w:t>
      </w:r>
      <w:proofErr w:type="spellEnd"/>
      <w:r w:rsidRPr="00A251D3">
        <w:rPr>
          <w:rFonts w:cs="Arial"/>
          <w:i/>
          <w:iCs/>
          <w:color w:val="000000"/>
        </w:rPr>
        <w:t xml:space="preserve"> </w:t>
      </w:r>
      <w:proofErr w:type="spellStart"/>
      <w:r w:rsidRPr="00A251D3">
        <w:rPr>
          <w:rFonts w:cs="Arial"/>
          <w:i/>
          <w:iCs/>
          <w:color w:val="000000"/>
        </w:rPr>
        <w:t>satius</w:t>
      </w:r>
      <w:proofErr w:type="spellEnd"/>
      <w:r w:rsidRPr="00A251D3">
        <w:rPr>
          <w:rFonts w:cs="Arial"/>
          <w:i/>
          <w:iCs/>
          <w:color w:val="000000"/>
        </w:rPr>
        <w:t xml:space="preserve"> </w:t>
      </w:r>
      <w:proofErr w:type="spellStart"/>
      <w:r w:rsidRPr="00A251D3">
        <w:rPr>
          <w:rFonts w:cs="Arial"/>
          <w:i/>
          <w:iCs/>
          <w:color w:val="000000"/>
        </w:rPr>
        <w:t>quam</w:t>
      </w:r>
      <w:proofErr w:type="spellEnd"/>
      <w:r w:rsidRPr="00A251D3">
        <w:rPr>
          <w:rFonts w:cs="Arial"/>
          <w:i/>
          <w:iCs/>
          <w:color w:val="000000"/>
        </w:rPr>
        <w:t xml:space="preserve"> in </w:t>
      </w:r>
      <w:proofErr w:type="spellStart"/>
      <w:r w:rsidRPr="00A251D3">
        <w:rPr>
          <w:rFonts w:cs="Arial"/>
          <w:i/>
          <w:iCs/>
          <w:color w:val="000000"/>
        </w:rPr>
        <w:t>tanta</w:t>
      </w:r>
      <w:proofErr w:type="spellEnd"/>
      <w:r w:rsidRPr="00A251D3">
        <w:rPr>
          <w:rFonts w:cs="Arial"/>
          <w:i/>
          <w:iCs/>
          <w:color w:val="000000"/>
        </w:rPr>
        <w:t xml:space="preserve"> vi </w:t>
      </w:r>
      <w:proofErr w:type="spellStart"/>
      <w:r w:rsidRPr="00A251D3">
        <w:rPr>
          <w:rFonts w:cs="Arial"/>
          <w:i/>
          <w:iCs/>
          <w:color w:val="000000"/>
        </w:rPr>
        <w:t>atque</w:t>
      </w:r>
      <w:proofErr w:type="spellEnd"/>
      <w:r w:rsidRPr="00A251D3">
        <w:rPr>
          <w:rFonts w:cs="Arial"/>
          <w:i/>
          <w:iCs/>
          <w:color w:val="000000"/>
        </w:rPr>
        <w:t xml:space="preserve"> </w:t>
      </w:r>
      <w:proofErr w:type="spellStart"/>
      <w:r w:rsidRPr="00A251D3">
        <w:rPr>
          <w:rFonts w:cs="Arial"/>
          <w:i/>
          <w:iCs/>
          <w:color w:val="000000"/>
        </w:rPr>
        <w:t>acerbitate</w:t>
      </w:r>
      <w:proofErr w:type="spellEnd"/>
      <w:r w:rsidRPr="00A251D3">
        <w:rPr>
          <w:rFonts w:cs="Arial"/>
          <w:i/>
          <w:iCs/>
          <w:color w:val="000000"/>
        </w:rPr>
        <w:t xml:space="preserve"> </w:t>
      </w:r>
      <w:proofErr w:type="spellStart"/>
      <w:r w:rsidRPr="00A251D3">
        <w:rPr>
          <w:rFonts w:cs="Arial"/>
          <w:i/>
          <w:iCs/>
          <w:color w:val="000000"/>
        </w:rPr>
        <w:t>versari</w:t>
      </w:r>
      <w:proofErr w:type="spellEnd"/>
      <w:r w:rsidRPr="00A251D3">
        <w:rPr>
          <w:rFonts w:cs="Arial"/>
          <w:i/>
          <w:iCs/>
          <w:color w:val="000000"/>
        </w:rPr>
        <w:t>."</w:t>
      </w:r>
      <w:r w:rsidRPr="00A251D3">
        <w:rPr>
          <w:rFonts w:cs="Arial"/>
          <w:color w:val="000000"/>
        </w:rPr>
        <w:t xml:space="preserve"> The structure is a near-syllogism: a conditional premise concerning the hypothetical scope of a Roman legate's authority over allied peoples, a result clause naming the unbearable consequence should that authority extend so far, and a conclusion — that any suffering would be preferable to living under such violence — that reads as a town's considered verdict rather than a cry of anguish. The form itself is the argument: measured, legal, weighed. This is not raw grief rendered in Latin; it is reasoned political judgment rendered in Latin, and the distinction matters for everything Cicero is trying to accomplish with this audience.</w:t>
      </w:r>
    </w:p>
    <w:p w14:paraId="70E38ABB" w14:textId="075A1545" w:rsidR="00A251D3" w:rsidRDefault="00A251D3">
      <w:pPr>
        <w:rPr>
          <w:rFonts w:cs="Arial"/>
          <w:color w:val="000000"/>
        </w:rPr>
      </w:pPr>
      <w:r w:rsidRPr="00A251D3">
        <w:rPr>
          <w:rFonts w:cs="Arial"/>
          <w:color w:val="000000"/>
        </w:rPr>
        <w:lastRenderedPageBreak/>
        <w:t xml:space="preserve">At the center of this sentence sits </w:t>
      </w:r>
      <w:proofErr w:type="spellStart"/>
      <w:r w:rsidRPr="00A251D3">
        <w:rPr>
          <w:rFonts w:cs="Arial"/>
          <w:i/>
          <w:iCs/>
          <w:color w:val="000000"/>
        </w:rPr>
        <w:t>pudicitia</w:t>
      </w:r>
      <w:proofErr w:type="spellEnd"/>
      <w:r w:rsidRPr="00A251D3">
        <w:rPr>
          <w:rFonts w:cs="Arial"/>
          <w:i/>
          <w:iCs/>
          <w:color w:val="000000"/>
        </w:rPr>
        <w:t xml:space="preserve"> </w:t>
      </w:r>
      <w:proofErr w:type="spellStart"/>
      <w:r w:rsidRPr="00A251D3">
        <w:rPr>
          <w:rFonts w:cs="Arial"/>
          <w:i/>
          <w:iCs/>
          <w:color w:val="000000"/>
        </w:rPr>
        <w:t>liberorum</w:t>
      </w:r>
      <w:proofErr w:type="spellEnd"/>
      <w:r w:rsidRPr="00A251D3">
        <w:rPr>
          <w:rFonts w:cs="Arial"/>
          <w:color w:val="000000"/>
        </w:rPr>
        <w:t xml:space="preserve">, genitive construction binding "modesty" or "chastity" to "the </w:t>
      </w:r>
      <w:proofErr w:type="gramStart"/>
      <w:r w:rsidRPr="00A251D3">
        <w:rPr>
          <w:rFonts w:cs="Arial"/>
          <w:color w:val="000000"/>
        </w:rPr>
        <w:t>free-born</w:t>
      </w:r>
      <w:proofErr w:type="gramEnd"/>
      <w:r w:rsidRPr="00A251D3">
        <w:rPr>
          <w:rFonts w:cs="Arial"/>
          <w:color w:val="000000"/>
        </w:rPr>
        <w:t>" as a class. The phrase does considerable work: it reframes what might otherwise register as a private, individual sexual</w:t>
      </w:r>
      <w:r>
        <w:rPr>
          <w:rFonts w:cs="Arial"/>
          <w:color w:val="000000"/>
        </w:rPr>
        <w:t xml:space="preserve"> </w:t>
      </w:r>
      <w:r w:rsidRPr="00A251D3">
        <w:rPr>
          <w:rFonts w:cs="Arial"/>
          <w:color w:val="000000"/>
        </w:rPr>
        <w:t>outrage against one young woman into a violation of a protected social category — the inviolability owed, as a matter of civic and moral principle, to freeborn children generally. The genitive is not incidental; it is the mechanism by which a specific assault becomes a general principle under threat.</w:t>
      </w:r>
    </w:p>
    <w:p w14:paraId="637A9646" w14:textId="70B1E71B" w:rsidR="00A251D3" w:rsidRDefault="00A251D3">
      <w:pPr>
        <w:rPr>
          <w:rFonts w:cs="Arial"/>
          <w:color w:val="000000"/>
        </w:rPr>
      </w:pPr>
      <w:r w:rsidRPr="00A251D3">
        <w:rPr>
          <w:rFonts w:cs="Arial"/>
          <w:color w:val="000000"/>
        </w:rPr>
        <w:t xml:space="preserve">What makes this moment genuinely significant, rather than simply a vivid phrase, is where and how it first appears. </w:t>
      </w:r>
      <w:proofErr w:type="spellStart"/>
      <w:r w:rsidRPr="00A251D3">
        <w:rPr>
          <w:rFonts w:cs="Arial"/>
          <w:i/>
          <w:iCs/>
          <w:color w:val="000000"/>
        </w:rPr>
        <w:t>Pudicitia</w:t>
      </w:r>
      <w:proofErr w:type="spellEnd"/>
      <w:r w:rsidRPr="00A251D3">
        <w:rPr>
          <w:rFonts w:cs="Arial"/>
          <w:i/>
          <w:iCs/>
          <w:color w:val="000000"/>
        </w:rPr>
        <w:t xml:space="preserve"> </w:t>
      </w:r>
      <w:proofErr w:type="spellStart"/>
      <w:r w:rsidRPr="00A251D3">
        <w:rPr>
          <w:rFonts w:cs="Arial"/>
          <w:i/>
          <w:iCs/>
          <w:color w:val="000000"/>
        </w:rPr>
        <w:t>liberorum</w:t>
      </w:r>
      <w:proofErr w:type="spellEnd"/>
      <w:r w:rsidRPr="00A251D3">
        <w:rPr>
          <w:rFonts w:cs="Arial"/>
          <w:color w:val="000000"/>
        </w:rPr>
        <w:t xml:space="preserve"> enters the speech here, at §68, not as Cicero's own editorial claim but as the </w:t>
      </w:r>
      <w:proofErr w:type="spellStart"/>
      <w:r w:rsidRPr="00A251D3">
        <w:rPr>
          <w:rFonts w:cs="Arial"/>
          <w:color w:val="000000"/>
        </w:rPr>
        <w:t>Lampsacenes</w:t>
      </w:r>
      <w:proofErr w:type="spellEnd"/>
      <w:r w:rsidRPr="00A251D3">
        <w:rPr>
          <w:rFonts w:cs="Arial"/>
          <w:color w:val="000000"/>
        </w:rPr>
        <w:t xml:space="preserve">' collective conclusion, filtered through indirect discourse — it is their vocabulary, their judgment, reported rather than asserted. This matters because, as the lecture notes on §76 indicate, Cicero later redeploys precisely this vocabulary in his own authorial voice, narrowing it from the town's children in general to </w:t>
      </w:r>
      <w:proofErr w:type="spellStart"/>
      <w:r w:rsidRPr="00A251D3">
        <w:rPr>
          <w:rFonts w:cs="Arial"/>
          <w:color w:val="000000"/>
        </w:rPr>
        <w:t>Philodamus's</w:t>
      </w:r>
      <w:proofErr w:type="spellEnd"/>
      <w:r w:rsidRPr="00A251D3">
        <w:rPr>
          <w:rFonts w:cs="Arial"/>
          <w:color w:val="000000"/>
        </w:rPr>
        <w:t xml:space="preserve"> daughter specifically, when he describes </w:t>
      </w:r>
      <w:proofErr w:type="spellStart"/>
      <w:r w:rsidRPr="00A251D3">
        <w:rPr>
          <w:rFonts w:cs="Arial"/>
          <w:color w:val="000000"/>
        </w:rPr>
        <w:t>Philodamus</w:t>
      </w:r>
      <w:proofErr w:type="spellEnd"/>
      <w:r w:rsidRPr="00A251D3">
        <w:rPr>
          <w:rFonts w:cs="Arial"/>
          <w:color w:val="000000"/>
        </w:rPr>
        <w:t xml:space="preserve"> as a man who "had defended the chastity of his children" (</w:t>
      </w:r>
      <w:proofErr w:type="spellStart"/>
      <w:r w:rsidRPr="00A251D3">
        <w:rPr>
          <w:rFonts w:cs="Arial"/>
          <w:i/>
          <w:iCs/>
          <w:color w:val="000000"/>
        </w:rPr>
        <w:t>pudicitiam</w:t>
      </w:r>
      <w:proofErr w:type="spellEnd"/>
      <w:r w:rsidRPr="00A251D3">
        <w:rPr>
          <w:rFonts w:cs="Arial"/>
          <w:i/>
          <w:iCs/>
          <w:color w:val="000000"/>
        </w:rPr>
        <w:t xml:space="preserve"> </w:t>
      </w:r>
      <w:proofErr w:type="spellStart"/>
      <w:r w:rsidRPr="00A251D3">
        <w:rPr>
          <w:rFonts w:cs="Arial"/>
          <w:i/>
          <w:iCs/>
          <w:color w:val="000000"/>
        </w:rPr>
        <w:t>liberorum</w:t>
      </w:r>
      <w:proofErr w:type="spellEnd"/>
      <w:r w:rsidRPr="00A251D3">
        <w:rPr>
          <w:rFonts w:cs="Arial"/>
          <w:i/>
          <w:iCs/>
          <w:color w:val="000000"/>
        </w:rPr>
        <w:t xml:space="preserve"> </w:t>
      </w:r>
      <w:proofErr w:type="spellStart"/>
      <w:r w:rsidRPr="00A251D3">
        <w:rPr>
          <w:rFonts w:cs="Arial"/>
          <w:i/>
          <w:iCs/>
          <w:color w:val="000000"/>
        </w:rPr>
        <w:t>defenderat</w:t>
      </w:r>
      <w:proofErr w:type="spellEnd"/>
      <w:r w:rsidRPr="00A251D3">
        <w:rPr>
          <w:rFonts w:cs="Arial"/>
          <w:color w:val="000000"/>
        </w:rPr>
        <w:t>). The sequencing is deliberate: by letting the victims articulate the moral stakes first, in their own reasoned voice, Cicero secures the vocabulary's legitimacy before he claims it as his own. When he later speaks in these same terms, he is not inventing outrage but, ostensibly, merely repeating what the victims themselves already concluded — a rhetorical sleight that allows him to deploy intensely moralized language while appearing only to echo, not manufacture, moral judgment.</w:t>
      </w:r>
    </w:p>
    <w:p w14:paraId="2A216A2F" w14:textId="484A18FC" w:rsidR="00A251D3" w:rsidRPr="00A251D3" w:rsidRDefault="00A251D3">
      <w:pPr>
        <w:rPr>
          <w:rFonts w:cs="Arial"/>
          <w:color w:val="000000"/>
        </w:rPr>
      </w:pPr>
      <w:r w:rsidRPr="00A251D3">
        <w:rPr>
          <w:rFonts w:cs="Arial"/>
          <w:color w:val="000000"/>
        </w:rPr>
        <w:t xml:space="preserve">The register shift of §68, then, is not simply a change of pace after the violence of the preceding sections. It is a demonstration, staged within the narrative itself, of the very deliberative process the jury is shortly to be asked to undertake. The </w:t>
      </w:r>
      <w:proofErr w:type="spellStart"/>
      <w:r w:rsidRPr="00A251D3">
        <w:rPr>
          <w:rFonts w:cs="Arial"/>
          <w:color w:val="000000"/>
        </w:rPr>
        <w:t>Lampsacenes</w:t>
      </w:r>
      <w:proofErr w:type="spellEnd"/>
      <w:r w:rsidRPr="00A251D3">
        <w:rPr>
          <w:rFonts w:cs="Arial"/>
          <w:color w:val="000000"/>
        </w:rPr>
        <w:t xml:space="preserve"> weigh their circumstances and reach a verdict — that no suffering could exceed the violence of what has occurred. In miniature, this is precisely the judgment Cicero wants the jury to reach regarding Verres more broadly: not an emotional</w:t>
      </w:r>
      <w:r>
        <w:rPr>
          <w:rFonts w:cs="Arial"/>
          <w:color w:val="000000"/>
        </w:rPr>
        <w:t xml:space="preserve"> </w:t>
      </w:r>
      <w:r w:rsidRPr="00A251D3">
        <w:rPr>
          <w:rFonts w:cs="Arial"/>
          <w:color w:val="000000"/>
        </w:rPr>
        <w:t xml:space="preserve">reaction to isolated misconduct, but a reasoned conclusion that the man's character renders him unfit to hold power. By the time the jury turns to the technical extortion charges that follow, the model for reaching exactly this kind of verdict has already been rehearsed for them — not </w:t>
      </w:r>
      <w:proofErr w:type="gramStart"/>
      <w:r w:rsidRPr="00A251D3">
        <w:rPr>
          <w:rFonts w:cs="Arial"/>
          <w:color w:val="000000"/>
        </w:rPr>
        <w:t>argued, but</w:t>
      </w:r>
      <w:proofErr w:type="gramEnd"/>
      <w:r w:rsidRPr="00A251D3">
        <w:rPr>
          <w:rFonts w:cs="Arial"/>
          <w:color w:val="000000"/>
        </w:rPr>
        <w:t xml:space="preserve"> shown.</w:t>
      </w:r>
    </w:p>
    <w:p w14:paraId="18626E71" w14:textId="3E32BBEC" w:rsidR="0091063E" w:rsidRDefault="0091063E">
      <w:pPr>
        <w:rPr>
          <w:rFonts w:cs="Arial"/>
          <w:color w:val="000000"/>
        </w:rPr>
      </w:pPr>
      <w:r>
        <w:rPr>
          <w:rFonts w:cs="Arial"/>
          <w:color w:val="000000"/>
        </w:rPr>
        <w:t>Textual Motifs – Doors</w:t>
      </w:r>
    </w:p>
    <w:p w14:paraId="5E5FC3AE" w14:textId="77777777" w:rsidR="008D4F4B" w:rsidRDefault="008D4F4B">
      <w:pPr>
        <w:rPr>
          <w:rFonts w:cs="Arial"/>
          <w:color w:val="000000"/>
        </w:rPr>
      </w:pPr>
      <w:r w:rsidRPr="008D4F4B">
        <w:rPr>
          <w:rFonts w:cs="Arial"/>
          <w:color w:val="000000"/>
        </w:rPr>
        <w:t xml:space="preserve">Door imagery bookends the </w:t>
      </w:r>
      <w:proofErr w:type="spellStart"/>
      <w:r w:rsidRPr="008D4F4B">
        <w:rPr>
          <w:rFonts w:cs="Arial"/>
          <w:color w:val="000000"/>
        </w:rPr>
        <w:t>Lampsacus</w:t>
      </w:r>
      <w:proofErr w:type="spellEnd"/>
      <w:r w:rsidRPr="008D4F4B">
        <w:rPr>
          <w:rFonts w:cs="Arial"/>
          <w:color w:val="000000"/>
        </w:rPr>
        <w:t xml:space="preserve"> episode, giving the violence a structural symmetry that reinforces Cicero's argument about violated hospitality answered by retribution. At §66, </w:t>
      </w:r>
      <w:proofErr w:type="spellStart"/>
      <w:r w:rsidRPr="008D4F4B">
        <w:rPr>
          <w:rFonts w:cs="Arial"/>
          <w:color w:val="000000"/>
        </w:rPr>
        <w:t>Rubrius</w:t>
      </w:r>
      <w:proofErr w:type="spellEnd"/>
      <w:r w:rsidRPr="008D4F4B">
        <w:rPr>
          <w:rFonts w:cs="Arial"/>
          <w:color w:val="000000"/>
        </w:rPr>
        <w:t xml:space="preserve"> has the doors of </w:t>
      </w:r>
      <w:proofErr w:type="spellStart"/>
      <w:r w:rsidRPr="008D4F4B">
        <w:rPr>
          <w:rFonts w:cs="Arial"/>
          <w:color w:val="000000"/>
        </w:rPr>
        <w:t>Philodamus's</w:t>
      </w:r>
      <w:proofErr w:type="spellEnd"/>
      <w:r w:rsidRPr="008D4F4B">
        <w:rPr>
          <w:rFonts w:cs="Arial"/>
          <w:color w:val="000000"/>
        </w:rPr>
        <w:t xml:space="preserve"> own home shut and guarded during the dinner party itself — a startling inversion, since it is the guest, not the host, who seizes control of the household's threshold. This is a traumatic violation of domestic space precisely </w:t>
      </w:r>
      <w:r w:rsidRPr="008D4F4B">
        <w:rPr>
          <w:rFonts w:cs="Arial"/>
          <w:color w:val="000000"/>
        </w:rPr>
        <w:lastRenderedPageBreak/>
        <w:t xml:space="preserve">because it weaponizes the very setting in which </w:t>
      </w:r>
      <w:proofErr w:type="spellStart"/>
      <w:r w:rsidRPr="008D4F4B">
        <w:rPr>
          <w:rFonts w:cs="Arial"/>
          <w:color w:val="000000"/>
        </w:rPr>
        <w:t>Philodamus</w:t>
      </w:r>
      <w:proofErr w:type="spellEnd"/>
      <w:r w:rsidRPr="008D4F4B">
        <w:rPr>
          <w:rFonts w:cs="Arial"/>
          <w:color w:val="000000"/>
        </w:rPr>
        <w:t>, as host, should hold authority and his guests should owe him deference.</w:t>
      </w:r>
      <w:r>
        <w:rPr>
          <w:rFonts w:cs="Arial"/>
          <w:color w:val="000000"/>
        </w:rPr>
        <w:t xml:space="preserve">    </w:t>
      </w:r>
    </w:p>
    <w:p w14:paraId="0ABE3EEC" w14:textId="280C09F4" w:rsidR="008D4F4B" w:rsidRDefault="008D4F4B">
      <w:pPr>
        <w:rPr>
          <w:rFonts w:cs="Arial"/>
          <w:color w:val="000000"/>
        </w:rPr>
      </w:pPr>
      <w:r w:rsidRPr="008D4F4B">
        <w:rPr>
          <w:rFonts w:cs="Arial"/>
          <w:color w:val="000000"/>
        </w:rPr>
        <w:t>The motif returns at §69, when the mob besieges and ultimately burns the doors of the building where Verres (or his entourage) is staying. Read against the earlier scene, this functions as a kind of narrative retribution: the violation of domestic space at §66 is answered, in kind, by a second violation of domestic space at §69 — doors first weaponized against a host, then destroyed in response to that offense.</w:t>
      </w:r>
    </w:p>
    <w:p w14:paraId="6286C6C7" w14:textId="7560B250" w:rsidR="008D4F4B" w:rsidRDefault="008D4F4B">
      <w:pPr>
        <w:rPr>
          <w:rFonts w:cs="Arial"/>
          <w:color w:val="000000"/>
        </w:rPr>
      </w:pPr>
      <w:r w:rsidRPr="008D4F4B">
        <w:rPr>
          <w:rFonts w:cs="Arial"/>
          <w:color w:val="000000"/>
        </w:rPr>
        <w:t xml:space="preserve">This symmetry carries real weight within Roman cultural assumptions about </w:t>
      </w:r>
      <w:proofErr w:type="spellStart"/>
      <w:r w:rsidRPr="008D4F4B">
        <w:rPr>
          <w:rFonts w:cs="Arial"/>
          <w:i/>
          <w:iCs/>
          <w:color w:val="000000"/>
        </w:rPr>
        <w:t>hospitium</w:t>
      </w:r>
      <w:proofErr w:type="spellEnd"/>
      <w:r w:rsidRPr="008D4F4B">
        <w:rPr>
          <w:rFonts w:cs="Arial"/>
          <w:color w:val="000000"/>
        </w:rPr>
        <w:t xml:space="preserve"> — the reciprocal, quasi-sacred obligations binding host and guest. Romans placed considerable value on hospitality, trust, and civilized conduct (</w:t>
      </w:r>
      <w:proofErr w:type="spellStart"/>
      <w:r w:rsidRPr="008D4F4B">
        <w:rPr>
          <w:rFonts w:cs="Arial"/>
          <w:i/>
          <w:iCs/>
          <w:color w:val="000000"/>
        </w:rPr>
        <w:t>urbanitas</w:t>
      </w:r>
      <w:proofErr w:type="spellEnd"/>
      <w:r w:rsidRPr="008D4F4B">
        <w:rPr>
          <w:rFonts w:cs="Arial"/>
          <w:color w:val="000000"/>
        </w:rPr>
        <w:t xml:space="preserve">) as markers of social legitimacy (Gildenhard, 2011, ad loc.). Within that framework, </w:t>
      </w:r>
      <w:proofErr w:type="spellStart"/>
      <w:r w:rsidRPr="008D4F4B">
        <w:rPr>
          <w:rFonts w:cs="Arial"/>
          <w:color w:val="000000"/>
        </w:rPr>
        <w:t>Rubrius's</w:t>
      </w:r>
      <w:proofErr w:type="spellEnd"/>
      <w:r w:rsidRPr="008D4F4B">
        <w:rPr>
          <w:rFonts w:cs="Arial"/>
          <w:color w:val="000000"/>
        </w:rPr>
        <w:t xml:space="preserve"> violation at §66 would have registered to a Roman audience not merely as rude but as a genuine breach of a socially binding norm — which in turn makes the retributive burning of the doors at §69 legible to that same audience as a form of rough justice rather than</w:t>
      </w:r>
      <w:r>
        <w:rPr>
          <w:rFonts w:cs="Arial"/>
          <w:color w:val="000000"/>
        </w:rPr>
        <w:t xml:space="preserve"> simple mob violence.</w:t>
      </w:r>
    </w:p>
    <w:p w14:paraId="03876806" w14:textId="77777777" w:rsidR="008D4F4B" w:rsidRDefault="008D4F4B">
      <w:pPr>
        <w:rPr>
          <w:rFonts w:cs="Arial"/>
          <w:color w:val="000000"/>
        </w:rPr>
      </w:pPr>
    </w:p>
    <w:p w14:paraId="72169A8F" w14:textId="77777777" w:rsidR="008D4F4B" w:rsidRPr="008D4F4B" w:rsidRDefault="008D4F4B">
      <w:pPr>
        <w:rPr>
          <w:rFonts w:cs="Arial"/>
          <w:color w:val="000000"/>
        </w:rPr>
      </w:pPr>
      <w:r w:rsidRPr="008D4F4B">
        <w:rPr>
          <w:rFonts w:cs="Arial"/>
          <w:color w:val="000000"/>
        </w:rPr>
        <w:t xml:space="preserve">Conclusion </w:t>
      </w:r>
    </w:p>
    <w:p w14:paraId="103BD65D" w14:textId="46B47572" w:rsidR="00196C8D" w:rsidRPr="00856B3A" w:rsidRDefault="008D4F4B">
      <w:pPr>
        <w:rPr>
          <w:rFonts w:cs="Arial"/>
          <w:color w:val="000000"/>
        </w:rPr>
      </w:pPr>
      <w:r w:rsidRPr="008D4F4B">
        <w:rPr>
          <w:rFonts w:cs="Arial"/>
          <w:color w:val="000000"/>
        </w:rPr>
        <w:t xml:space="preserve">Taken together, the </w:t>
      </w:r>
      <w:proofErr w:type="spellStart"/>
      <w:r w:rsidRPr="008D4F4B">
        <w:rPr>
          <w:rFonts w:cs="Arial"/>
          <w:color w:val="000000"/>
        </w:rPr>
        <w:t>Lampsacus</w:t>
      </w:r>
      <w:proofErr w:type="spellEnd"/>
      <w:r w:rsidRPr="008D4F4B">
        <w:rPr>
          <w:rFonts w:cs="Arial"/>
          <w:color w:val="000000"/>
        </w:rPr>
        <w:t xml:space="preserve"> episode demonstrates that Cicero's rhetorical control operates as much through register as through explicit accusation. The paratactic violence of §66–67 generates emotional investment and establishes Verres's circle as agents of chaos; the deliberative shift to </w:t>
      </w:r>
      <w:proofErr w:type="spellStart"/>
      <w:r w:rsidRPr="008D4F4B">
        <w:rPr>
          <w:rFonts w:cs="Arial"/>
          <w:i/>
          <w:iCs/>
          <w:color w:val="000000"/>
        </w:rPr>
        <w:t>oratio</w:t>
      </w:r>
      <w:proofErr w:type="spellEnd"/>
      <w:r w:rsidRPr="008D4F4B">
        <w:rPr>
          <w:rFonts w:cs="Arial"/>
          <w:i/>
          <w:iCs/>
          <w:color w:val="000000"/>
        </w:rPr>
        <w:t xml:space="preserve"> </w:t>
      </w:r>
      <w:proofErr w:type="spellStart"/>
      <w:r w:rsidRPr="008D4F4B">
        <w:rPr>
          <w:rFonts w:cs="Arial"/>
          <w:i/>
          <w:iCs/>
          <w:color w:val="000000"/>
        </w:rPr>
        <w:t>obliqua</w:t>
      </w:r>
      <w:proofErr w:type="spellEnd"/>
      <w:r w:rsidRPr="008D4F4B">
        <w:rPr>
          <w:rFonts w:cs="Arial"/>
          <w:color w:val="000000"/>
        </w:rPr>
        <w:t xml:space="preserve"> at §68 then converts that investment into something resembling reasoned judgment, staging the </w:t>
      </w:r>
      <w:proofErr w:type="spellStart"/>
      <w:r w:rsidRPr="008D4F4B">
        <w:rPr>
          <w:rFonts w:cs="Arial"/>
          <w:color w:val="000000"/>
        </w:rPr>
        <w:t>Lampsacenes</w:t>
      </w:r>
      <w:proofErr w:type="spellEnd"/>
      <w:r w:rsidRPr="008D4F4B">
        <w:rPr>
          <w:rFonts w:cs="Arial"/>
          <w:color w:val="000000"/>
        </w:rPr>
        <w:t xml:space="preserve">' verdict as a rehearsal of the jury's own. The </w:t>
      </w:r>
      <w:proofErr w:type="spellStart"/>
      <w:r w:rsidRPr="008D4F4B">
        <w:rPr>
          <w:rFonts w:cs="Arial"/>
          <w:i/>
          <w:iCs/>
          <w:color w:val="000000"/>
        </w:rPr>
        <w:t>pudicitia</w:t>
      </w:r>
      <w:proofErr w:type="spellEnd"/>
      <w:r w:rsidRPr="008D4F4B">
        <w:rPr>
          <w:rFonts w:cs="Arial"/>
          <w:i/>
          <w:iCs/>
          <w:color w:val="000000"/>
        </w:rPr>
        <w:t xml:space="preserve"> </w:t>
      </w:r>
      <w:proofErr w:type="spellStart"/>
      <w:r w:rsidRPr="008D4F4B">
        <w:rPr>
          <w:rFonts w:cs="Arial"/>
          <w:i/>
          <w:iCs/>
          <w:color w:val="000000"/>
        </w:rPr>
        <w:t>liberorum</w:t>
      </w:r>
      <w:proofErr w:type="spellEnd"/>
      <w:r w:rsidRPr="008D4F4B">
        <w:rPr>
          <w:rFonts w:cs="Arial"/>
          <w:color w:val="000000"/>
        </w:rPr>
        <w:t xml:space="preserve"> motif, first voiced by the victims and later reclaimed in Cicero's own voice at §76, shows this same strategy operating across the wider speech — borrowed moral vocabulary lent legitimacy before Cicero claims it as his own. Even the episode's bookended door imagery participates in this logic, translating violated hospitality into legible retribution. None of this belongs to the formal </w:t>
      </w:r>
      <w:r w:rsidRPr="008D4F4B">
        <w:rPr>
          <w:rFonts w:cs="Arial"/>
          <w:i/>
          <w:iCs/>
          <w:color w:val="000000"/>
        </w:rPr>
        <w:t xml:space="preserve">res </w:t>
      </w:r>
      <w:proofErr w:type="spellStart"/>
      <w:r w:rsidRPr="008D4F4B">
        <w:rPr>
          <w:rFonts w:cs="Arial"/>
          <w:i/>
          <w:iCs/>
          <w:color w:val="000000"/>
        </w:rPr>
        <w:t>repetundae</w:t>
      </w:r>
      <w:proofErr w:type="spellEnd"/>
      <w:r w:rsidRPr="008D4F4B">
        <w:rPr>
          <w:rFonts w:cs="Arial"/>
          <w:color w:val="000000"/>
        </w:rPr>
        <w:t xml:space="preserve"> charge, yet all of it performs essential prosecutorial work: by the time the jury reaches the Sicilian extortion case, Verres has already been convicted in the register of character, conduct, and systemic unfitness to govern — a verdict the technical charges need only confirm</w:t>
      </w:r>
      <w:r w:rsidR="007A42D8">
        <w:rPr>
          <w:rFonts w:cs="Arial"/>
          <w:color w:val="000000"/>
        </w:rPr>
        <w:t>.</w:t>
      </w:r>
      <w:r w:rsidR="00196C8D" w:rsidRPr="007A42D8">
        <w:br w:type="page"/>
      </w:r>
    </w:p>
    <w:sdt>
      <w:sdtPr>
        <w:rPr>
          <w:rFonts w:asciiTheme="minorHAnsi" w:hAnsiTheme="minorHAnsi"/>
          <w:sz w:val="24"/>
          <w:szCs w:val="24"/>
        </w:rPr>
        <w:id w:val="-2111509515"/>
        <w:docPartObj>
          <w:docPartGallery w:val="Bibliographies"/>
          <w:docPartUnique/>
        </w:docPartObj>
      </w:sdtPr>
      <w:sdtContent>
        <w:p w14:paraId="44414469" w14:textId="207EF337" w:rsidR="00196C8D" w:rsidRPr="007A42D8" w:rsidRDefault="00196C8D">
          <w:pPr>
            <w:pStyle w:val="Heading1"/>
            <w:rPr>
              <w:rFonts w:asciiTheme="minorHAnsi" w:hAnsiTheme="minorHAnsi"/>
              <w:sz w:val="24"/>
              <w:szCs w:val="24"/>
            </w:rPr>
          </w:pPr>
          <w:r w:rsidRPr="007A42D8">
            <w:rPr>
              <w:rFonts w:asciiTheme="minorHAnsi" w:hAnsiTheme="minorHAnsi"/>
              <w:sz w:val="24"/>
              <w:szCs w:val="24"/>
            </w:rPr>
            <w:t>References</w:t>
          </w:r>
          <w:r w:rsidR="00243697">
            <w:rPr>
              <w:rStyle w:val="FootnoteReference"/>
              <w:rFonts w:asciiTheme="minorHAnsi" w:hAnsiTheme="minorHAnsi"/>
              <w:sz w:val="24"/>
              <w:szCs w:val="24"/>
            </w:rPr>
            <w:footnoteReference w:id="1"/>
          </w:r>
        </w:p>
      </w:sdtContent>
    </w:sdt>
    <w:p w14:paraId="2B3A1E7A" w14:textId="77777777" w:rsidR="00C93F79" w:rsidRDefault="00C93F79" w:rsidP="00196C8D">
      <w:proofErr w:type="spellStart"/>
      <w:r w:rsidRPr="00C93F79">
        <w:t>Gildenhard</w:t>
      </w:r>
      <w:proofErr w:type="spellEnd"/>
      <w:r w:rsidRPr="00C93F79">
        <w:t xml:space="preserve">, I. (2011) </w:t>
      </w:r>
      <w:r w:rsidRPr="00C93F79">
        <w:rPr>
          <w:i/>
          <w:iCs/>
        </w:rPr>
        <w:t>Cicero, Against Verres, 2.1.53–86: Latin Text, Study Aids with Vocabulary, and Commentary</w:t>
      </w:r>
      <w:r w:rsidRPr="00C93F79">
        <w:t>. Cambridge: Open Book Publishers (</w:t>
      </w:r>
      <w:proofErr w:type="spellStart"/>
      <w:r w:rsidRPr="00C93F79">
        <w:t>Gildenhard</w:t>
      </w:r>
      <w:proofErr w:type="spellEnd"/>
      <w:r w:rsidRPr="00C93F79">
        <w:t xml:space="preserve">, 2011). </w:t>
      </w:r>
    </w:p>
    <w:p w14:paraId="4B4745A2" w14:textId="2AAE8503" w:rsidR="009B2DA4" w:rsidRDefault="009B2DA4" w:rsidP="00196C8D">
      <w:r w:rsidRPr="009B2DA4">
        <w:t xml:space="preserve">Kallet-Marx, R. (1995) </w:t>
      </w:r>
      <w:r w:rsidRPr="009B2DA4">
        <w:rPr>
          <w:i/>
          <w:iCs/>
        </w:rPr>
        <w:t>Hegemony to Empire: The Development of the Roman Imperium in the East from 148 to 62 B.C.</w:t>
      </w:r>
      <w:r w:rsidRPr="009B2DA4">
        <w:t xml:space="preserve"> Berkeley: University of California Press.</w:t>
      </w:r>
    </w:p>
    <w:p w14:paraId="68CC7242" w14:textId="74278584" w:rsidR="00196C8D" w:rsidRDefault="00C93F79" w:rsidP="00196C8D">
      <w:r w:rsidRPr="00C93F79">
        <w:t xml:space="preserve">Steel, C. (2004) 'Being Economical with the Truth: What Really Happened at </w:t>
      </w:r>
      <w:proofErr w:type="spellStart"/>
      <w:r w:rsidRPr="00C93F79">
        <w:t>Lampsacus</w:t>
      </w:r>
      <w:proofErr w:type="spellEnd"/>
      <w:r w:rsidRPr="00C93F79">
        <w:t xml:space="preserve">?', in Powell, J. and Paterson, J. (eds.) </w:t>
      </w:r>
      <w:r w:rsidRPr="00C93F79">
        <w:rPr>
          <w:i/>
          <w:iCs/>
        </w:rPr>
        <w:t>Cicero the Advocate</w:t>
      </w:r>
      <w:r w:rsidRPr="00C93F79">
        <w:t>. Oxford: Oxford University Press, pp. 233–251 (Steel, 2004, p. 233).</w:t>
      </w:r>
    </w:p>
    <w:p w14:paraId="1BEC8EEA" w14:textId="2657166D" w:rsidR="00196C8D" w:rsidRDefault="00196C8D"/>
    <w:sectPr w:rsidR="00196C8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EF7A30" w14:textId="77777777" w:rsidR="00524542" w:rsidRDefault="00524542" w:rsidP="00B757A0">
      <w:pPr>
        <w:spacing w:after="0" w:line="240" w:lineRule="auto"/>
      </w:pPr>
      <w:r>
        <w:separator/>
      </w:r>
    </w:p>
  </w:endnote>
  <w:endnote w:type="continuationSeparator" w:id="0">
    <w:p w14:paraId="5D970979" w14:textId="77777777" w:rsidR="00524542" w:rsidRDefault="00524542" w:rsidP="00B75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244F21" w14:textId="77777777" w:rsidR="00524542" w:rsidRDefault="00524542" w:rsidP="00B757A0">
      <w:pPr>
        <w:spacing w:after="0" w:line="240" w:lineRule="auto"/>
      </w:pPr>
      <w:r>
        <w:separator/>
      </w:r>
    </w:p>
  </w:footnote>
  <w:footnote w:type="continuationSeparator" w:id="0">
    <w:p w14:paraId="30F6840F" w14:textId="77777777" w:rsidR="00524542" w:rsidRDefault="00524542" w:rsidP="00B757A0">
      <w:pPr>
        <w:spacing w:after="0" w:line="240" w:lineRule="auto"/>
      </w:pPr>
      <w:r>
        <w:continuationSeparator/>
      </w:r>
    </w:p>
  </w:footnote>
  <w:footnote w:id="1">
    <w:p w14:paraId="4145498A" w14:textId="25092C1E" w:rsidR="00243697" w:rsidRDefault="00243697">
      <w:pPr>
        <w:pStyle w:val="FootnoteText"/>
      </w:pPr>
      <w:r>
        <w:rPr>
          <w:rStyle w:val="FootnoteReference"/>
        </w:rPr>
        <w:footnoteRef/>
      </w:r>
      <w:r>
        <w:t xml:space="preserve"> </w:t>
      </w:r>
      <w:r w:rsidRPr="00243697">
        <w:rPr>
          <w:sz w:val="18"/>
          <w:szCs w:val="18"/>
        </w:rPr>
        <w:t>AI tools (OpenAI ChatGPT and Anthropic Claude) were used to assist with proofreading, clarifying structure, and identifying relevant sources. All substantive analysis and written text are my own.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936CED"/>
    <w:multiLevelType w:val="multilevel"/>
    <w:tmpl w:val="0E46E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493442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7F4"/>
    <w:rsid w:val="00023DD1"/>
    <w:rsid w:val="00031D73"/>
    <w:rsid w:val="00062A72"/>
    <w:rsid w:val="000A29E9"/>
    <w:rsid w:val="000C4851"/>
    <w:rsid w:val="00107888"/>
    <w:rsid w:val="0013308C"/>
    <w:rsid w:val="00187100"/>
    <w:rsid w:val="0019118A"/>
    <w:rsid w:val="00196C8D"/>
    <w:rsid w:val="001E7CC0"/>
    <w:rsid w:val="00243697"/>
    <w:rsid w:val="002912FD"/>
    <w:rsid w:val="002B4DFC"/>
    <w:rsid w:val="0033799C"/>
    <w:rsid w:val="003E6037"/>
    <w:rsid w:val="004B55C7"/>
    <w:rsid w:val="004E17D9"/>
    <w:rsid w:val="00524542"/>
    <w:rsid w:val="00536AC7"/>
    <w:rsid w:val="005B6BD7"/>
    <w:rsid w:val="006013C6"/>
    <w:rsid w:val="00614CEA"/>
    <w:rsid w:val="006A2DE5"/>
    <w:rsid w:val="006A7DFC"/>
    <w:rsid w:val="006B714D"/>
    <w:rsid w:val="006F6E9B"/>
    <w:rsid w:val="007A130E"/>
    <w:rsid w:val="007A42D8"/>
    <w:rsid w:val="00856B3A"/>
    <w:rsid w:val="008628DD"/>
    <w:rsid w:val="008B6A17"/>
    <w:rsid w:val="008D4F4B"/>
    <w:rsid w:val="008E38F6"/>
    <w:rsid w:val="008E6375"/>
    <w:rsid w:val="0091063E"/>
    <w:rsid w:val="009212E3"/>
    <w:rsid w:val="00926589"/>
    <w:rsid w:val="00936571"/>
    <w:rsid w:val="009B2DA4"/>
    <w:rsid w:val="009B5233"/>
    <w:rsid w:val="009E552F"/>
    <w:rsid w:val="00A15DCE"/>
    <w:rsid w:val="00A251D3"/>
    <w:rsid w:val="00A35B30"/>
    <w:rsid w:val="00A35DAE"/>
    <w:rsid w:val="00A814A6"/>
    <w:rsid w:val="00B02F1F"/>
    <w:rsid w:val="00B743B9"/>
    <w:rsid w:val="00B757A0"/>
    <w:rsid w:val="00C93F79"/>
    <w:rsid w:val="00CC0E63"/>
    <w:rsid w:val="00D56F72"/>
    <w:rsid w:val="00DD60EC"/>
    <w:rsid w:val="00DF7878"/>
    <w:rsid w:val="00E031BE"/>
    <w:rsid w:val="00E67A2B"/>
    <w:rsid w:val="00EA2B47"/>
    <w:rsid w:val="00ED39DD"/>
    <w:rsid w:val="00F8454A"/>
    <w:rsid w:val="00F96378"/>
    <w:rsid w:val="00FF0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64780"/>
  <w15:chartTrackingRefBased/>
  <w15:docId w15:val="{A264234E-E649-4D53-B2F8-BC1D161DA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7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07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07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07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07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07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7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7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7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7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07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07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07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07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07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7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7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7F4"/>
    <w:rPr>
      <w:rFonts w:eastAsiaTheme="majorEastAsia" w:cstheme="majorBidi"/>
      <w:color w:val="272727" w:themeColor="text1" w:themeTint="D8"/>
    </w:rPr>
  </w:style>
  <w:style w:type="paragraph" w:styleId="Title">
    <w:name w:val="Title"/>
    <w:basedOn w:val="Normal"/>
    <w:next w:val="Normal"/>
    <w:link w:val="TitleChar"/>
    <w:uiPriority w:val="10"/>
    <w:qFormat/>
    <w:rsid w:val="00FF07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07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07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07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7F4"/>
    <w:pPr>
      <w:spacing w:before="160"/>
      <w:jc w:val="center"/>
    </w:pPr>
    <w:rPr>
      <w:i/>
      <w:iCs/>
      <w:color w:val="404040" w:themeColor="text1" w:themeTint="BF"/>
    </w:rPr>
  </w:style>
  <w:style w:type="character" w:customStyle="1" w:styleId="QuoteChar">
    <w:name w:val="Quote Char"/>
    <w:basedOn w:val="DefaultParagraphFont"/>
    <w:link w:val="Quote"/>
    <w:uiPriority w:val="29"/>
    <w:rsid w:val="00FF07F4"/>
    <w:rPr>
      <w:i/>
      <w:iCs/>
      <w:color w:val="404040" w:themeColor="text1" w:themeTint="BF"/>
    </w:rPr>
  </w:style>
  <w:style w:type="paragraph" w:styleId="ListParagraph">
    <w:name w:val="List Paragraph"/>
    <w:basedOn w:val="Normal"/>
    <w:uiPriority w:val="34"/>
    <w:qFormat/>
    <w:rsid w:val="00FF07F4"/>
    <w:pPr>
      <w:ind w:left="720"/>
      <w:contextualSpacing/>
    </w:pPr>
  </w:style>
  <w:style w:type="character" w:styleId="IntenseEmphasis">
    <w:name w:val="Intense Emphasis"/>
    <w:basedOn w:val="DefaultParagraphFont"/>
    <w:uiPriority w:val="21"/>
    <w:qFormat/>
    <w:rsid w:val="00FF07F4"/>
    <w:rPr>
      <w:i/>
      <w:iCs/>
      <w:color w:val="0F4761" w:themeColor="accent1" w:themeShade="BF"/>
    </w:rPr>
  </w:style>
  <w:style w:type="paragraph" w:styleId="IntenseQuote">
    <w:name w:val="Intense Quote"/>
    <w:basedOn w:val="Normal"/>
    <w:next w:val="Normal"/>
    <w:link w:val="IntenseQuoteChar"/>
    <w:uiPriority w:val="30"/>
    <w:qFormat/>
    <w:rsid w:val="00FF07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07F4"/>
    <w:rPr>
      <w:i/>
      <w:iCs/>
      <w:color w:val="0F4761" w:themeColor="accent1" w:themeShade="BF"/>
    </w:rPr>
  </w:style>
  <w:style w:type="character" w:styleId="IntenseReference">
    <w:name w:val="Intense Reference"/>
    <w:basedOn w:val="DefaultParagraphFont"/>
    <w:uiPriority w:val="32"/>
    <w:qFormat/>
    <w:rsid w:val="00FF07F4"/>
    <w:rPr>
      <w:b/>
      <w:bCs/>
      <w:smallCaps/>
      <w:color w:val="0F4761" w:themeColor="accent1" w:themeShade="BF"/>
      <w:spacing w:val="5"/>
    </w:rPr>
  </w:style>
  <w:style w:type="paragraph" w:styleId="FootnoteText">
    <w:name w:val="footnote text"/>
    <w:basedOn w:val="Normal"/>
    <w:link w:val="FootnoteTextChar"/>
    <w:uiPriority w:val="99"/>
    <w:semiHidden/>
    <w:unhideWhenUsed/>
    <w:rsid w:val="00B757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57A0"/>
    <w:rPr>
      <w:sz w:val="20"/>
      <w:szCs w:val="20"/>
    </w:rPr>
  </w:style>
  <w:style w:type="character" w:styleId="FootnoteReference">
    <w:name w:val="footnote reference"/>
    <w:basedOn w:val="DefaultParagraphFont"/>
    <w:uiPriority w:val="99"/>
    <w:semiHidden/>
    <w:unhideWhenUsed/>
    <w:rsid w:val="00B757A0"/>
    <w:rPr>
      <w:vertAlign w:val="superscript"/>
    </w:rPr>
  </w:style>
  <w:style w:type="paragraph" w:styleId="Bibliography">
    <w:name w:val="Bibliography"/>
    <w:basedOn w:val="Normal"/>
    <w:next w:val="Normal"/>
    <w:uiPriority w:val="37"/>
    <w:unhideWhenUsed/>
    <w:rsid w:val="00196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EC5E62-9483-406D-BEB0-06F6779A3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8</Pages>
  <Words>2605</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 Broadnax</dc:creator>
  <cp:keywords/>
  <dc:description/>
  <cp:lastModifiedBy>Brent Broadnax</cp:lastModifiedBy>
  <cp:revision>28</cp:revision>
  <dcterms:created xsi:type="dcterms:W3CDTF">2026-10-24T18:27:00Z</dcterms:created>
  <dcterms:modified xsi:type="dcterms:W3CDTF">2026-10-24T22:11:00Z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id="s5dfgY1Z"/&gt;&lt;style id="http://www.zotero.org/styles/harvard1" locale="en-US"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