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12CFFF" w14:textId="4466A204" w:rsidR="009B5882" w:rsidRDefault="009B5882" w:rsidP="009B5882">
      <w:pPr>
        <w:pStyle w:val="Heading2"/>
        <w:rPr>
          <w:sz w:val="48"/>
          <w:szCs w:val="48"/>
        </w:rPr>
      </w:pPr>
      <w:r w:rsidRPr="00DB050C">
        <w:rPr>
          <w:i/>
          <w:iCs/>
          <w:noProof/>
          <w:u w:val="none"/>
        </w:rPr>
        <w:drawing>
          <wp:inline distT="0" distB="0" distL="0" distR="0" wp14:anchorId="5332F252" wp14:editId="648727B4">
            <wp:extent cx="2095500" cy="695325"/>
            <wp:effectExtent l="0" t="0" r="0" b="9525"/>
            <wp:docPr id="1766337918" name="Picture 1766337918"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5500" cy="695325"/>
                    </a:xfrm>
                    <a:prstGeom prst="rect">
                      <a:avLst/>
                    </a:prstGeom>
                    <a:noFill/>
                    <a:ln>
                      <a:noFill/>
                    </a:ln>
                  </pic:spPr>
                </pic:pic>
              </a:graphicData>
            </a:graphic>
          </wp:inline>
        </w:drawing>
      </w:r>
    </w:p>
    <w:p w14:paraId="617951B9" w14:textId="77777777" w:rsidR="009B5882" w:rsidRDefault="009B5882" w:rsidP="009B5882"/>
    <w:p w14:paraId="07FECEC6" w14:textId="77777777" w:rsidR="009B5882" w:rsidRDefault="009B5882" w:rsidP="009B5882"/>
    <w:p w14:paraId="5C8C93C2" w14:textId="77777777" w:rsidR="009B5882" w:rsidRDefault="009B5882" w:rsidP="009B5882"/>
    <w:p w14:paraId="56DCA713" w14:textId="77777777" w:rsidR="009B5882" w:rsidRDefault="009B5882" w:rsidP="009B5882"/>
    <w:p w14:paraId="77829750" w14:textId="77777777" w:rsidR="009B5882" w:rsidRDefault="009B5882" w:rsidP="009B5882"/>
    <w:p w14:paraId="6E33C7C5" w14:textId="77777777" w:rsidR="00DB050C" w:rsidRDefault="00DB050C" w:rsidP="009B5882">
      <w:pPr>
        <w:jc w:val="center"/>
        <w:rPr>
          <w:sz w:val="72"/>
          <w:szCs w:val="72"/>
        </w:rPr>
      </w:pPr>
    </w:p>
    <w:p w14:paraId="10B6BAB6" w14:textId="05AA3805" w:rsidR="009B5882" w:rsidRPr="00713755" w:rsidRDefault="009B5882" w:rsidP="009B5882">
      <w:pPr>
        <w:jc w:val="center"/>
        <w:rPr>
          <w:sz w:val="52"/>
          <w:szCs w:val="52"/>
        </w:rPr>
      </w:pPr>
      <w:r w:rsidRPr="00713755">
        <w:rPr>
          <w:sz w:val="52"/>
          <w:szCs w:val="52"/>
        </w:rPr>
        <w:t>COMMUNITY ENGAGEMENT</w:t>
      </w:r>
    </w:p>
    <w:p w14:paraId="0523068E" w14:textId="1F9826EF" w:rsidR="009B5882" w:rsidRDefault="00B676A3" w:rsidP="00713755">
      <w:pPr>
        <w:rPr>
          <w:sz w:val="44"/>
          <w:szCs w:val="44"/>
        </w:rPr>
      </w:pPr>
      <w:r>
        <w:rPr>
          <w:sz w:val="44"/>
          <w:szCs w:val="44"/>
        </w:rPr>
        <w:t xml:space="preserve">                                  (ESSAY)</w:t>
      </w:r>
    </w:p>
    <w:p w14:paraId="5D583659" w14:textId="77777777" w:rsidR="009B5882" w:rsidRDefault="009B5882" w:rsidP="009B5882">
      <w:pPr>
        <w:jc w:val="left"/>
        <w:rPr>
          <w:sz w:val="28"/>
          <w:szCs w:val="28"/>
        </w:rPr>
      </w:pPr>
    </w:p>
    <w:p w14:paraId="693E7CE5" w14:textId="77777777" w:rsidR="003D2AD3" w:rsidRDefault="003D2AD3" w:rsidP="009B5882">
      <w:pPr>
        <w:jc w:val="left"/>
        <w:rPr>
          <w:sz w:val="28"/>
          <w:szCs w:val="28"/>
        </w:rPr>
      </w:pPr>
    </w:p>
    <w:p w14:paraId="4791ED03" w14:textId="77777777" w:rsidR="003D2AD3" w:rsidRDefault="003D2AD3" w:rsidP="009B5882">
      <w:pPr>
        <w:jc w:val="left"/>
        <w:rPr>
          <w:sz w:val="28"/>
          <w:szCs w:val="28"/>
        </w:rPr>
      </w:pPr>
    </w:p>
    <w:p w14:paraId="28C50E0A" w14:textId="77777777" w:rsidR="003D2AD3" w:rsidRDefault="003D2AD3" w:rsidP="009B5882">
      <w:pPr>
        <w:jc w:val="left"/>
        <w:rPr>
          <w:sz w:val="28"/>
          <w:szCs w:val="28"/>
        </w:rPr>
      </w:pPr>
    </w:p>
    <w:p w14:paraId="7F1AF7D3" w14:textId="77777777" w:rsidR="003D2AD3" w:rsidRDefault="003D2AD3" w:rsidP="009B5882">
      <w:pPr>
        <w:jc w:val="left"/>
        <w:rPr>
          <w:sz w:val="28"/>
          <w:szCs w:val="28"/>
        </w:rPr>
      </w:pPr>
    </w:p>
    <w:p w14:paraId="18F34600" w14:textId="77777777" w:rsidR="003D2AD3" w:rsidRDefault="003D2AD3" w:rsidP="009B5882">
      <w:pPr>
        <w:jc w:val="left"/>
        <w:rPr>
          <w:sz w:val="28"/>
          <w:szCs w:val="28"/>
        </w:rPr>
      </w:pPr>
    </w:p>
    <w:p w14:paraId="3C154178" w14:textId="77777777" w:rsidR="003D2AD3" w:rsidRDefault="003D2AD3" w:rsidP="009B5882">
      <w:pPr>
        <w:jc w:val="left"/>
        <w:rPr>
          <w:sz w:val="28"/>
          <w:szCs w:val="28"/>
        </w:rPr>
      </w:pPr>
    </w:p>
    <w:p w14:paraId="63D2D28F" w14:textId="77777777" w:rsidR="003D2AD3" w:rsidRPr="003D2AD3" w:rsidRDefault="003D2AD3" w:rsidP="009B5882">
      <w:pPr>
        <w:jc w:val="left"/>
        <w:rPr>
          <w:szCs w:val="24"/>
        </w:rPr>
      </w:pPr>
    </w:p>
    <w:p w14:paraId="15FCF41D" w14:textId="138661B0" w:rsidR="009B5882" w:rsidRPr="003D2AD3" w:rsidRDefault="00B676A3" w:rsidP="009B5882">
      <w:pPr>
        <w:jc w:val="left"/>
        <w:rPr>
          <w:szCs w:val="24"/>
        </w:rPr>
      </w:pPr>
      <w:r w:rsidRPr="00D01234">
        <w:rPr>
          <w:b/>
          <w:bCs/>
          <w:sz w:val="28"/>
          <w:szCs w:val="28"/>
        </w:rPr>
        <w:t>1)</w:t>
      </w:r>
      <w:r w:rsidR="009B5882" w:rsidRPr="003D2AD3">
        <w:rPr>
          <w:szCs w:val="24"/>
        </w:rPr>
        <w:t>BA Busines</w:t>
      </w:r>
      <w:r w:rsidR="003D2AD3" w:rsidRPr="003D2AD3">
        <w:rPr>
          <w:szCs w:val="24"/>
        </w:rPr>
        <w:t>s</w:t>
      </w:r>
      <w:r w:rsidR="009B5882" w:rsidRPr="003D2AD3">
        <w:rPr>
          <w:szCs w:val="24"/>
        </w:rPr>
        <w:t xml:space="preserve"> Management</w:t>
      </w:r>
    </w:p>
    <w:p w14:paraId="79952AE8" w14:textId="293BD96E" w:rsidR="003D2AD3" w:rsidRPr="003D2AD3" w:rsidRDefault="003D2AD3" w:rsidP="009B5882">
      <w:pPr>
        <w:jc w:val="left"/>
        <w:rPr>
          <w:szCs w:val="24"/>
        </w:rPr>
      </w:pPr>
      <w:r w:rsidRPr="003D2AD3">
        <w:rPr>
          <w:szCs w:val="24"/>
        </w:rPr>
        <w:t>Community Engagement</w:t>
      </w:r>
    </w:p>
    <w:p w14:paraId="420BF587" w14:textId="58D8B490" w:rsidR="003D2AD3" w:rsidRPr="003D2AD3" w:rsidRDefault="003D2AD3" w:rsidP="009B5882">
      <w:pPr>
        <w:jc w:val="left"/>
        <w:rPr>
          <w:szCs w:val="24"/>
        </w:rPr>
      </w:pPr>
      <w:r w:rsidRPr="003D2AD3">
        <w:rPr>
          <w:szCs w:val="24"/>
        </w:rPr>
        <w:t>LCBB4002</w:t>
      </w:r>
    </w:p>
    <w:p w14:paraId="29540F95" w14:textId="77777777" w:rsidR="00D01234" w:rsidRDefault="003D2AD3" w:rsidP="009B5882">
      <w:pPr>
        <w:jc w:val="left"/>
        <w:rPr>
          <w:szCs w:val="24"/>
        </w:rPr>
      </w:pPr>
      <w:r w:rsidRPr="003D2AD3">
        <w:rPr>
          <w:szCs w:val="24"/>
        </w:rPr>
        <w:t>Lectured: Nadeem Mirza</w:t>
      </w:r>
      <w:r w:rsidR="00D01234">
        <w:rPr>
          <w:szCs w:val="24"/>
        </w:rPr>
        <w:t xml:space="preserve"> </w:t>
      </w:r>
    </w:p>
    <w:p w14:paraId="0D6AB1AF" w14:textId="23C074F8" w:rsidR="003D2AD3" w:rsidRPr="003D2AD3" w:rsidRDefault="00B676A3" w:rsidP="009B5882">
      <w:pPr>
        <w:jc w:val="left"/>
        <w:rPr>
          <w:szCs w:val="24"/>
        </w:rPr>
      </w:pPr>
      <w:r w:rsidRPr="00D01234">
        <w:rPr>
          <w:b/>
          <w:bCs/>
          <w:sz w:val="28"/>
          <w:szCs w:val="28"/>
        </w:rPr>
        <w:t>2)</w:t>
      </w:r>
      <w:r w:rsidR="003D2AD3" w:rsidRPr="003D2AD3">
        <w:rPr>
          <w:szCs w:val="24"/>
        </w:rPr>
        <w:t>Student: Ivelina Georgieva-Draganova</w:t>
      </w:r>
    </w:p>
    <w:p w14:paraId="73C7AC02" w14:textId="3AFB8291" w:rsidR="004C2D20" w:rsidRDefault="004C2D20" w:rsidP="004C2D20">
      <w:pPr>
        <w:pStyle w:val="NoSpacing"/>
        <w:pageBreakBefore/>
        <w:jc w:val="both"/>
      </w:pPr>
    </w:p>
    <w:p w14:paraId="4E1EBC57" w14:textId="067BE63B" w:rsidR="004C2D20" w:rsidRDefault="004C2D20" w:rsidP="004C2D20">
      <w:pPr>
        <w:pStyle w:val="ContentsHeading"/>
        <w:jc w:val="both"/>
        <w:rPr>
          <w:color w:val="auto"/>
        </w:rPr>
      </w:pPr>
      <w:r>
        <w:rPr>
          <w:color w:val="auto"/>
        </w:rPr>
        <w:t>Table of Content</w:t>
      </w:r>
    </w:p>
    <w:p w14:paraId="0C2C39F0" w14:textId="77777777" w:rsidR="004C2D20" w:rsidRDefault="004C2D20" w:rsidP="004C2D20">
      <w:pPr>
        <w:pStyle w:val="TOC1"/>
        <w:rPr>
          <w:rFonts w:ascii="Calibri" w:eastAsia="Times New Roman" w:hAnsi="Calibri" w:cs="Times New Roman"/>
          <w:noProof/>
          <w:color w:val="auto"/>
          <w:sz w:val="22"/>
          <w:lang w:val="en-US" w:eastAsia="en-US"/>
        </w:rPr>
      </w:pPr>
      <w:r>
        <w:rPr>
          <w:color w:val="auto"/>
        </w:rPr>
        <w:fldChar w:fldCharType="begin"/>
      </w:r>
      <w:r>
        <w:rPr>
          <w:color w:val="auto"/>
        </w:rPr>
        <w:instrText xml:space="preserve"> TOC \f \o "1-9" \o "1-9" </w:instrText>
      </w:r>
      <w:r>
        <w:rPr>
          <w:color w:val="auto"/>
        </w:rPr>
        <w:fldChar w:fldCharType="separate"/>
      </w:r>
      <w:r>
        <w:rPr>
          <w:noProof/>
          <w:color w:val="auto"/>
        </w:rPr>
        <w:t>INTRODUCTION</w:t>
      </w:r>
      <w:r>
        <w:rPr>
          <w:noProof/>
          <w:color w:val="auto"/>
        </w:rPr>
        <w:tab/>
      </w:r>
      <w:r>
        <w:rPr>
          <w:noProof/>
          <w:color w:val="auto"/>
        </w:rPr>
        <w:fldChar w:fldCharType="begin"/>
      </w:r>
      <w:r>
        <w:rPr>
          <w:noProof/>
          <w:color w:val="auto"/>
        </w:rPr>
        <w:instrText xml:space="preserve"> PAGEREF _Toc140575693 \h </w:instrText>
      </w:r>
      <w:r>
        <w:rPr>
          <w:noProof/>
          <w:color w:val="auto"/>
        </w:rPr>
      </w:r>
      <w:r>
        <w:rPr>
          <w:noProof/>
          <w:color w:val="auto"/>
        </w:rPr>
        <w:fldChar w:fldCharType="separate"/>
      </w:r>
      <w:r>
        <w:rPr>
          <w:noProof/>
          <w:color w:val="auto"/>
        </w:rPr>
        <w:t>3</w:t>
      </w:r>
      <w:r>
        <w:rPr>
          <w:noProof/>
          <w:color w:val="auto"/>
        </w:rPr>
        <w:fldChar w:fldCharType="end"/>
      </w:r>
    </w:p>
    <w:p w14:paraId="17B767FC" w14:textId="77777777" w:rsidR="004C2D20" w:rsidRDefault="004C2D20" w:rsidP="00D01234">
      <w:pPr>
        <w:pStyle w:val="TOC1"/>
        <w:rPr>
          <w:rFonts w:ascii="Calibri" w:eastAsia="Times New Roman" w:hAnsi="Calibri" w:cs="Times New Roman"/>
          <w:noProof/>
          <w:color w:val="auto"/>
          <w:sz w:val="22"/>
          <w:lang w:val="en-US" w:eastAsia="en-US"/>
        </w:rPr>
      </w:pPr>
      <w:r>
        <w:rPr>
          <w:noProof/>
          <w:color w:val="auto"/>
        </w:rPr>
        <w:t>MAIN BODY</w:t>
      </w:r>
      <w:r>
        <w:rPr>
          <w:noProof/>
          <w:color w:val="auto"/>
        </w:rPr>
        <w:tab/>
      </w:r>
      <w:r>
        <w:rPr>
          <w:noProof/>
          <w:color w:val="auto"/>
        </w:rPr>
        <w:fldChar w:fldCharType="begin"/>
      </w:r>
      <w:r>
        <w:rPr>
          <w:noProof/>
          <w:color w:val="auto"/>
        </w:rPr>
        <w:instrText xml:space="preserve"> PAGEREF _Toc140575694 \h </w:instrText>
      </w:r>
      <w:r>
        <w:rPr>
          <w:noProof/>
          <w:color w:val="auto"/>
        </w:rPr>
      </w:r>
      <w:r>
        <w:rPr>
          <w:noProof/>
          <w:color w:val="auto"/>
        </w:rPr>
        <w:fldChar w:fldCharType="separate"/>
      </w:r>
      <w:r>
        <w:rPr>
          <w:noProof/>
          <w:color w:val="auto"/>
        </w:rPr>
        <w:t>3</w:t>
      </w:r>
      <w:r>
        <w:rPr>
          <w:noProof/>
          <w:color w:val="auto"/>
        </w:rPr>
        <w:fldChar w:fldCharType="end"/>
      </w:r>
    </w:p>
    <w:p w14:paraId="721CE012" w14:textId="77777777" w:rsidR="004C2D20" w:rsidRDefault="004C2D20" w:rsidP="00D01234">
      <w:pPr>
        <w:pStyle w:val="TOC2"/>
        <w:ind w:left="0"/>
        <w:rPr>
          <w:rFonts w:ascii="Calibri" w:eastAsia="Times New Roman" w:hAnsi="Calibri" w:cs="Times New Roman"/>
          <w:noProof/>
          <w:color w:val="auto"/>
          <w:sz w:val="22"/>
          <w:lang w:val="en-US" w:eastAsia="en-US"/>
        </w:rPr>
      </w:pPr>
      <w:r>
        <w:rPr>
          <w:noProof/>
          <w:color w:val="auto"/>
        </w:rPr>
        <w:t>Project overview</w:t>
      </w:r>
      <w:r>
        <w:rPr>
          <w:noProof/>
          <w:color w:val="auto"/>
        </w:rPr>
        <w:tab/>
      </w:r>
      <w:r>
        <w:rPr>
          <w:noProof/>
          <w:color w:val="auto"/>
        </w:rPr>
        <w:fldChar w:fldCharType="begin"/>
      </w:r>
      <w:r>
        <w:rPr>
          <w:noProof/>
          <w:color w:val="auto"/>
        </w:rPr>
        <w:instrText xml:space="preserve"> PAGEREF _Toc140575695 \h </w:instrText>
      </w:r>
      <w:r>
        <w:rPr>
          <w:noProof/>
          <w:color w:val="auto"/>
        </w:rPr>
      </w:r>
      <w:r>
        <w:rPr>
          <w:noProof/>
          <w:color w:val="auto"/>
        </w:rPr>
        <w:fldChar w:fldCharType="separate"/>
      </w:r>
      <w:r>
        <w:rPr>
          <w:noProof/>
          <w:color w:val="auto"/>
        </w:rPr>
        <w:t>3</w:t>
      </w:r>
      <w:r>
        <w:rPr>
          <w:noProof/>
          <w:color w:val="auto"/>
        </w:rPr>
        <w:fldChar w:fldCharType="end"/>
      </w:r>
    </w:p>
    <w:p w14:paraId="58CD1536" w14:textId="77777777" w:rsidR="004C2D20" w:rsidRDefault="004C2D20" w:rsidP="00D01234">
      <w:pPr>
        <w:pStyle w:val="TOC2"/>
        <w:ind w:left="0"/>
        <w:rPr>
          <w:rFonts w:ascii="Calibri" w:eastAsia="Times New Roman" w:hAnsi="Calibri" w:cs="Times New Roman"/>
          <w:noProof/>
          <w:color w:val="auto"/>
          <w:sz w:val="22"/>
          <w:lang w:val="en-US" w:eastAsia="en-US"/>
        </w:rPr>
      </w:pPr>
      <w:r>
        <w:rPr>
          <w:noProof/>
          <w:color w:val="auto"/>
        </w:rPr>
        <w:t>Evaluation of community engagement</w:t>
      </w:r>
      <w:r>
        <w:rPr>
          <w:noProof/>
          <w:color w:val="auto"/>
        </w:rPr>
        <w:tab/>
      </w:r>
      <w:r>
        <w:rPr>
          <w:noProof/>
          <w:color w:val="auto"/>
        </w:rPr>
        <w:fldChar w:fldCharType="begin"/>
      </w:r>
      <w:r>
        <w:rPr>
          <w:noProof/>
          <w:color w:val="auto"/>
        </w:rPr>
        <w:instrText xml:space="preserve"> PAGEREF _Toc140575696 \h </w:instrText>
      </w:r>
      <w:r>
        <w:rPr>
          <w:noProof/>
          <w:color w:val="auto"/>
        </w:rPr>
      </w:r>
      <w:r>
        <w:rPr>
          <w:noProof/>
          <w:color w:val="auto"/>
        </w:rPr>
        <w:fldChar w:fldCharType="separate"/>
      </w:r>
      <w:r>
        <w:rPr>
          <w:noProof/>
          <w:color w:val="auto"/>
        </w:rPr>
        <w:t>4</w:t>
      </w:r>
      <w:r>
        <w:rPr>
          <w:noProof/>
          <w:color w:val="auto"/>
        </w:rPr>
        <w:fldChar w:fldCharType="end"/>
      </w:r>
    </w:p>
    <w:p w14:paraId="4EB3B06D" w14:textId="77777777" w:rsidR="004C2D20" w:rsidRDefault="004C2D20" w:rsidP="00D01234">
      <w:pPr>
        <w:pStyle w:val="TOC2"/>
        <w:ind w:left="0"/>
        <w:rPr>
          <w:rFonts w:ascii="Calibri" w:eastAsia="Times New Roman" w:hAnsi="Calibri" w:cs="Times New Roman"/>
          <w:noProof/>
          <w:color w:val="auto"/>
          <w:sz w:val="22"/>
          <w:lang w:val="en-US" w:eastAsia="en-US"/>
        </w:rPr>
      </w:pPr>
      <w:r>
        <w:rPr>
          <w:noProof/>
          <w:color w:val="auto"/>
        </w:rPr>
        <w:t>Implementation of community engagement</w:t>
      </w:r>
      <w:r>
        <w:rPr>
          <w:noProof/>
          <w:color w:val="auto"/>
        </w:rPr>
        <w:tab/>
      </w:r>
      <w:r>
        <w:rPr>
          <w:noProof/>
          <w:color w:val="auto"/>
        </w:rPr>
        <w:fldChar w:fldCharType="begin"/>
      </w:r>
      <w:r>
        <w:rPr>
          <w:noProof/>
          <w:color w:val="auto"/>
        </w:rPr>
        <w:instrText xml:space="preserve"> PAGEREF _Toc140575697 \h </w:instrText>
      </w:r>
      <w:r>
        <w:rPr>
          <w:noProof/>
          <w:color w:val="auto"/>
        </w:rPr>
      </w:r>
      <w:r>
        <w:rPr>
          <w:noProof/>
          <w:color w:val="auto"/>
        </w:rPr>
        <w:fldChar w:fldCharType="separate"/>
      </w:r>
      <w:r>
        <w:rPr>
          <w:noProof/>
          <w:color w:val="auto"/>
        </w:rPr>
        <w:t>5</w:t>
      </w:r>
      <w:r>
        <w:rPr>
          <w:noProof/>
          <w:color w:val="auto"/>
        </w:rPr>
        <w:fldChar w:fldCharType="end"/>
      </w:r>
    </w:p>
    <w:p w14:paraId="5E843072" w14:textId="77777777" w:rsidR="004C2D20" w:rsidRDefault="004C2D20" w:rsidP="00D01234">
      <w:pPr>
        <w:pStyle w:val="TOC2"/>
        <w:ind w:left="0"/>
        <w:rPr>
          <w:rFonts w:ascii="Calibri" w:eastAsia="Times New Roman" w:hAnsi="Calibri" w:cs="Times New Roman"/>
          <w:noProof/>
          <w:color w:val="auto"/>
          <w:sz w:val="22"/>
          <w:lang w:val="en-US" w:eastAsia="en-US"/>
        </w:rPr>
      </w:pPr>
      <w:r>
        <w:rPr>
          <w:noProof/>
          <w:color w:val="auto"/>
        </w:rPr>
        <w:t>Approaches to community engagement</w:t>
      </w:r>
      <w:r>
        <w:rPr>
          <w:noProof/>
          <w:color w:val="auto"/>
        </w:rPr>
        <w:tab/>
      </w:r>
      <w:r>
        <w:rPr>
          <w:noProof/>
          <w:color w:val="auto"/>
        </w:rPr>
        <w:fldChar w:fldCharType="begin"/>
      </w:r>
      <w:r>
        <w:rPr>
          <w:noProof/>
          <w:color w:val="auto"/>
        </w:rPr>
        <w:instrText xml:space="preserve"> PAGEREF _Toc140575698 \h </w:instrText>
      </w:r>
      <w:r>
        <w:rPr>
          <w:noProof/>
          <w:color w:val="auto"/>
        </w:rPr>
      </w:r>
      <w:r>
        <w:rPr>
          <w:noProof/>
          <w:color w:val="auto"/>
        </w:rPr>
        <w:fldChar w:fldCharType="separate"/>
      </w:r>
      <w:r>
        <w:rPr>
          <w:noProof/>
          <w:color w:val="auto"/>
        </w:rPr>
        <w:t>5</w:t>
      </w:r>
      <w:r>
        <w:rPr>
          <w:noProof/>
          <w:color w:val="auto"/>
        </w:rPr>
        <w:fldChar w:fldCharType="end"/>
      </w:r>
    </w:p>
    <w:p w14:paraId="10436001" w14:textId="77777777" w:rsidR="004C2D20" w:rsidRDefault="004C2D20" w:rsidP="00D01234">
      <w:pPr>
        <w:pStyle w:val="TOC2"/>
        <w:ind w:left="0"/>
        <w:rPr>
          <w:rFonts w:ascii="Calibri" w:eastAsia="Times New Roman" w:hAnsi="Calibri" w:cs="Times New Roman"/>
          <w:noProof/>
          <w:color w:val="auto"/>
          <w:sz w:val="22"/>
          <w:lang w:val="en-US" w:eastAsia="en-US"/>
        </w:rPr>
      </w:pPr>
      <w:r>
        <w:rPr>
          <w:noProof/>
          <w:color w:val="auto"/>
        </w:rPr>
        <w:t>Engaging community members in the planning process</w:t>
      </w:r>
      <w:r>
        <w:rPr>
          <w:noProof/>
          <w:color w:val="auto"/>
        </w:rPr>
        <w:tab/>
      </w:r>
      <w:r>
        <w:rPr>
          <w:noProof/>
          <w:color w:val="auto"/>
        </w:rPr>
        <w:fldChar w:fldCharType="begin"/>
      </w:r>
      <w:r>
        <w:rPr>
          <w:noProof/>
          <w:color w:val="auto"/>
        </w:rPr>
        <w:instrText xml:space="preserve"> PAGEREF _Toc140575699 \h </w:instrText>
      </w:r>
      <w:r>
        <w:rPr>
          <w:noProof/>
          <w:color w:val="auto"/>
        </w:rPr>
      </w:r>
      <w:r>
        <w:rPr>
          <w:noProof/>
          <w:color w:val="auto"/>
        </w:rPr>
        <w:fldChar w:fldCharType="separate"/>
      </w:r>
      <w:r>
        <w:rPr>
          <w:noProof/>
          <w:color w:val="auto"/>
        </w:rPr>
        <w:t>6</w:t>
      </w:r>
      <w:r>
        <w:rPr>
          <w:noProof/>
          <w:color w:val="auto"/>
        </w:rPr>
        <w:fldChar w:fldCharType="end"/>
      </w:r>
    </w:p>
    <w:p w14:paraId="03C6D0FF" w14:textId="77777777" w:rsidR="004C2D20" w:rsidRDefault="004C2D20" w:rsidP="00D01234">
      <w:pPr>
        <w:pStyle w:val="TOC2"/>
        <w:ind w:left="0"/>
        <w:rPr>
          <w:rFonts w:ascii="Calibri" w:eastAsia="Times New Roman" w:hAnsi="Calibri" w:cs="Times New Roman"/>
          <w:noProof/>
          <w:color w:val="auto"/>
          <w:sz w:val="22"/>
          <w:lang w:val="en-US" w:eastAsia="en-US"/>
        </w:rPr>
      </w:pPr>
      <w:r>
        <w:rPr>
          <w:noProof/>
          <w:color w:val="auto"/>
        </w:rPr>
        <w:t>Post project plan</w:t>
      </w:r>
      <w:r>
        <w:rPr>
          <w:noProof/>
          <w:color w:val="auto"/>
        </w:rPr>
        <w:tab/>
      </w:r>
      <w:r>
        <w:rPr>
          <w:noProof/>
          <w:color w:val="auto"/>
        </w:rPr>
        <w:fldChar w:fldCharType="begin"/>
      </w:r>
      <w:r>
        <w:rPr>
          <w:noProof/>
          <w:color w:val="auto"/>
        </w:rPr>
        <w:instrText xml:space="preserve"> PAGEREF _Toc140575700 \h </w:instrText>
      </w:r>
      <w:r>
        <w:rPr>
          <w:noProof/>
          <w:color w:val="auto"/>
        </w:rPr>
      </w:r>
      <w:r>
        <w:rPr>
          <w:noProof/>
          <w:color w:val="auto"/>
        </w:rPr>
        <w:fldChar w:fldCharType="separate"/>
      </w:r>
      <w:r>
        <w:rPr>
          <w:noProof/>
          <w:color w:val="auto"/>
        </w:rPr>
        <w:t>8</w:t>
      </w:r>
      <w:r>
        <w:rPr>
          <w:noProof/>
          <w:color w:val="auto"/>
        </w:rPr>
        <w:fldChar w:fldCharType="end"/>
      </w:r>
    </w:p>
    <w:p w14:paraId="7D4C76D0" w14:textId="77777777" w:rsidR="004C2D20" w:rsidRDefault="004C2D20" w:rsidP="00D01234">
      <w:pPr>
        <w:pStyle w:val="TOC1"/>
        <w:rPr>
          <w:rFonts w:ascii="Calibri" w:eastAsia="Times New Roman" w:hAnsi="Calibri" w:cs="Times New Roman"/>
          <w:noProof/>
          <w:color w:val="auto"/>
          <w:sz w:val="22"/>
          <w:lang w:val="en-US" w:eastAsia="en-US"/>
        </w:rPr>
      </w:pPr>
      <w:r>
        <w:rPr>
          <w:noProof/>
          <w:color w:val="auto"/>
        </w:rPr>
        <w:t>CONCLUSION</w:t>
      </w:r>
      <w:r>
        <w:rPr>
          <w:noProof/>
          <w:color w:val="auto"/>
        </w:rPr>
        <w:tab/>
      </w:r>
      <w:r>
        <w:rPr>
          <w:noProof/>
          <w:color w:val="auto"/>
        </w:rPr>
        <w:fldChar w:fldCharType="begin"/>
      </w:r>
      <w:r>
        <w:rPr>
          <w:noProof/>
          <w:color w:val="auto"/>
        </w:rPr>
        <w:instrText xml:space="preserve"> PAGEREF _Toc140575701 \h </w:instrText>
      </w:r>
      <w:r>
        <w:rPr>
          <w:noProof/>
          <w:color w:val="auto"/>
        </w:rPr>
      </w:r>
      <w:r>
        <w:rPr>
          <w:noProof/>
          <w:color w:val="auto"/>
        </w:rPr>
        <w:fldChar w:fldCharType="separate"/>
      </w:r>
      <w:r>
        <w:rPr>
          <w:noProof/>
          <w:color w:val="auto"/>
        </w:rPr>
        <w:t>9</w:t>
      </w:r>
      <w:r>
        <w:rPr>
          <w:noProof/>
          <w:color w:val="auto"/>
        </w:rPr>
        <w:fldChar w:fldCharType="end"/>
      </w:r>
    </w:p>
    <w:p w14:paraId="797701E5" w14:textId="77777777" w:rsidR="004C2D20" w:rsidRDefault="004C2D20" w:rsidP="00D01234">
      <w:pPr>
        <w:pStyle w:val="TOC1"/>
        <w:rPr>
          <w:rFonts w:ascii="Calibri" w:eastAsia="Times New Roman" w:hAnsi="Calibri" w:cs="Times New Roman"/>
          <w:noProof/>
          <w:color w:val="auto"/>
          <w:sz w:val="22"/>
          <w:lang w:val="en-US" w:eastAsia="en-US"/>
        </w:rPr>
      </w:pPr>
      <w:r>
        <w:rPr>
          <w:noProof/>
          <w:color w:val="auto"/>
        </w:rPr>
        <w:t>REFERENCES</w:t>
      </w:r>
      <w:r>
        <w:rPr>
          <w:noProof/>
          <w:color w:val="auto"/>
        </w:rPr>
        <w:tab/>
      </w:r>
      <w:r>
        <w:rPr>
          <w:noProof/>
          <w:color w:val="auto"/>
        </w:rPr>
        <w:fldChar w:fldCharType="begin"/>
      </w:r>
      <w:r>
        <w:rPr>
          <w:noProof/>
          <w:color w:val="auto"/>
        </w:rPr>
        <w:instrText xml:space="preserve"> PAGEREF _Toc140575702 \h </w:instrText>
      </w:r>
      <w:r>
        <w:rPr>
          <w:noProof/>
          <w:color w:val="auto"/>
        </w:rPr>
      </w:r>
      <w:r>
        <w:rPr>
          <w:noProof/>
          <w:color w:val="auto"/>
        </w:rPr>
        <w:fldChar w:fldCharType="separate"/>
      </w:r>
      <w:r>
        <w:rPr>
          <w:noProof/>
          <w:color w:val="auto"/>
        </w:rPr>
        <w:t>10</w:t>
      </w:r>
      <w:r>
        <w:rPr>
          <w:noProof/>
          <w:color w:val="auto"/>
        </w:rPr>
        <w:fldChar w:fldCharType="end"/>
      </w:r>
    </w:p>
    <w:p w14:paraId="6590A39A" w14:textId="77777777" w:rsidR="004C2D20" w:rsidRDefault="004C2D20" w:rsidP="004C2D20">
      <w:pPr>
        <w:rPr>
          <w:color w:val="auto"/>
        </w:rPr>
      </w:pPr>
      <w:r>
        <w:rPr>
          <w:color w:val="auto"/>
        </w:rPr>
        <w:fldChar w:fldCharType="end"/>
      </w:r>
    </w:p>
    <w:p w14:paraId="78E13D0F" w14:textId="77777777" w:rsidR="004C2D20" w:rsidRDefault="004C2D20" w:rsidP="004C2D20">
      <w:pPr>
        <w:pStyle w:val="Heading1"/>
        <w:pageBreakBefore/>
        <w:rPr>
          <w:color w:val="auto"/>
        </w:rPr>
      </w:pPr>
      <w:bookmarkStart w:id="0" w:name="_Toc140575693"/>
      <w:r>
        <w:rPr>
          <w:color w:val="auto"/>
        </w:rPr>
        <w:lastRenderedPageBreak/>
        <w:t>INTRODUCTION</w:t>
      </w:r>
      <w:bookmarkEnd w:id="0"/>
      <w:r>
        <w:rPr>
          <w:color w:val="auto"/>
        </w:rPr>
        <w:t xml:space="preserve"> </w:t>
      </w:r>
    </w:p>
    <w:p w14:paraId="73F05AC9" w14:textId="5CC1309C" w:rsidR="004C2D20" w:rsidRDefault="004C2D20" w:rsidP="004C2D20">
      <w:pPr>
        <w:rPr>
          <w:color w:val="auto"/>
        </w:rPr>
      </w:pPr>
      <w:r>
        <w:rPr>
          <w:color w:val="auto"/>
        </w:rPr>
        <w:t xml:space="preserve">Newham London Borough Council is the local authority as well as it is responsible for social services, council housing, waste collection and disposal, libraries, traffic and other. The goal of the Newham London Borough Council is to enhance the housing quality for all the residents, secure local education, job opportunity, skill development and training along with increase local employment opportunity </w:t>
      </w:r>
      <w:r w:rsidR="006167D9">
        <w:rPr>
          <w:color w:val="auto"/>
        </w:rPr>
        <w:t>to</w:t>
      </w:r>
      <w:r>
        <w:rPr>
          <w:color w:val="auto"/>
        </w:rPr>
        <w:t xml:space="preserve"> contribute overall development of the health, skills as well as quality of life. The main objectives of the Newham council are to cultivate fairness and trust, building economic and personal capacity, connecting people of the society </w:t>
      </w:r>
      <w:r>
        <w:rPr>
          <w:szCs w:val="20"/>
          <w:shd w:val="clear" w:color="auto" w:fill="FFFFFF"/>
        </w:rPr>
        <w:t>(Allison, 2019)</w:t>
      </w:r>
      <w:r>
        <w:rPr>
          <w:color w:val="auto"/>
        </w:rPr>
        <w:t xml:space="preserve">. A key component of the effort is actively incorporating locals in the planning and execution stages, giving them the opportunity to influence the future of their community. It is possible to get a thorough grasp of the community's needs and goals through interacting with local people, businesses, and organisations. Through stakeholder involvement, this participatory method assures that project choices are relevant, effective, and long-lasting. </w:t>
      </w:r>
    </w:p>
    <w:p w14:paraId="66D7D86A" w14:textId="497BA089" w:rsidR="004C2D20" w:rsidRDefault="004C2D20" w:rsidP="00D01234">
      <w:r>
        <w:t xml:space="preserve">The Newham London Borough Council initiative's component that focuses on community participation is the subject of this research study. It tries to determine and meet citizens' needs while gauging the success of engagement initiatives. The paper examines the project's lessons learned and suggests community planning tactics based on the programme. Additionally, it covers a post-project strategy to guarantee ongoing communication with the Newham London community development and enabling locals to maintain the advantages of the effort. The community participation approach used in the Newham London Borough Council project will be </w:t>
      </w:r>
      <w:r w:rsidR="00F72AE4">
        <w:t>exempt</w:t>
      </w:r>
      <w:r>
        <w:t xml:space="preserve"> and evaluated in the following parts of this report. </w:t>
      </w:r>
      <w:r w:rsidR="002C01F7">
        <w:t>They will</w:t>
      </w:r>
      <w:r>
        <w:t xml:space="preserve"> </w:t>
      </w:r>
      <w:r w:rsidR="002C01F7">
        <w:t>investigate</w:t>
      </w:r>
      <w:r>
        <w:t xml:space="preserve"> issues like active involvement, strategies used, </w:t>
      </w:r>
      <w:r w:rsidR="002C01F7">
        <w:t>separate ways</w:t>
      </w:r>
      <w:r>
        <w:t xml:space="preserve"> to include the community in the planning process, lessons gained, and a post-project plan</w:t>
      </w:r>
      <w:sdt>
        <w:sdtPr>
          <w:id w:val="643710072"/>
          <w:citation/>
        </w:sdtPr>
        <w:sdtContent>
          <w:r w:rsidR="00E87148">
            <w:fldChar w:fldCharType="begin"/>
          </w:r>
          <w:r w:rsidR="00E87148">
            <w:instrText xml:space="preserve"> CITATION New23 \l 2057 </w:instrText>
          </w:r>
          <w:r w:rsidR="00E87148">
            <w:fldChar w:fldCharType="separate"/>
          </w:r>
          <w:r w:rsidR="00E87148">
            <w:rPr>
              <w:noProof/>
            </w:rPr>
            <w:t xml:space="preserve"> </w:t>
          </w:r>
          <w:r w:rsidR="00E87148" w:rsidRPr="00E87148">
            <w:rPr>
              <w:noProof/>
            </w:rPr>
            <w:t>(Newham council, 2023)</w:t>
          </w:r>
          <w:r w:rsidR="00E87148">
            <w:fldChar w:fldCharType="end"/>
          </w:r>
        </w:sdtContent>
      </w:sdt>
      <w:r>
        <w:t>.</w:t>
      </w:r>
    </w:p>
    <w:p w14:paraId="01963D0B" w14:textId="77777777" w:rsidR="004C2D20" w:rsidRDefault="004C2D20" w:rsidP="004C2D20">
      <w:pPr>
        <w:pStyle w:val="Heading1"/>
        <w:rPr>
          <w:color w:val="auto"/>
        </w:rPr>
      </w:pPr>
      <w:bookmarkStart w:id="1" w:name="_Toc140575694"/>
      <w:r>
        <w:rPr>
          <w:color w:val="auto"/>
        </w:rPr>
        <w:t>MAIN BODY</w:t>
      </w:r>
      <w:bookmarkEnd w:id="1"/>
    </w:p>
    <w:p w14:paraId="7BB07D00" w14:textId="77777777" w:rsidR="004C2D20" w:rsidRPr="00D01234" w:rsidRDefault="004C2D20" w:rsidP="004C2D20">
      <w:pPr>
        <w:pStyle w:val="Heading2"/>
        <w:rPr>
          <w:b/>
          <w:bCs w:val="0"/>
          <w:color w:val="auto"/>
          <w:sz w:val="28"/>
          <w:szCs w:val="28"/>
          <w:u w:val="none"/>
        </w:rPr>
      </w:pPr>
      <w:bookmarkStart w:id="2" w:name="_Toc140575695"/>
      <w:r w:rsidRPr="00D01234">
        <w:rPr>
          <w:b/>
          <w:bCs w:val="0"/>
          <w:color w:val="auto"/>
          <w:sz w:val="28"/>
          <w:szCs w:val="28"/>
          <w:u w:val="none"/>
        </w:rPr>
        <w:t>Project overview</w:t>
      </w:r>
      <w:bookmarkEnd w:id="2"/>
      <w:r w:rsidRPr="00D01234">
        <w:rPr>
          <w:b/>
          <w:bCs w:val="0"/>
          <w:color w:val="auto"/>
          <w:sz w:val="28"/>
          <w:szCs w:val="28"/>
          <w:u w:val="none"/>
        </w:rPr>
        <w:t xml:space="preserve"> </w:t>
      </w:r>
    </w:p>
    <w:p w14:paraId="3CB85712" w14:textId="18040883" w:rsidR="004C2D20" w:rsidRDefault="004C2D20" w:rsidP="004C2D20">
      <w:pPr>
        <w:rPr>
          <w:color w:val="auto"/>
        </w:rPr>
      </w:pPr>
      <w:r>
        <w:rPr>
          <w:color w:val="auto"/>
        </w:rPr>
        <w:t xml:space="preserve">The Newham London Borough Council project addresses social, economic, and environmental challenges in the local area. The project seeks to foster community wealth building, improving housing, </w:t>
      </w:r>
      <w:proofErr w:type="gramStart"/>
      <w:r>
        <w:rPr>
          <w:color w:val="auto"/>
        </w:rPr>
        <w:t>health</w:t>
      </w:r>
      <w:proofErr w:type="gramEnd"/>
      <w:r>
        <w:rPr>
          <w:color w:val="auto"/>
        </w:rPr>
        <w:t xml:space="preserve"> and air quality of local area. Provide employment opportunity, supporting new macro businesses, infrastructure development, local requirements, and environmental preservation are covered under the project (</w:t>
      </w:r>
      <w:r>
        <w:rPr>
          <w:i/>
          <w:color w:val="auto"/>
        </w:rPr>
        <w:t>Building a fairer Newham, 2023</w:t>
      </w:r>
      <w:r>
        <w:rPr>
          <w:color w:val="auto"/>
        </w:rPr>
        <w:t xml:space="preserve">). In Newham London, poor public transit, restricted open spaces, social inequality, and economic imbalances are addressed by the plan </w:t>
      </w:r>
      <w:r>
        <w:rPr>
          <w:szCs w:val="20"/>
          <w:shd w:val="clear" w:color="auto" w:fill="FFFFFF"/>
        </w:rPr>
        <w:t>(Hague, 2021)</w:t>
      </w:r>
      <w:r>
        <w:rPr>
          <w:color w:val="auto"/>
        </w:rPr>
        <w:t xml:space="preserve">.  The members of the Newham London Borough Council </w:t>
      </w:r>
      <w:r w:rsidR="006167D9">
        <w:rPr>
          <w:color w:val="auto"/>
        </w:rPr>
        <w:t>cover</w:t>
      </w:r>
      <w:r>
        <w:rPr>
          <w:color w:val="auto"/>
        </w:rPr>
        <w:t xml:space="preserve"> community wealth building, improve social values, support local and small </w:t>
      </w:r>
      <w:r>
        <w:rPr>
          <w:color w:val="auto"/>
        </w:rPr>
        <w:lastRenderedPageBreak/>
        <w:t xml:space="preserve">businesses, develop </w:t>
      </w:r>
      <w:proofErr w:type="gramStart"/>
      <w:r>
        <w:rPr>
          <w:color w:val="auto"/>
        </w:rPr>
        <w:t>skills</w:t>
      </w:r>
      <w:proofErr w:type="gramEnd"/>
      <w:r>
        <w:rPr>
          <w:color w:val="auto"/>
        </w:rPr>
        <w:t xml:space="preserve"> and provide training to the local people to improve their future living standard, increase employment, housing facilities, health and air quality and Democratising the Local Economy.</w:t>
      </w:r>
    </w:p>
    <w:p w14:paraId="06F12C7A" w14:textId="46CCDE26" w:rsidR="004C2D20" w:rsidRDefault="004C2D20" w:rsidP="004C2D20">
      <w:pPr>
        <w:rPr>
          <w:color w:val="auto"/>
        </w:rPr>
      </w:pPr>
      <w:r>
        <w:rPr>
          <w:color w:val="auto"/>
        </w:rPr>
        <w:t xml:space="preserve">The three-year project will be completed in phases. To understand local people needs and goals, extensive research and community engagement are needed. Following this step, local community and people of local area feedback is used to develop and create solutions. The next phases concentrate on implementing objectives, upgrading infrastructure, and communicating with communities.  Residents of all ages, local businesses, community organisations, schools, and government institutions are targeted by the Newham London Borough Council programme. Each stakeholder benefits from the initiative. Local companies may profit from increased expenditure and economic potential. Community groups may shape the effort to address local needs. The project's implementation helps achieve sustainable local area growth and developing economy of local area with government efforts </w:t>
      </w:r>
      <w:r>
        <w:rPr>
          <w:szCs w:val="20"/>
          <w:shd w:val="clear" w:color="auto" w:fill="FFFFFF"/>
        </w:rPr>
        <w:t>(Seering, and et.al., 2019)</w:t>
      </w:r>
      <w:r>
        <w:rPr>
          <w:color w:val="auto"/>
        </w:rPr>
        <w:t>.</w:t>
      </w:r>
    </w:p>
    <w:p w14:paraId="6D43FD1D" w14:textId="77777777" w:rsidR="004C2D20" w:rsidRPr="00B8499B" w:rsidRDefault="004C2D20" w:rsidP="004C2D20">
      <w:pPr>
        <w:pStyle w:val="Heading2"/>
        <w:rPr>
          <w:b/>
          <w:bCs w:val="0"/>
          <w:color w:val="auto"/>
          <w:sz w:val="28"/>
          <w:szCs w:val="28"/>
          <w:u w:val="none"/>
        </w:rPr>
      </w:pPr>
      <w:bookmarkStart w:id="3" w:name="_Toc140575696"/>
      <w:r w:rsidRPr="00B8499B">
        <w:rPr>
          <w:b/>
          <w:bCs w:val="0"/>
          <w:color w:val="auto"/>
          <w:sz w:val="28"/>
          <w:szCs w:val="28"/>
          <w:u w:val="none"/>
        </w:rPr>
        <w:t>Evaluation of community engagement</w:t>
      </w:r>
      <w:bookmarkEnd w:id="3"/>
      <w:r w:rsidRPr="00B8499B">
        <w:rPr>
          <w:b/>
          <w:bCs w:val="0"/>
          <w:color w:val="auto"/>
          <w:sz w:val="28"/>
          <w:szCs w:val="28"/>
          <w:u w:val="none"/>
        </w:rPr>
        <w:t xml:space="preserve"> </w:t>
      </w:r>
    </w:p>
    <w:p w14:paraId="64523599" w14:textId="77777777" w:rsidR="004C2D20" w:rsidRDefault="004C2D20" w:rsidP="004C2D20">
      <w:pPr>
        <w:rPr>
          <w:b/>
          <w:color w:val="auto"/>
        </w:rPr>
      </w:pPr>
      <w:r>
        <w:rPr>
          <w:b/>
          <w:color w:val="auto"/>
        </w:rPr>
        <w:t xml:space="preserve">Community engagement research </w:t>
      </w:r>
    </w:p>
    <w:p w14:paraId="40DF165C" w14:textId="77777777" w:rsidR="004C2D20" w:rsidRDefault="004C2D20" w:rsidP="00B8499B">
      <w:pPr>
        <w:rPr>
          <w:color w:val="auto"/>
        </w:rPr>
      </w:pPr>
      <w:r>
        <w:rPr>
          <w:color w:val="auto"/>
        </w:rPr>
        <w:t>Newham London Borough Council relies on community engagement research. The community needs and concerns research guides the project and incorporates community voices. Surveys, interviews, focus groups, and town hall meetings collected data. Electronic and paper surveys were distributed to maximise community involvement. Leaders, businesses, and competent locals participated in the study. Focus groups let individuals explore their aims, fears, and ideas.</w:t>
      </w:r>
    </w:p>
    <w:p w14:paraId="496990DA" w14:textId="77777777" w:rsidR="004C2D20" w:rsidRDefault="004C2D20" w:rsidP="00B8499B">
      <w:pPr>
        <w:rPr>
          <w:color w:val="auto"/>
        </w:rPr>
      </w:pPr>
      <w:r>
        <w:rPr>
          <w:color w:val="auto"/>
        </w:rPr>
        <w:t>These data gathering techniques may be assessed using many criteria. To guarantee representation, the research should first comprise a demographically and socioeconomically varied population sample. The community must also comprehend and use the research methodologies. Inclusion requires considering cultural and language limitations.</w:t>
      </w:r>
    </w:p>
    <w:p w14:paraId="71E6D555" w14:textId="77777777" w:rsidR="004C2D20" w:rsidRDefault="004C2D20" w:rsidP="004C2D20">
      <w:pPr>
        <w:rPr>
          <w:color w:val="auto"/>
        </w:rPr>
      </w:pPr>
      <w:r>
        <w:rPr>
          <w:color w:val="auto"/>
        </w:rPr>
        <w:t xml:space="preserve">Diverse scholars may evaluate community participation. Examine if disabled, aged, and low-income people were treated appropriately and had a role in the study process. Survey, interview, and focus group demographics might reveal the study sample's representativeness and variance </w:t>
      </w:r>
      <w:r>
        <w:rPr>
          <w:szCs w:val="20"/>
          <w:shd w:val="clear" w:color="auto" w:fill="FFFFFF"/>
        </w:rPr>
        <w:t xml:space="preserve">(Oliveira. and </w:t>
      </w:r>
      <w:proofErr w:type="spellStart"/>
      <w:r>
        <w:rPr>
          <w:szCs w:val="20"/>
          <w:shd w:val="clear" w:color="auto" w:fill="FFFFFF"/>
        </w:rPr>
        <w:t>Hersperger</w:t>
      </w:r>
      <w:proofErr w:type="spellEnd"/>
      <w:r>
        <w:rPr>
          <w:szCs w:val="20"/>
          <w:shd w:val="clear" w:color="auto" w:fill="FFFFFF"/>
        </w:rPr>
        <w:t>, 2021)</w:t>
      </w:r>
      <w:r>
        <w:rPr>
          <w:color w:val="auto"/>
        </w:rPr>
        <w:t xml:space="preserve">. </w:t>
      </w:r>
    </w:p>
    <w:p w14:paraId="3F930B6D" w14:textId="77777777" w:rsidR="004C2D20" w:rsidRDefault="004C2D20" w:rsidP="00B8499B">
      <w:pPr>
        <w:rPr>
          <w:color w:val="auto"/>
        </w:rPr>
      </w:pPr>
      <w:r>
        <w:rPr>
          <w:color w:val="auto"/>
        </w:rPr>
        <w:t>Consider community empowerment and involvement throughout the study process. Were community members able to speak out, ask questions, and provide feedback? Assessing engagement may reveal gaps and provide solutions. The research's sample representativeness, data reliability, and inclusion of underrepresented groups will reveal Newham London's needs and concerns. This assessment will guide community participation and project operations.</w:t>
      </w:r>
    </w:p>
    <w:p w14:paraId="072A1DA8" w14:textId="77777777" w:rsidR="004C2D20" w:rsidRPr="00B8499B" w:rsidRDefault="004C2D20" w:rsidP="004C2D20">
      <w:pPr>
        <w:pStyle w:val="Heading2"/>
        <w:rPr>
          <w:b/>
          <w:bCs w:val="0"/>
          <w:color w:val="auto"/>
          <w:sz w:val="28"/>
          <w:szCs w:val="28"/>
          <w:u w:val="none"/>
        </w:rPr>
      </w:pPr>
      <w:bookmarkStart w:id="4" w:name="_Toc140575697"/>
      <w:r w:rsidRPr="00B8499B">
        <w:rPr>
          <w:b/>
          <w:bCs w:val="0"/>
          <w:color w:val="auto"/>
          <w:sz w:val="28"/>
          <w:szCs w:val="28"/>
          <w:u w:val="none"/>
        </w:rPr>
        <w:lastRenderedPageBreak/>
        <w:t>Implementation of community engagement</w:t>
      </w:r>
      <w:bookmarkEnd w:id="4"/>
      <w:r w:rsidRPr="00B8499B">
        <w:rPr>
          <w:b/>
          <w:bCs w:val="0"/>
          <w:color w:val="auto"/>
          <w:sz w:val="28"/>
          <w:szCs w:val="28"/>
          <w:u w:val="none"/>
        </w:rPr>
        <w:t xml:space="preserve"> </w:t>
      </w:r>
    </w:p>
    <w:p w14:paraId="75C06D53" w14:textId="40DD296E" w:rsidR="004C2D20" w:rsidRDefault="004C2D20" w:rsidP="004C2D20">
      <w:pPr>
        <w:rPr>
          <w:color w:val="auto"/>
        </w:rPr>
      </w:pPr>
      <w:r>
        <w:rPr>
          <w:color w:val="auto"/>
        </w:rPr>
        <w:t xml:space="preserve">The corporate and community engagement plan of Newham London Borough Council includes various strategies and approach such as racial and gender inequality approach, responding to the climate uncertainty, anti-poverty strategy, movement for the economy democracy and other. Newham London Borough Council conducted community engagement events </w:t>
      </w:r>
      <w:r w:rsidR="006167D9">
        <w:rPr>
          <w:color w:val="auto"/>
        </w:rPr>
        <w:t>to</w:t>
      </w:r>
      <w:r>
        <w:rPr>
          <w:color w:val="auto"/>
        </w:rPr>
        <w:t xml:space="preserve"> increase partnership with the voluntary sector, engage </w:t>
      </w:r>
      <w:r w:rsidR="006C43BE">
        <w:rPr>
          <w:color w:val="auto"/>
        </w:rPr>
        <w:t>residents</w:t>
      </w:r>
      <w:r>
        <w:rPr>
          <w:color w:val="auto"/>
        </w:rPr>
        <w:t xml:space="preserve">, people of local area and investors, local area </w:t>
      </w:r>
      <w:r w:rsidR="00B8499B">
        <w:rPr>
          <w:color w:val="auto"/>
        </w:rPr>
        <w:t>businessman</w:t>
      </w:r>
      <w:r>
        <w:rPr>
          <w:color w:val="auto"/>
        </w:rPr>
        <w:t xml:space="preserve"> and other to gain their support to achieve the goals of community wealth building strategy. These events encouraged cooperation, gathered community ideas, and ensured their voices were heard and included into the project. To include people, seminars, forums, and town halls were held. </w:t>
      </w:r>
      <w:r w:rsidR="006167D9">
        <w:rPr>
          <w:color w:val="auto"/>
        </w:rPr>
        <w:t>Residents</w:t>
      </w:r>
      <w:r>
        <w:rPr>
          <w:color w:val="auto"/>
        </w:rPr>
        <w:t xml:space="preserve"> may voice their thoughts, ask questions, and get project updates during public meetings. </w:t>
      </w:r>
    </w:p>
    <w:p w14:paraId="722F0B4D" w14:textId="77777777" w:rsidR="004C2D20" w:rsidRDefault="004C2D20" w:rsidP="00B8499B">
      <w:pPr>
        <w:rPr>
          <w:color w:val="auto"/>
        </w:rPr>
      </w:pPr>
      <w:r>
        <w:rPr>
          <w:color w:val="auto"/>
        </w:rPr>
        <w:t xml:space="preserve">Certain places and populations had greater community involvement activities. Participation was greater in densely populated project locations. The project's advantages also encouraged involvement in these regions. Social and economic inequality drew traditionally marginalised people to the project </w:t>
      </w:r>
      <w:r>
        <w:rPr>
          <w:szCs w:val="20"/>
          <w:shd w:val="clear" w:color="auto" w:fill="FFFFFF"/>
        </w:rPr>
        <w:t>(Goforth, and et.al., 2022).</w:t>
      </w:r>
      <w:r>
        <w:rPr>
          <w:color w:val="auto"/>
        </w:rPr>
        <w:t xml:space="preserve"> The campaign also targeted poor groups to secure their involvement. Language hurdles were addressed through targeted outreach, local alliances, and translation services. The project's extensive engagement assured community benefit.</w:t>
      </w:r>
    </w:p>
    <w:p w14:paraId="11D17672" w14:textId="77777777" w:rsidR="004C2D20" w:rsidRPr="00B8499B" w:rsidRDefault="004C2D20" w:rsidP="004C2D20">
      <w:pPr>
        <w:pStyle w:val="Heading2"/>
        <w:rPr>
          <w:b/>
          <w:bCs w:val="0"/>
          <w:color w:val="auto"/>
          <w:sz w:val="28"/>
          <w:szCs w:val="28"/>
        </w:rPr>
      </w:pPr>
      <w:bookmarkStart w:id="5" w:name="_Toc140575698"/>
      <w:r w:rsidRPr="00B8499B">
        <w:rPr>
          <w:b/>
          <w:bCs w:val="0"/>
          <w:color w:val="auto"/>
          <w:sz w:val="28"/>
          <w:szCs w:val="28"/>
        </w:rPr>
        <w:t>Approaches to community engagement</w:t>
      </w:r>
      <w:bookmarkEnd w:id="5"/>
      <w:r w:rsidRPr="00B8499B">
        <w:rPr>
          <w:b/>
          <w:bCs w:val="0"/>
          <w:color w:val="auto"/>
          <w:sz w:val="28"/>
          <w:szCs w:val="28"/>
        </w:rPr>
        <w:t xml:space="preserve"> </w:t>
      </w:r>
    </w:p>
    <w:p w14:paraId="2BB9B56D" w14:textId="77777777" w:rsidR="004C2D20" w:rsidRDefault="004C2D20" w:rsidP="00B8499B">
      <w:r>
        <w:t>The Newham Council initiative's approaches for including the community in the decision-making process included a variety of techniques. These methods comprised:</w:t>
      </w:r>
    </w:p>
    <w:p w14:paraId="0E71F16A" w14:textId="77777777" w:rsidR="004C2D20" w:rsidRDefault="004C2D20" w:rsidP="00B8499B">
      <w:pPr>
        <w:widowControl w:val="0"/>
      </w:pPr>
      <w:r>
        <w:rPr>
          <w:b/>
        </w:rPr>
        <w:t>Public meetings</w:t>
      </w:r>
      <w:r>
        <w:t>: Community members may express their concerns, get information on the project's progress, and have direct conversations with project employees during public meetings. Face-to-face communication improved trust among community stakeholders and boosted transparency. It is crucial to remember that those who feel comfortable speaking in front of groups of people or attending public events may benefit from them more (Hall, and et.al., 2020).</w:t>
      </w:r>
    </w:p>
    <w:p w14:paraId="444728AE" w14:textId="77777777" w:rsidR="004C2D20" w:rsidRDefault="004C2D20" w:rsidP="00B8499B">
      <w:pPr>
        <w:widowControl w:val="0"/>
      </w:pPr>
      <w:r>
        <w:rPr>
          <w:b/>
        </w:rPr>
        <w:t>Workshops:</w:t>
      </w:r>
      <w:r>
        <w:t xml:space="preserve"> To encourage in-depth discussions and collaborative design processes, workshops were held. Community members were able to actively contribute their thoughts, information, and preferences to project development via these interactive meetings. Workshops promoted active participation and made it possible to include community comments in project design and execution.</w:t>
      </w:r>
    </w:p>
    <w:p w14:paraId="78F06563" w14:textId="77777777" w:rsidR="004C2D20" w:rsidRDefault="004C2D20" w:rsidP="00B8499B">
      <w:pPr>
        <w:widowControl w:val="0"/>
      </w:pPr>
      <w:r>
        <w:rPr>
          <w:b/>
        </w:rPr>
        <w:t>Community relationships</w:t>
      </w:r>
      <w:r>
        <w:t xml:space="preserve">: Creating partnerships with companies, organisations, and other </w:t>
      </w:r>
      <w:r>
        <w:lastRenderedPageBreak/>
        <w:t>stakeholders was crucial for spreading knowledge and boosting participation in the community. Working with these partners made it possible to pool resources, broaden the project's audience, and include other viewpoints. The initiative might better understand and solve community needs by including a wider variety of stakeholders, promoting trust and active involvement (</w:t>
      </w:r>
      <w:proofErr w:type="spellStart"/>
      <w:r>
        <w:t>Ogunrin</w:t>
      </w:r>
      <w:proofErr w:type="spellEnd"/>
      <w:r>
        <w:t>, and et.al., 2022).</w:t>
      </w:r>
    </w:p>
    <w:p w14:paraId="396E806D" w14:textId="4A1CA1C6" w:rsidR="004C2D20" w:rsidRDefault="004C2D20" w:rsidP="00B8499B">
      <w:r>
        <w:t xml:space="preserve">It is essential to </w:t>
      </w:r>
      <w:r w:rsidR="006167D9">
        <w:t>consider</w:t>
      </w:r>
      <w:r>
        <w:t xml:space="preserve"> local area people requirements, interests, and limitations </w:t>
      </w:r>
      <w:r w:rsidR="006C43BE">
        <w:t>to</w:t>
      </w:r>
      <w:r>
        <w:t xml:space="preserve"> improve community involvement in the Newham London Borough Council effort. To determine the efficacy of each strategy and make the required modifications to promote meaningful and inclusive involvement throughout the project, regular evaluation and feedback loops should developed</w:t>
      </w:r>
      <w:sdt>
        <w:sdtPr>
          <w:id w:val="-1869594529"/>
          <w:citation/>
        </w:sdtPr>
        <w:sdtContent>
          <w:r w:rsidR="00111B93">
            <w:fldChar w:fldCharType="begin"/>
          </w:r>
          <w:r w:rsidR="00111B93">
            <w:instrText xml:space="preserve"> CITATION New23 \l 2057 </w:instrText>
          </w:r>
          <w:r w:rsidR="00111B93">
            <w:fldChar w:fldCharType="separate"/>
          </w:r>
          <w:r w:rsidR="00111B93">
            <w:rPr>
              <w:noProof/>
            </w:rPr>
            <w:t xml:space="preserve"> </w:t>
          </w:r>
          <w:r w:rsidR="00111B93" w:rsidRPr="00111B93">
            <w:rPr>
              <w:noProof/>
            </w:rPr>
            <w:t>(Newham council, 2023)</w:t>
          </w:r>
          <w:r w:rsidR="00111B93">
            <w:fldChar w:fldCharType="end"/>
          </w:r>
        </w:sdtContent>
      </w:sdt>
      <w:r>
        <w:t>.</w:t>
      </w:r>
    </w:p>
    <w:p w14:paraId="5F419A01" w14:textId="77777777" w:rsidR="004C2D20" w:rsidRPr="00B8499B" w:rsidRDefault="004C2D20" w:rsidP="004C2D20">
      <w:pPr>
        <w:pStyle w:val="Heading2"/>
        <w:rPr>
          <w:b/>
          <w:bCs w:val="0"/>
          <w:color w:val="auto"/>
          <w:sz w:val="28"/>
          <w:szCs w:val="28"/>
          <w:u w:val="none"/>
        </w:rPr>
      </w:pPr>
      <w:bookmarkStart w:id="6" w:name="_Toc140575699"/>
      <w:r w:rsidRPr="00B8499B">
        <w:rPr>
          <w:b/>
          <w:bCs w:val="0"/>
          <w:color w:val="auto"/>
          <w:sz w:val="28"/>
          <w:szCs w:val="28"/>
          <w:u w:val="none"/>
        </w:rPr>
        <w:t>Engaging community members in the planning process</w:t>
      </w:r>
      <w:bookmarkEnd w:id="6"/>
      <w:r w:rsidRPr="00B8499B">
        <w:rPr>
          <w:b/>
          <w:bCs w:val="0"/>
          <w:color w:val="auto"/>
          <w:sz w:val="28"/>
          <w:szCs w:val="28"/>
          <w:u w:val="none"/>
        </w:rPr>
        <w:t xml:space="preserve"> </w:t>
      </w:r>
    </w:p>
    <w:p w14:paraId="72BE1258" w14:textId="77777777" w:rsidR="004C2D20" w:rsidRDefault="004C2D20" w:rsidP="00B8499B">
      <w:r>
        <w:t>Several efficient tactics were used to effectively incorporate the community in the planning process for the Newham London Borough Council effort.</w:t>
      </w:r>
    </w:p>
    <w:p w14:paraId="00D2AF16" w14:textId="274A7CF6" w:rsidR="004C2D20" w:rsidRDefault="004C2D20" w:rsidP="00B8499B">
      <w:pPr>
        <w:widowControl w:val="0"/>
      </w:pPr>
      <w:r>
        <w:rPr>
          <w:b/>
        </w:rPr>
        <w:t>Community workshops and design charrettes</w:t>
      </w:r>
      <w:r>
        <w:t>: These participatory events gave locals a chance to actively engage in the planning process. Participants we</w:t>
      </w:r>
      <w:r w:rsidR="00AD3887">
        <w:t xml:space="preserve"> a</w:t>
      </w:r>
      <w:r>
        <w:t>re allowed to explore the project's direction, aesthetics, and practicality via open discussions on a variety of topics. Workshops and design charrettes promoted teamwork, co-design, and the creation of community-driven projects, ensuring that the opinions of the community were taken into consideration.</w:t>
      </w:r>
    </w:p>
    <w:p w14:paraId="2D938EDF" w14:textId="77777777" w:rsidR="004C2D20" w:rsidRDefault="004C2D20" w:rsidP="00B8499B">
      <w:pPr>
        <w:widowControl w:val="0"/>
      </w:pPr>
      <w:r>
        <w:rPr>
          <w:b/>
        </w:rPr>
        <w:t>Advisory boards:</w:t>
      </w:r>
      <w:r>
        <w:t xml:space="preserve"> Creating a community advisory board specifically for corporate sector and people of local area facilitated ongoing community participation throughout the planning process. The advisory board, made up of people of the community who were chosen at random, was essential in offering suggestions, suggestions, and insights throughout the project. Community members felt in charge of the results through contributing to the decision-making process, which helped to mould the project to meet their needs and goals (Bullock, Garland. and Coupar, 2021).</w:t>
      </w:r>
    </w:p>
    <w:p w14:paraId="10DCDD7A" w14:textId="4F309E5E" w:rsidR="004C2D20" w:rsidRDefault="004C2D20" w:rsidP="00B8499B">
      <w:pPr>
        <w:widowControl w:val="0"/>
      </w:pPr>
      <w:r>
        <w:rPr>
          <w:b/>
        </w:rPr>
        <w:t>Involving people in local plan-</w:t>
      </w:r>
      <w:r>
        <w:t xml:space="preserve"> The members of the Newham London Borough Council involve people who work with local community, investors, voluntary business, developer and many more to make the plan for improving the wealth and living standard of the local people, provide training and education to them to increase their skill and employment opportunity.  They also allow them to give feedback about the implementation and progress of community development plan or corporate plan </w:t>
      </w:r>
      <w:r w:rsidR="006167D9">
        <w:t>to</w:t>
      </w:r>
      <w:r>
        <w:t xml:space="preserve"> make further improvement to meet goals. </w:t>
      </w:r>
    </w:p>
    <w:p w14:paraId="042955D9" w14:textId="7915DEB5" w:rsidR="004C2D20" w:rsidRDefault="004C2D20" w:rsidP="00B8499B">
      <w:r>
        <w:lastRenderedPageBreak/>
        <w:t xml:space="preserve">By using these strategies, the Newham London Borough Council effort made sure that locals had valuable chances to participate in the planning process. Their opinions and suggestions were </w:t>
      </w:r>
      <w:r w:rsidR="006C43BE">
        <w:t>considered</w:t>
      </w:r>
      <w:r>
        <w:t xml:space="preserve"> via community workshops, design charrettes, advisory boards, and online platforms, </w:t>
      </w:r>
      <w:r w:rsidR="006167D9">
        <w:t>involving</w:t>
      </w:r>
      <w:r>
        <w:t xml:space="preserve"> people in local plan, establishing a feeling of </w:t>
      </w:r>
      <w:r w:rsidR="00AD3887">
        <w:t>ownership,</w:t>
      </w:r>
      <w:r>
        <w:t xml:space="preserve"> and developing a community-driven approach to the project </w:t>
      </w:r>
      <w:sdt>
        <w:sdtPr>
          <w:id w:val="310677086"/>
          <w:citation/>
        </w:sdtPr>
        <w:sdtContent>
          <w:r w:rsidR="00111B93">
            <w:fldChar w:fldCharType="begin"/>
          </w:r>
          <w:r w:rsidR="00111B93">
            <w:instrText xml:space="preserve"> CITATION New23 \l 2057 </w:instrText>
          </w:r>
          <w:r w:rsidR="00111B93">
            <w:fldChar w:fldCharType="separate"/>
          </w:r>
          <w:r w:rsidR="00111B93" w:rsidRPr="00111B93">
            <w:rPr>
              <w:noProof/>
            </w:rPr>
            <w:t>(Newham council, 2023)</w:t>
          </w:r>
          <w:r w:rsidR="00111B93">
            <w:fldChar w:fldCharType="end"/>
          </w:r>
        </w:sdtContent>
      </w:sdt>
      <w:r>
        <w:t>.</w:t>
      </w:r>
    </w:p>
    <w:p w14:paraId="40CF0A5C" w14:textId="77777777" w:rsidR="004C2D20" w:rsidRDefault="004C2D20" w:rsidP="004C2D20">
      <w:pPr>
        <w:rPr>
          <w:b/>
          <w:color w:val="auto"/>
        </w:rPr>
      </w:pPr>
      <w:r>
        <w:rPr>
          <w:b/>
          <w:color w:val="auto"/>
        </w:rPr>
        <w:t xml:space="preserve">Evaluation of participatory planning techniques </w:t>
      </w:r>
    </w:p>
    <w:p w14:paraId="61CD472B" w14:textId="77777777" w:rsidR="004C2D20" w:rsidRDefault="004C2D20" w:rsidP="00B8499B">
      <w:pPr>
        <w:rPr>
          <w:color w:val="auto"/>
        </w:rPr>
      </w:pPr>
      <w:r>
        <w:rPr>
          <w:color w:val="auto"/>
        </w:rPr>
        <w:t>The Newham London Borough Council initiative's evaluation of participatory planning methods yields the following salient conclusions:</w:t>
      </w:r>
    </w:p>
    <w:p w14:paraId="1B3039C1" w14:textId="652D09A5" w:rsidR="004C2D20" w:rsidRPr="00B8499B" w:rsidRDefault="004C2D20" w:rsidP="004C2D20">
      <w:pPr>
        <w:rPr>
          <w:b/>
          <w:iCs/>
          <w:color w:val="auto"/>
          <w:sz w:val="28"/>
          <w:szCs w:val="28"/>
        </w:rPr>
      </w:pPr>
      <w:r w:rsidRPr="00B8499B">
        <w:rPr>
          <w:b/>
          <w:iCs/>
          <w:color w:val="auto"/>
          <w:sz w:val="28"/>
          <w:szCs w:val="28"/>
        </w:rPr>
        <w:t xml:space="preserve">Lessons </w:t>
      </w:r>
      <w:r w:rsidR="00B8499B" w:rsidRPr="00B8499B">
        <w:rPr>
          <w:b/>
          <w:iCs/>
          <w:color w:val="auto"/>
          <w:sz w:val="28"/>
          <w:szCs w:val="28"/>
        </w:rPr>
        <w:t>learned.</w:t>
      </w:r>
      <w:r w:rsidRPr="00B8499B">
        <w:rPr>
          <w:b/>
          <w:iCs/>
          <w:color w:val="auto"/>
          <w:sz w:val="28"/>
          <w:szCs w:val="28"/>
        </w:rPr>
        <w:t xml:space="preserve"> </w:t>
      </w:r>
    </w:p>
    <w:p w14:paraId="242461A1" w14:textId="77777777" w:rsidR="004C2D20" w:rsidRDefault="004C2D20" w:rsidP="00B8499B">
      <w:pPr>
        <w:rPr>
          <w:color w:val="auto"/>
        </w:rPr>
      </w:pPr>
      <w:r>
        <w:rPr>
          <w:b/>
          <w:color w:val="auto"/>
        </w:rPr>
        <w:t>Early engagement</w:t>
      </w:r>
      <w:r>
        <w:rPr>
          <w:color w:val="auto"/>
        </w:rPr>
        <w:t>: Talking to community members early on builds rapport and shows that their perspectives matter. When included from the start, community involvement may significantly influence the objectives and layout of a project.</w:t>
      </w:r>
    </w:p>
    <w:p w14:paraId="22C22007" w14:textId="4E333CEB" w:rsidR="004C2D20" w:rsidRDefault="004C2D20" w:rsidP="00B8499B">
      <w:pPr>
        <w:rPr>
          <w:color w:val="auto"/>
        </w:rPr>
      </w:pPr>
      <w:r>
        <w:rPr>
          <w:b/>
          <w:color w:val="auto"/>
        </w:rPr>
        <w:t>Diverse engagement strategies</w:t>
      </w:r>
      <w:r>
        <w:rPr>
          <w:color w:val="auto"/>
        </w:rPr>
        <w:t>: Reaching a wider cross-section of the community is made possible by using a variety of engagement strategies, such as meetings, online discussion boards, surveys, and seminars. Increased engagement and the collecting of in-depth information are</w:t>
      </w:r>
      <w:r w:rsidR="00CE1AFC">
        <w:rPr>
          <w:color w:val="auto"/>
        </w:rPr>
        <w:t xml:space="preserve"> being</w:t>
      </w:r>
      <w:r>
        <w:rPr>
          <w:color w:val="auto"/>
        </w:rPr>
        <w:t xml:space="preserve"> made easier </w:t>
      </w:r>
      <w:r w:rsidR="006167D9">
        <w:rPr>
          <w:color w:val="auto"/>
        </w:rPr>
        <w:t>using</w:t>
      </w:r>
      <w:r>
        <w:rPr>
          <w:color w:val="auto"/>
        </w:rPr>
        <w:t xml:space="preserve"> numerous approaches (Amorelli. and García‐Sánchez, 2021).</w:t>
      </w:r>
    </w:p>
    <w:p w14:paraId="0C536B69" w14:textId="77777777" w:rsidR="004C2D20" w:rsidRDefault="004C2D20" w:rsidP="00B8499B">
      <w:pPr>
        <w:rPr>
          <w:color w:val="auto"/>
        </w:rPr>
      </w:pPr>
      <w:r>
        <w:rPr>
          <w:b/>
          <w:color w:val="auto"/>
        </w:rPr>
        <w:t>Community partnerships</w:t>
      </w:r>
      <w:r>
        <w:rPr>
          <w:color w:val="auto"/>
        </w:rPr>
        <w:t>: Working together with already-existing organisations, regional companies, and powerful community people boosts engagement initiatives. These collaborations promote information sharing, increase neighbourhood trust, and open doors to new possibilities and resources.</w:t>
      </w:r>
    </w:p>
    <w:p w14:paraId="774C5DD4" w14:textId="77777777" w:rsidR="004C2D20" w:rsidRDefault="004C2D20" w:rsidP="00B8499B">
      <w:pPr>
        <w:rPr>
          <w:color w:val="auto"/>
        </w:rPr>
      </w:pPr>
      <w:r>
        <w:rPr>
          <w:b/>
          <w:color w:val="auto"/>
        </w:rPr>
        <w:t>Ongoing communication:</w:t>
      </w:r>
      <w:r>
        <w:rPr>
          <w:color w:val="auto"/>
        </w:rPr>
        <w:t xml:space="preserve"> Maintaining community involvement requires open, consistent communication. Consistently providing updates on the status of the project, asking for comments, and attending to complaints promotes community trust and active participation.</w:t>
      </w:r>
    </w:p>
    <w:p w14:paraId="47B8812E" w14:textId="77777777" w:rsidR="004C2D20" w:rsidRPr="00B8499B" w:rsidRDefault="004C2D20" w:rsidP="004C2D20">
      <w:pPr>
        <w:rPr>
          <w:b/>
          <w:iCs/>
          <w:color w:val="auto"/>
          <w:szCs w:val="24"/>
        </w:rPr>
      </w:pPr>
      <w:r w:rsidRPr="00B8499B">
        <w:rPr>
          <w:b/>
          <w:iCs/>
          <w:color w:val="auto"/>
          <w:szCs w:val="24"/>
        </w:rPr>
        <w:t>Successful strategies and practices</w:t>
      </w:r>
    </w:p>
    <w:p w14:paraId="0C40A299" w14:textId="77777777" w:rsidR="004C2D20" w:rsidRDefault="004C2D20" w:rsidP="00B8499B">
      <w:pPr>
        <w:rPr>
          <w:color w:val="auto"/>
        </w:rPr>
      </w:pPr>
      <w:r>
        <w:rPr>
          <w:b/>
          <w:color w:val="auto"/>
        </w:rPr>
        <w:t>Community ambassadors</w:t>
      </w:r>
      <w:r>
        <w:rPr>
          <w:color w:val="auto"/>
        </w:rPr>
        <w:t>: Designating community ambassadors to serve as liaisons between the project team and the community fosters excitement and communication. These local experts can communicate project material clearly and obtain crucial input, bridging the gap between the project and the community.</w:t>
      </w:r>
    </w:p>
    <w:p w14:paraId="26AA75BD" w14:textId="79AA8BC2" w:rsidR="004C2D20" w:rsidRDefault="004C2D20" w:rsidP="00B8499B">
      <w:pPr>
        <w:rPr>
          <w:color w:val="auto"/>
        </w:rPr>
      </w:pPr>
      <w:r>
        <w:rPr>
          <w:b/>
          <w:color w:val="auto"/>
        </w:rPr>
        <w:t>Design workshops that encourage collaboration</w:t>
      </w:r>
      <w:r>
        <w:rPr>
          <w:color w:val="auto"/>
        </w:rPr>
        <w:t xml:space="preserve">: Design workshops are effective instruments for fostering co-creation. These workshops make sure that community ambitions and viewpoints are really </w:t>
      </w:r>
      <w:r w:rsidR="006167D9">
        <w:rPr>
          <w:color w:val="auto"/>
        </w:rPr>
        <w:t>considered</w:t>
      </w:r>
      <w:r>
        <w:rPr>
          <w:color w:val="auto"/>
        </w:rPr>
        <w:t xml:space="preserve"> throughout the project planning phases by bringing together project managers, designers, and community members.</w:t>
      </w:r>
    </w:p>
    <w:p w14:paraId="7473A94D" w14:textId="5D880A4C" w:rsidR="004C2D20" w:rsidRDefault="004C2D20" w:rsidP="00B8499B">
      <w:pPr>
        <w:rPr>
          <w:color w:val="auto"/>
        </w:rPr>
      </w:pPr>
      <w:r>
        <w:rPr>
          <w:b/>
          <w:color w:val="auto"/>
        </w:rPr>
        <w:lastRenderedPageBreak/>
        <w:t>Materials that are multilingual and accessible</w:t>
      </w:r>
      <w:r>
        <w:rPr>
          <w:color w:val="auto"/>
        </w:rPr>
        <w:t xml:space="preserve">: By promoting equality and inclusion, offering information and chances for involvement in </w:t>
      </w:r>
      <w:r w:rsidR="002C01F7">
        <w:rPr>
          <w:color w:val="auto"/>
        </w:rPr>
        <w:t>different</w:t>
      </w:r>
      <w:r>
        <w:rPr>
          <w:color w:val="auto"/>
        </w:rPr>
        <w:t xml:space="preserve"> languages and accessible formats, we may remove obstacles to participation for people from different linguistic and cultural backgrounds (Seyd, 2020).</w:t>
      </w:r>
    </w:p>
    <w:p w14:paraId="1432E06B" w14:textId="178EEB89" w:rsidR="004C2D20" w:rsidRDefault="004C2D20" w:rsidP="00B8499B">
      <w:pPr>
        <w:rPr>
          <w:color w:val="auto"/>
        </w:rPr>
      </w:pPr>
      <w:r>
        <w:rPr>
          <w:color w:val="auto"/>
        </w:rPr>
        <w:t>The Newham London Borough Council initiative may improve its participatory planning strategies by putting these assessment results towards practise, guaranteeing genuine and inclusive community participation throughout the project</w:t>
      </w:r>
      <w:sdt>
        <w:sdtPr>
          <w:rPr>
            <w:color w:val="auto"/>
          </w:rPr>
          <w:id w:val="-1475441267"/>
          <w:citation/>
        </w:sdtPr>
        <w:sdtContent>
          <w:r w:rsidR="00111B93">
            <w:rPr>
              <w:color w:val="auto"/>
            </w:rPr>
            <w:fldChar w:fldCharType="begin"/>
          </w:r>
          <w:r w:rsidR="00111B93">
            <w:rPr>
              <w:color w:val="auto"/>
            </w:rPr>
            <w:instrText xml:space="preserve"> CITATION New23 \l 2057 </w:instrText>
          </w:r>
          <w:r w:rsidR="00111B93">
            <w:rPr>
              <w:color w:val="auto"/>
            </w:rPr>
            <w:fldChar w:fldCharType="separate"/>
          </w:r>
          <w:r w:rsidR="00111B93">
            <w:rPr>
              <w:noProof/>
              <w:color w:val="auto"/>
            </w:rPr>
            <w:t xml:space="preserve"> </w:t>
          </w:r>
          <w:r w:rsidR="00111B93" w:rsidRPr="00111B93">
            <w:rPr>
              <w:noProof/>
              <w:color w:val="auto"/>
            </w:rPr>
            <w:t>(Newham council, 2023)</w:t>
          </w:r>
          <w:r w:rsidR="00111B93">
            <w:rPr>
              <w:color w:val="auto"/>
            </w:rPr>
            <w:fldChar w:fldCharType="end"/>
          </w:r>
        </w:sdtContent>
      </w:sdt>
      <w:r>
        <w:rPr>
          <w:color w:val="auto"/>
        </w:rPr>
        <w:t>.</w:t>
      </w:r>
    </w:p>
    <w:p w14:paraId="7ED81CA5" w14:textId="77777777" w:rsidR="004C2D20" w:rsidRPr="00B8499B" w:rsidRDefault="004C2D20" w:rsidP="004C2D20">
      <w:pPr>
        <w:pStyle w:val="Heading2"/>
        <w:rPr>
          <w:b/>
          <w:bCs w:val="0"/>
          <w:color w:val="auto"/>
          <w:sz w:val="28"/>
          <w:szCs w:val="28"/>
          <w:u w:val="none"/>
        </w:rPr>
      </w:pPr>
      <w:bookmarkStart w:id="7" w:name="_Toc140575700"/>
      <w:r w:rsidRPr="00B8499B">
        <w:rPr>
          <w:b/>
          <w:bCs w:val="0"/>
          <w:color w:val="auto"/>
          <w:sz w:val="28"/>
          <w:szCs w:val="28"/>
          <w:u w:val="none"/>
        </w:rPr>
        <w:t>Post project plan</w:t>
      </w:r>
      <w:bookmarkEnd w:id="7"/>
      <w:r w:rsidRPr="00B8499B">
        <w:rPr>
          <w:b/>
          <w:bCs w:val="0"/>
          <w:color w:val="auto"/>
          <w:sz w:val="28"/>
          <w:szCs w:val="28"/>
          <w:u w:val="none"/>
        </w:rPr>
        <w:t xml:space="preserve"> </w:t>
      </w:r>
    </w:p>
    <w:p w14:paraId="43CFD37D" w14:textId="77777777" w:rsidR="004C2D20" w:rsidRDefault="004C2D20" w:rsidP="00B8499B">
      <w:pPr>
        <w:rPr>
          <w:color w:val="auto"/>
        </w:rPr>
      </w:pPr>
      <w:r>
        <w:rPr>
          <w:color w:val="auto"/>
        </w:rPr>
        <w:t>The following are the main components of the post-project strategy for the Newham London Borough Council initiative:</w:t>
      </w:r>
    </w:p>
    <w:p w14:paraId="16F12B78" w14:textId="77777777" w:rsidR="004C2D20" w:rsidRDefault="004C2D20" w:rsidP="00B8499B">
      <w:pPr>
        <w:rPr>
          <w:color w:val="auto"/>
        </w:rPr>
      </w:pPr>
      <w:r>
        <w:rPr>
          <w:b/>
          <w:color w:val="auto"/>
        </w:rPr>
        <w:t>Current community channels</w:t>
      </w:r>
      <w:r>
        <w:rPr>
          <w:color w:val="auto"/>
        </w:rPr>
        <w:t>: Create and keep up channels of contact to provide frequent updates on the project's progress, current tasks, and future goals. Recurring emails, social media posts, or a project website may all be used for this. By making use of these methods, community members may remain informed and continue to take part by providing insightful criticism and comments.</w:t>
      </w:r>
    </w:p>
    <w:p w14:paraId="3D1D51E4" w14:textId="6211A196" w:rsidR="004C2D20" w:rsidRDefault="004C2D20" w:rsidP="00B8499B">
      <w:pPr>
        <w:rPr>
          <w:color w:val="auto"/>
        </w:rPr>
      </w:pPr>
      <w:r>
        <w:rPr>
          <w:b/>
          <w:color w:val="auto"/>
        </w:rPr>
        <w:t>Community Forums and Workshops</w:t>
      </w:r>
      <w:r>
        <w:rPr>
          <w:color w:val="auto"/>
        </w:rPr>
        <w:t xml:space="preserve">: Hold frequent community forums and workshops to continue getting feedback from locals on important concerns and prospective improvements in the future. These gatherings </w:t>
      </w:r>
      <w:r w:rsidR="002C01F7">
        <w:rPr>
          <w:color w:val="auto"/>
        </w:rPr>
        <w:t>function as</w:t>
      </w:r>
      <w:r>
        <w:rPr>
          <w:color w:val="auto"/>
        </w:rPr>
        <w:t xml:space="preserve"> forums for discussion, the settling of disputes, and the development of concepts for future collaborations and initiatives. Residents have the chance to participate in determining the future of their town by having their thoughts heard at these sessions.</w:t>
      </w:r>
    </w:p>
    <w:p w14:paraId="28DB739E" w14:textId="77777777" w:rsidR="004C2D20" w:rsidRDefault="004C2D20" w:rsidP="00B8499B">
      <w:pPr>
        <w:rPr>
          <w:color w:val="auto"/>
        </w:rPr>
      </w:pPr>
      <w:r>
        <w:rPr>
          <w:color w:val="auto"/>
        </w:rPr>
        <w:t>Developing programmes and activities that increase public participation in regional decision-making processes is the focus of community capacity development. This may include giving instruction and assistance in disciplines including lobbying, project management, and leadership. Building community members' capacities will enable them to participate actively in community projects and effect good change in their neighbourhoods (</w:t>
      </w:r>
      <w:proofErr w:type="spellStart"/>
      <w:r>
        <w:rPr>
          <w:color w:val="auto"/>
        </w:rPr>
        <w:t>Mikuła</w:t>
      </w:r>
      <w:proofErr w:type="spellEnd"/>
      <w:r>
        <w:rPr>
          <w:color w:val="auto"/>
        </w:rPr>
        <w:t>, 2023).</w:t>
      </w:r>
    </w:p>
    <w:p w14:paraId="05EF3B6F" w14:textId="45AE79F4" w:rsidR="004C2D20" w:rsidRDefault="004C2D20" w:rsidP="00B8499B">
      <w:pPr>
        <w:rPr>
          <w:color w:val="auto"/>
        </w:rPr>
      </w:pPr>
      <w:r>
        <w:rPr>
          <w:color w:val="auto"/>
        </w:rPr>
        <w:t>By putting this post-project plan into action, the Newham London community will remain actively involved, continuing to benefit from the activities and making further contributions to the enhancement of their neighbourhood</w:t>
      </w:r>
      <w:sdt>
        <w:sdtPr>
          <w:rPr>
            <w:color w:val="auto"/>
          </w:rPr>
          <w:id w:val="1819764055"/>
          <w:citation/>
        </w:sdtPr>
        <w:sdtContent>
          <w:r w:rsidR="00511A79">
            <w:rPr>
              <w:color w:val="auto"/>
            </w:rPr>
            <w:fldChar w:fldCharType="begin"/>
          </w:r>
          <w:r w:rsidR="00511A79">
            <w:rPr>
              <w:color w:val="auto"/>
            </w:rPr>
            <w:instrText xml:space="preserve"> CITATION New23 \l 2057 </w:instrText>
          </w:r>
          <w:r w:rsidR="00511A79">
            <w:rPr>
              <w:color w:val="auto"/>
            </w:rPr>
            <w:fldChar w:fldCharType="separate"/>
          </w:r>
          <w:r w:rsidR="00511A79">
            <w:rPr>
              <w:noProof/>
              <w:color w:val="auto"/>
            </w:rPr>
            <w:t xml:space="preserve"> </w:t>
          </w:r>
          <w:r w:rsidR="00511A79" w:rsidRPr="00511A79">
            <w:rPr>
              <w:noProof/>
              <w:color w:val="auto"/>
            </w:rPr>
            <w:t>(Newham council, 2023)</w:t>
          </w:r>
          <w:r w:rsidR="00511A79">
            <w:rPr>
              <w:color w:val="auto"/>
            </w:rPr>
            <w:fldChar w:fldCharType="end"/>
          </w:r>
        </w:sdtContent>
      </w:sdt>
      <w:r>
        <w:rPr>
          <w:color w:val="auto"/>
        </w:rPr>
        <w:t>.</w:t>
      </w:r>
    </w:p>
    <w:p w14:paraId="45C7CC4B" w14:textId="77777777" w:rsidR="004C2D20" w:rsidRDefault="004C2D20" w:rsidP="004C2D20">
      <w:pPr>
        <w:pStyle w:val="Heading1"/>
        <w:rPr>
          <w:color w:val="auto"/>
        </w:rPr>
      </w:pPr>
      <w:bookmarkStart w:id="8" w:name="_Toc140575701"/>
      <w:r>
        <w:rPr>
          <w:color w:val="auto"/>
        </w:rPr>
        <w:t>CONCLUSION</w:t>
      </w:r>
      <w:bookmarkEnd w:id="8"/>
    </w:p>
    <w:p w14:paraId="1CF53137" w14:textId="77777777" w:rsidR="004C2D20" w:rsidRDefault="004C2D20" w:rsidP="00B8499B">
      <w:pPr>
        <w:rPr>
          <w:color w:val="auto"/>
        </w:rPr>
      </w:pPr>
      <w:r>
        <w:rPr>
          <w:color w:val="auto"/>
        </w:rPr>
        <w:t xml:space="preserve">A review of public participation in the Newham London Borough Council programme emphasises the significance of community engagement in project success. The study emphasises perseverance, diversity of techniques, community links, and open communication. </w:t>
      </w:r>
      <w:r>
        <w:rPr>
          <w:color w:val="auto"/>
        </w:rPr>
        <w:lastRenderedPageBreak/>
        <w:t>Transparency, representation, and customisation help engage diverse communities. To fulfil community needs, create buy-in, and assure long-term success, include local citizens in planning, design, and communication. Establish collaborative collaborations, harness existing knowledge bases, and create community involvement platforms for future Newham London initiatives. The Newham London Borough Council can increase local economy, increase employment opportunity and skills for local area people by adopting these ideas and encouraging local people to participate.</w:t>
      </w:r>
    </w:p>
    <w:p w14:paraId="056DC7E7" w14:textId="77777777" w:rsidR="004C2D20" w:rsidRDefault="004C2D20" w:rsidP="004C2D20">
      <w:pPr>
        <w:rPr>
          <w:color w:val="auto"/>
        </w:rPr>
      </w:pPr>
    </w:p>
    <w:p w14:paraId="5F9A8FE1" w14:textId="77777777" w:rsidR="004C2D20" w:rsidRDefault="004C2D20" w:rsidP="004C2D20">
      <w:pPr>
        <w:pStyle w:val="Heading2"/>
        <w:pageBreakBefore/>
        <w:rPr>
          <w:color w:val="auto"/>
        </w:rPr>
      </w:pPr>
    </w:p>
    <w:p w14:paraId="441BD56F" w14:textId="08DA3F05" w:rsidR="004C2D20" w:rsidRDefault="004C2D20" w:rsidP="004966B4">
      <w:pPr>
        <w:pStyle w:val="Heading1"/>
        <w:rPr>
          <w:color w:val="auto"/>
        </w:rPr>
      </w:pPr>
      <w:bookmarkStart w:id="9" w:name="__RefHeading__22554_1539326481"/>
      <w:bookmarkStart w:id="10" w:name="__RefHeading__20338_2086583235"/>
      <w:bookmarkStart w:id="11" w:name="_Toc140575702"/>
      <w:bookmarkEnd w:id="9"/>
      <w:bookmarkEnd w:id="10"/>
      <w:r>
        <w:rPr>
          <w:color w:val="auto"/>
        </w:rPr>
        <w:t>REFERENCES</w:t>
      </w:r>
      <w:bookmarkStart w:id="12" w:name="__RefHeading__9543_166173563"/>
      <w:bookmarkStart w:id="13" w:name="__RefHeading__1092_277916077"/>
      <w:bookmarkEnd w:id="11"/>
      <w:bookmarkEnd w:id="12"/>
      <w:bookmarkEnd w:id="13"/>
    </w:p>
    <w:p w14:paraId="21A43D6D" w14:textId="77777777" w:rsidR="004966B4" w:rsidRPr="004966B4" w:rsidRDefault="004966B4" w:rsidP="004966B4"/>
    <w:p w14:paraId="5D4E704C" w14:textId="77777777" w:rsidR="00D23039" w:rsidRDefault="004C2D20" w:rsidP="00D23039">
      <w:pPr>
        <w:pStyle w:val="BodyText"/>
        <w:spacing w:before="6"/>
        <w:ind w:left="720" w:hanging="720"/>
        <w:rPr>
          <w:szCs w:val="20"/>
          <w:shd w:val="clear" w:color="auto" w:fill="FFFFFF"/>
        </w:rPr>
      </w:pPr>
      <w:r w:rsidRPr="006167D9">
        <w:rPr>
          <w:szCs w:val="20"/>
          <w:shd w:val="clear" w:color="auto" w:fill="FFFFFF"/>
        </w:rPr>
        <w:t xml:space="preserve">Allison, D., 2019. Engaging communities in museums: Sharing vision, </w:t>
      </w:r>
      <w:proofErr w:type="gramStart"/>
      <w:r w:rsidRPr="006167D9">
        <w:rPr>
          <w:szCs w:val="20"/>
          <w:shd w:val="clear" w:color="auto" w:fill="FFFFFF"/>
        </w:rPr>
        <w:t>creation</w:t>
      </w:r>
      <w:proofErr w:type="gramEnd"/>
      <w:r w:rsidRPr="006167D9">
        <w:rPr>
          <w:szCs w:val="20"/>
          <w:shd w:val="clear" w:color="auto" w:fill="FFFFFF"/>
        </w:rPr>
        <w:t xml:space="preserve"> and development. Routledge.</w:t>
      </w:r>
    </w:p>
    <w:p w14:paraId="3FF5218D" w14:textId="1DE10A22" w:rsidR="00D23039" w:rsidRDefault="00D23039" w:rsidP="00D23039">
      <w:pPr>
        <w:pStyle w:val="BodyText"/>
        <w:spacing w:before="6"/>
        <w:ind w:left="720" w:hanging="720"/>
        <w:rPr>
          <w:szCs w:val="20"/>
          <w:shd w:val="clear" w:color="auto" w:fill="FFFFFF"/>
        </w:rPr>
      </w:pPr>
      <w:r w:rsidRPr="00D23039">
        <w:rPr>
          <w:szCs w:val="20"/>
          <w:shd w:val="clear" w:color="auto" w:fill="FFFFFF"/>
        </w:rPr>
        <w:t xml:space="preserve"> </w:t>
      </w:r>
      <w:r w:rsidRPr="006167D9">
        <w:rPr>
          <w:szCs w:val="20"/>
          <w:shd w:val="clear" w:color="auto" w:fill="FFFFFF"/>
        </w:rPr>
        <w:t>Amorelli, M.F. and García‐Sánchez, I.M., 2021. Trends in the dynamic evolution of board gender diversity and corporate social responsibility. Corporate Social Responsibility and Environmental Management, 28(2), pp.537-554.</w:t>
      </w:r>
    </w:p>
    <w:p w14:paraId="6165B2B8" w14:textId="77777777" w:rsidR="00E847ED" w:rsidRDefault="00E847ED" w:rsidP="00E847ED">
      <w:pPr>
        <w:pStyle w:val="BodyText"/>
        <w:spacing w:before="6"/>
        <w:ind w:left="720" w:hanging="720"/>
        <w:rPr>
          <w:szCs w:val="20"/>
          <w:shd w:val="clear" w:color="auto" w:fill="FFFFFF"/>
        </w:rPr>
      </w:pPr>
      <w:r w:rsidRPr="006167D9">
        <w:rPr>
          <w:szCs w:val="20"/>
          <w:shd w:val="clear" w:color="auto" w:fill="FFFFFF"/>
        </w:rPr>
        <w:t>Bullock, K., Garland, J. and Coupar, F., 2021. Police-community engagement and the affordances and constraints of social media. Policing and society, 31(4), pp.373-385.</w:t>
      </w:r>
    </w:p>
    <w:p w14:paraId="395DED54" w14:textId="77777777" w:rsidR="00EC56A3" w:rsidRPr="006167D9" w:rsidRDefault="00EC56A3" w:rsidP="00EC56A3">
      <w:pPr>
        <w:pStyle w:val="BodyText"/>
        <w:spacing w:before="6"/>
        <w:ind w:left="720" w:hanging="720"/>
        <w:rPr>
          <w:color w:val="auto"/>
          <w:szCs w:val="20"/>
          <w:shd w:val="clear" w:color="auto" w:fill="FFFFFF"/>
        </w:rPr>
      </w:pPr>
      <w:r w:rsidRPr="006167D9">
        <w:rPr>
          <w:szCs w:val="20"/>
          <w:shd w:val="clear" w:color="auto" w:fill="FFFFFF"/>
        </w:rPr>
        <w:t>Goforth, A.N., and et.al., 2022. Incorporating the indigenous evaluation framework for culturally responsive community engagement. Psychology in the Schools, 59(10), pp.1984-2004.</w:t>
      </w:r>
    </w:p>
    <w:p w14:paraId="41F783FB" w14:textId="77777777" w:rsidR="00897B3B" w:rsidRDefault="00897B3B" w:rsidP="00897B3B">
      <w:pPr>
        <w:pStyle w:val="BodyText"/>
        <w:spacing w:before="6"/>
        <w:ind w:left="720" w:hanging="720"/>
        <w:rPr>
          <w:szCs w:val="20"/>
          <w:shd w:val="clear" w:color="auto" w:fill="FFFFFF"/>
        </w:rPr>
      </w:pPr>
      <w:r w:rsidRPr="006167D9">
        <w:rPr>
          <w:szCs w:val="20"/>
          <w:shd w:val="clear" w:color="auto" w:fill="FFFFFF"/>
        </w:rPr>
        <w:t xml:space="preserve">Hague, C., 2021. The </w:t>
      </w:r>
      <w:proofErr w:type="spellStart"/>
      <w:r w:rsidRPr="006167D9">
        <w:rPr>
          <w:szCs w:val="20"/>
          <w:shd w:val="clear" w:color="auto" w:fill="FFFFFF"/>
        </w:rPr>
        <w:t>Festivalisation</w:t>
      </w:r>
      <w:proofErr w:type="spellEnd"/>
      <w:r w:rsidRPr="006167D9">
        <w:rPr>
          <w:szCs w:val="20"/>
          <w:shd w:val="clear" w:color="auto" w:fill="FFFFFF"/>
        </w:rPr>
        <w:t xml:space="preserve"> of Edinburgh: Manifestations, Impacts and Responses. Scottish Affairs, 30(3), pp.289-310.</w:t>
      </w:r>
    </w:p>
    <w:p w14:paraId="587D2EE7" w14:textId="1DAB2DA8" w:rsidR="00897B3B" w:rsidRPr="006167D9" w:rsidRDefault="00897B3B" w:rsidP="00897B3B">
      <w:pPr>
        <w:pStyle w:val="BodyText"/>
        <w:spacing w:before="6"/>
        <w:ind w:left="720" w:hanging="720"/>
        <w:rPr>
          <w:color w:val="auto"/>
          <w:szCs w:val="20"/>
          <w:shd w:val="clear" w:color="auto" w:fill="FFFFFF"/>
        </w:rPr>
      </w:pPr>
      <w:r w:rsidRPr="006167D9">
        <w:rPr>
          <w:szCs w:val="20"/>
          <w:shd w:val="clear" w:color="auto" w:fill="FFFFFF"/>
        </w:rPr>
        <w:t>Hall, N.L., and et.al., 2020. Planning to engage the community on renewables: insights from community engagement plans. Journal of environmental management, 27(2), pp.123-136.</w:t>
      </w:r>
    </w:p>
    <w:p w14:paraId="102DF5D2" w14:textId="77777777" w:rsidR="00897B3B" w:rsidRDefault="00897B3B" w:rsidP="00897B3B">
      <w:pPr>
        <w:pStyle w:val="BodyText"/>
        <w:spacing w:before="6"/>
        <w:ind w:left="720" w:hanging="720"/>
        <w:rPr>
          <w:szCs w:val="20"/>
          <w:shd w:val="clear" w:color="auto" w:fill="FFFFFF"/>
        </w:rPr>
      </w:pPr>
      <w:proofErr w:type="spellStart"/>
      <w:r w:rsidRPr="006167D9">
        <w:rPr>
          <w:szCs w:val="20"/>
          <w:shd w:val="clear" w:color="auto" w:fill="FFFFFF"/>
        </w:rPr>
        <w:t>Mikuła</w:t>
      </w:r>
      <w:proofErr w:type="spellEnd"/>
      <w:r w:rsidRPr="006167D9">
        <w:rPr>
          <w:szCs w:val="20"/>
          <w:shd w:val="clear" w:color="auto" w:fill="FFFFFF"/>
        </w:rPr>
        <w:t>, Ł., 2023. Creating planning visions for fragmented post-socialist city-regions. Regional Studies, 57(4), pp.670-684.</w:t>
      </w:r>
    </w:p>
    <w:sdt>
      <w:sdtPr>
        <w:id w:val="111145805"/>
        <w:bibliography/>
      </w:sdtPr>
      <w:sdtContent>
        <w:p w14:paraId="3C90F743" w14:textId="77777777" w:rsidR="00897B3B" w:rsidRDefault="00897B3B" w:rsidP="00897B3B">
          <w:pPr>
            <w:pStyle w:val="Bibliography"/>
            <w:rPr>
              <w:noProof/>
            </w:rPr>
          </w:pPr>
          <w:r>
            <w:fldChar w:fldCharType="begin"/>
          </w:r>
          <w:r>
            <w:instrText xml:space="preserve"> BIBLIOGRAPHY </w:instrText>
          </w:r>
          <w:r>
            <w:fldChar w:fldCharType="separate"/>
          </w:r>
          <w:r>
            <w:rPr>
              <w:noProof/>
            </w:rPr>
            <w:t xml:space="preserve">Newham council, 2023. </w:t>
          </w:r>
          <w:r>
            <w:rPr>
              <w:i/>
              <w:iCs/>
              <w:noProof/>
            </w:rPr>
            <w:t xml:space="preserve">Building a Fairer Newham Corporate Plan. </w:t>
          </w:r>
          <w:r>
            <w:rPr>
              <w:noProof/>
            </w:rPr>
            <w:t xml:space="preserve">[Online] </w:t>
          </w:r>
          <w:r>
            <w:rPr>
              <w:noProof/>
            </w:rPr>
            <w:br/>
            <w:t xml:space="preserve">Available at: </w:t>
          </w:r>
          <w:r>
            <w:rPr>
              <w:noProof/>
              <w:u w:val="single"/>
            </w:rPr>
            <w:t>https://www.newham.gov.uk/council/building-fairer-newham-corporate-plan</w:t>
          </w:r>
          <w:r>
            <w:rPr>
              <w:noProof/>
            </w:rPr>
            <w:br/>
            <w:t>[Accessed 20 07 2023].</w:t>
          </w:r>
        </w:p>
        <w:p w14:paraId="10885F87" w14:textId="77777777" w:rsidR="00897B3B" w:rsidRPr="006167D9" w:rsidRDefault="00897B3B" w:rsidP="00897B3B">
          <w:pPr>
            <w:pStyle w:val="BodyText"/>
            <w:spacing w:before="6"/>
            <w:ind w:left="720" w:hanging="720"/>
            <w:rPr>
              <w:color w:val="auto"/>
              <w:szCs w:val="20"/>
              <w:shd w:val="clear" w:color="auto" w:fill="FFFFFF"/>
            </w:rPr>
          </w:pPr>
          <w:r w:rsidRPr="006167D9">
            <w:rPr>
              <w:szCs w:val="20"/>
              <w:shd w:val="clear" w:color="auto" w:fill="FFFFFF"/>
            </w:rPr>
            <w:t>Ogunrin, O., and et.al., 2022. Community engagement in genomic research: Proposing a strategic model for effective participation of indigenous communities. Developing World Bioethics, 22(4), pp.189-202.</w:t>
          </w:r>
        </w:p>
        <w:p w14:paraId="444940CA" w14:textId="77777777" w:rsidR="00897B3B" w:rsidRPr="006167D9" w:rsidRDefault="00897B3B" w:rsidP="00897B3B">
          <w:pPr>
            <w:pStyle w:val="BodyText"/>
            <w:spacing w:before="6"/>
            <w:rPr>
              <w:color w:val="auto"/>
              <w:szCs w:val="20"/>
              <w:shd w:val="clear" w:color="auto" w:fill="FFFFFF"/>
            </w:rPr>
          </w:pPr>
          <w:r w:rsidRPr="006167D9">
            <w:rPr>
              <w:szCs w:val="20"/>
              <w:shd w:val="clear" w:color="auto" w:fill="FFFFFF"/>
            </w:rPr>
            <w:t>Seering, J., and et.al., 2019. Moderator engagement and community development in the age of algorithms. New Media &amp; Society, 21(7), pp.1417-1443.</w:t>
          </w:r>
        </w:p>
        <w:p w14:paraId="49475EC6" w14:textId="77777777" w:rsidR="00897B3B" w:rsidRPr="006167D9" w:rsidRDefault="00897B3B" w:rsidP="00897B3B">
          <w:pPr>
            <w:pStyle w:val="BodyText"/>
            <w:spacing w:before="6"/>
            <w:ind w:left="720" w:hanging="720"/>
            <w:rPr>
              <w:color w:val="auto"/>
              <w:szCs w:val="20"/>
              <w:shd w:val="clear" w:color="auto" w:fill="FFFFFF"/>
            </w:rPr>
          </w:pPr>
          <w:r w:rsidRPr="006167D9">
            <w:rPr>
              <w:szCs w:val="20"/>
              <w:shd w:val="clear" w:color="auto" w:fill="FFFFFF"/>
            </w:rPr>
            <w:t>Seyd, P., 2020. Corbyn’s labour party: Managing the membership surge. British Politics, 15, pp.1-24.</w:t>
          </w:r>
        </w:p>
        <w:p w14:paraId="02BB03CF" w14:textId="77777777" w:rsidR="00897B3B" w:rsidRPr="00897B3B" w:rsidRDefault="00897B3B" w:rsidP="00897B3B"/>
        <w:p w14:paraId="206A9165" w14:textId="15B924A4" w:rsidR="00897B3B" w:rsidRDefault="00897B3B" w:rsidP="00897B3B">
          <w:r>
            <w:rPr>
              <w:b/>
              <w:bCs/>
              <w:noProof/>
            </w:rPr>
            <w:fldChar w:fldCharType="end"/>
          </w:r>
        </w:p>
      </w:sdtContent>
    </w:sdt>
    <w:p w14:paraId="25DF743A" w14:textId="0014EB78" w:rsidR="00851243" w:rsidRDefault="00851243" w:rsidP="00511A79">
      <w:pPr>
        <w:pStyle w:val="Heading1"/>
        <w:numPr>
          <w:ilvl w:val="0"/>
          <w:numId w:val="0"/>
        </w:numPr>
        <w:rPr>
          <w:color w:val="auto"/>
          <w:szCs w:val="20"/>
          <w:shd w:val="clear" w:color="auto" w:fill="FFFFFF"/>
        </w:rPr>
      </w:pPr>
    </w:p>
    <w:sectPr w:rsidR="00851243">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9E3387" w14:textId="77777777" w:rsidR="006C592F" w:rsidRDefault="006C592F" w:rsidP="003B17F2">
      <w:pPr>
        <w:spacing w:line="240" w:lineRule="auto"/>
      </w:pPr>
      <w:r>
        <w:separator/>
      </w:r>
    </w:p>
  </w:endnote>
  <w:endnote w:type="continuationSeparator" w:id="0">
    <w:p w14:paraId="04CEACE0" w14:textId="77777777" w:rsidR="006C592F" w:rsidRDefault="006C592F" w:rsidP="003B17F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CJK SC">
    <w:charset w:val="80"/>
    <w:family w:val="auto"/>
    <w:pitch w:val="variable"/>
  </w:font>
  <w:font w:name="Calibri">
    <w:panose1 w:val="020F0502020204030204"/>
    <w:charset w:val="00"/>
    <w:family w:val="swiss"/>
    <w:pitch w:val="variable"/>
    <w:sig w:usb0="E4002EFF" w:usb1="C200247B" w:usb2="00000009" w:usb3="00000000" w:csb0="000001FF" w:csb1="00000000"/>
  </w:font>
  <w:font w:name="DejaVu Sans">
    <w:altName w:val="MS Gothic"/>
    <w:charset w:val="80"/>
    <w:family w:val="auto"/>
    <w:pitch w:val="variable"/>
  </w:font>
  <w:font w:name="Tinos">
    <w:altName w:val="Yu Gothic"/>
    <w:charset w:val="80"/>
    <w:family w:val="roman"/>
    <w:pitch w:val="variable"/>
  </w:font>
  <w:font w:name="Droid Sans">
    <w:altName w:val="MS Gothic"/>
    <w:charset w:val="80"/>
    <w:family w:val="auto"/>
    <w:pitch w:val="variable"/>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2287678"/>
      <w:docPartObj>
        <w:docPartGallery w:val="Page Numbers (Bottom of Page)"/>
        <w:docPartUnique/>
      </w:docPartObj>
    </w:sdtPr>
    <w:sdtEndPr>
      <w:rPr>
        <w:noProof/>
      </w:rPr>
    </w:sdtEndPr>
    <w:sdtContent>
      <w:p w14:paraId="5C2F6BAC" w14:textId="318261C4" w:rsidR="003D2AD3" w:rsidRDefault="003D2AD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289F238" w14:textId="77777777" w:rsidR="003B17F2" w:rsidRDefault="003B17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2E5EA1" w14:textId="77777777" w:rsidR="006C592F" w:rsidRDefault="006C592F" w:rsidP="003B17F2">
      <w:pPr>
        <w:spacing w:line="240" w:lineRule="auto"/>
      </w:pPr>
      <w:r>
        <w:separator/>
      </w:r>
    </w:p>
  </w:footnote>
  <w:footnote w:type="continuationSeparator" w:id="0">
    <w:p w14:paraId="70CB242D" w14:textId="77777777" w:rsidR="006C592F" w:rsidRDefault="006C592F" w:rsidP="003B17F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1E5022F3"/>
    <w:multiLevelType w:val="hybridMultilevel"/>
    <w:tmpl w:val="D4541C8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22B36153"/>
    <w:multiLevelType w:val="hybridMultilevel"/>
    <w:tmpl w:val="1010895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781C1C13"/>
    <w:multiLevelType w:val="hybridMultilevel"/>
    <w:tmpl w:val="AD60CEE6"/>
    <w:lvl w:ilvl="0" w:tplc="04090001">
      <w:start w:val="1"/>
      <w:numFmt w:val="bullet"/>
      <w:lvlText w:val=""/>
      <w:lvlJc w:val="left"/>
      <w:pPr>
        <w:ind w:left="720" w:hanging="360"/>
      </w:pPr>
      <w:rPr>
        <w:rFonts w:ascii="Symbol" w:hAnsi="Symbol" w:hint="default"/>
      </w:rPr>
    </w:lvl>
    <w:lvl w:ilvl="1" w:tplc="C436F86A">
      <w:numFmt w:val="bullet"/>
      <w:lvlText w:val="•"/>
      <w:lvlJc w:val="left"/>
      <w:pPr>
        <w:ind w:left="1440" w:hanging="360"/>
      </w:pPr>
      <w:rPr>
        <w:rFonts w:ascii="Times New Roman" w:eastAsia="Noto Sans CJK SC" w:hAnsi="Times New Roman"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15:restartNumberingAfterBreak="0">
    <w:nsid w:val="78483ED9"/>
    <w:multiLevelType w:val="hybridMultilevel"/>
    <w:tmpl w:val="ABBA7DE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1160803890">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806312876">
    <w:abstractNumId w:val="2"/>
  </w:num>
  <w:num w:numId="3" w16cid:durableId="340015066">
    <w:abstractNumId w:val="3"/>
  </w:num>
  <w:num w:numId="4" w16cid:durableId="1315647146">
    <w:abstractNumId w:val="1"/>
  </w:num>
  <w:num w:numId="5" w16cid:durableId="45194147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5F2C"/>
    <w:rsid w:val="000677E5"/>
    <w:rsid w:val="00111B93"/>
    <w:rsid w:val="002C01F7"/>
    <w:rsid w:val="003B17F2"/>
    <w:rsid w:val="003D2AD3"/>
    <w:rsid w:val="00410D8B"/>
    <w:rsid w:val="004966B4"/>
    <w:rsid w:val="004C2D20"/>
    <w:rsid w:val="004D4816"/>
    <w:rsid w:val="00511A79"/>
    <w:rsid w:val="005D68FE"/>
    <w:rsid w:val="006167D9"/>
    <w:rsid w:val="00685F2C"/>
    <w:rsid w:val="006C43BE"/>
    <w:rsid w:val="006C592F"/>
    <w:rsid w:val="006E18A5"/>
    <w:rsid w:val="00713755"/>
    <w:rsid w:val="00851243"/>
    <w:rsid w:val="00851DEA"/>
    <w:rsid w:val="00897B3B"/>
    <w:rsid w:val="00956426"/>
    <w:rsid w:val="009B5882"/>
    <w:rsid w:val="00A77A99"/>
    <w:rsid w:val="00A834D4"/>
    <w:rsid w:val="00AD3887"/>
    <w:rsid w:val="00AE38EE"/>
    <w:rsid w:val="00B676A3"/>
    <w:rsid w:val="00B8499B"/>
    <w:rsid w:val="00C824B9"/>
    <w:rsid w:val="00CE1AFC"/>
    <w:rsid w:val="00D01234"/>
    <w:rsid w:val="00D23039"/>
    <w:rsid w:val="00D6609B"/>
    <w:rsid w:val="00DB050C"/>
    <w:rsid w:val="00E6327C"/>
    <w:rsid w:val="00E847ED"/>
    <w:rsid w:val="00E87148"/>
    <w:rsid w:val="00E9744A"/>
    <w:rsid w:val="00EC56A3"/>
    <w:rsid w:val="00F72A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D40426"/>
  <w15:chartTrackingRefBased/>
  <w15:docId w15:val="{D7ADFC9B-D178-46C0-95E6-8A79D35BFB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2D20"/>
    <w:pPr>
      <w:suppressAutoHyphens/>
      <w:spacing w:after="0" w:line="360" w:lineRule="auto"/>
      <w:jc w:val="both"/>
    </w:pPr>
    <w:rPr>
      <w:rFonts w:ascii="Times New Roman" w:eastAsia="Calibri" w:hAnsi="Times New Roman" w:cs="Times New Roman"/>
      <w:color w:val="000000"/>
      <w:kern w:val="0"/>
      <w:sz w:val="24"/>
      <w:lang w:eastAsia="ar-SA"/>
      <w14:ligatures w14:val="none"/>
    </w:rPr>
  </w:style>
  <w:style w:type="paragraph" w:styleId="Heading1">
    <w:name w:val="heading 1"/>
    <w:basedOn w:val="Normal"/>
    <w:next w:val="Normal"/>
    <w:link w:val="Heading1Char"/>
    <w:uiPriority w:val="9"/>
    <w:qFormat/>
    <w:rsid w:val="004C2D20"/>
    <w:pPr>
      <w:keepNext/>
      <w:keepLines/>
      <w:numPr>
        <w:numId w:val="1"/>
      </w:numPr>
      <w:spacing w:before="113"/>
      <w:outlineLvl w:val="0"/>
    </w:pPr>
    <w:rPr>
      <w:rFonts w:eastAsia="Times New Roman"/>
      <w:b/>
      <w:bCs/>
      <w:sz w:val="28"/>
      <w:szCs w:val="28"/>
    </w:rPr>
  </w:style>
  <w:style w:type="paragraph" w:styleId="Heading2">
    <w:name w:val="heading 2"/>
    <w:basedOn w:val="Normal"/>
    <w:next w:val="Normal"/>
    <w:link w:val="Heading2Char"/>
    <w:unhideWhenUsed/>
    <w:qFormat/>
    <w:rsid w:val="004C2D20"/>
    <w:pPr>
      <w:keepNext/>
      <w:keepLines/>
      <w:numPr>
        <w:ilvl w:val="1"/>
        <w:numId w:val="1"/>
      </w:numPr>
      <w:spacing w:before="113"/>
      <w:outlineLvl w:val="1"/>
    </w:pPr>
    <w:rPr>
      <w:rFonts w:eastAsia="Times New Roman"/>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2D20"/>
    <w:rPr>
      <w:rFonts w:ascii="Times New Roman" w:eastAsia="Times New Roman" w:hAnsi="Times New Roman" w:cs="Times New Roman"/>
      <w:b/>
      <w:bCs/>
      <w:color w:val="000000"/>
      <w:kern w:val="0"/>
      <w:sz w:val="28"/>
      <w:szCs w:val="28"/>
      <w:lang w:eastAsia="ar-SA"/>
      <w14:ligatures w14:val="none"/>
    </w:rPr>
  </w:style>
  <w:style w:type="character" w:customStyle="1" w:styleId="Heading2Char">
    <w:name w:val="Heading 2 Char"/>
    <w:basedOn w:val="DefaultParagraphFont"/>
    <w:link w:val="Heading2"/>
    <w:rsid w:val="004C2D20"/>
    <w:rPr>
      <w:rFonts w:ascii="Times New Roman" w:eastAsia="Times New Roman" w:hAnsi="Times New Roman" w:cs="Times New Roman"/>
      <w:bCs/>
      <w:color w:val="000000"/>
      <w:kern w:val="0"/>
      <w:sz w:val="24"/>
      <w:szCs w:val="26"/>
      <w:u w:val="single"/>
      <w:lang w:eastAsia="ar-SA"/>
      <w14:ligatures w14:val="none"/>
    </w:rPr>
  </w:style>
  <w:style w:type="character" w:styleId="Hyperlink">
    <w:name w:val="Hyperlink"/>
    <w:semiHidden/>
    <w:unhideWhenUsed/>
    <w:rsid w:val="004C2D20"/>
    <w:rPr>
      <w:color w:val="000080"/>
      <w:u w:val="single"/>
    </w:rPr>
  </w:style>
  <w:style w:type="paragraph" w:styleId="TOC1">
    <w:name w:val="toc 1"/>
    <w:basedOn w:val="Normal"/>
    <w:autoRedefine/>
    <w:uiPriority w:val="39"/>
    <w:semiHidden/>
    <w:unhideWhenUsed/>
    <w:rsid w:val="004C2D20"/>
    <w:pPr>
      <w:suppressLineNumbers/>
      <w:tabs>
        <w:tab w:val="right" w:leader="dot" w:pos="9360"/>
      </w:tabs>
    </w:pPr>
    <w:rPr>
      <w:rFonts w:cs="DejaVu Sans"/>
    </w:rPr>
  </w:style>
  <w:style w:type="paragraph" w:styleId="TOC2">
    <w:name w:val="toc 2"/>
    <w:basedOn w:val="Normal"/>
    <w:autoRedefine/>
    <w:uiPriority w:val="39"/>
    <w:semiHidden/>
    <w:unhideWhenUsed/>
    <w:rsid w:val="004C2D20"/>
    <w:pPr>
      <w:suppressLineNumbers/>
      <w:tabs>
        <w:tab w:val="right" w:leader="dot" w:pos="9355"/>
      </w:tabs>
      <w:ind w:left="283"/>
    </w:pPr>
    <w:rPr>
      <w:rFonts w:cs="DejaVu Sans"/>
    </w:rPr>
  </w:style>
  <w:style w:type="paragraph" w:styleId="BodyText">
    <w:name w:val="Body Text"/>
    <w:basedOn w:val="Normal"/>
    <w:link w:val="BodyTextChar"/>
    <w:unhideWhenUsed/>
    <w:rsid w:val="004C2D20"/>
  </w:style>
  <w:style w:type="character" w:customStyle="1" w:styleId="BodyTextChar">
    <w:name w:val="Body Text Char"/>
    <w:basedOn w:val="DefaultParagraphFont"/>
    <w:link w:val="BodyText"/>
    <w:rsid w:val="004C2D20"/>
    <w:rPr>
      <w:rFonts w:ascii="Times New Roman" w:eastAsia="Calibri" w:hAnsi="Times New Roman" w:cs="Times New Roman"/>
      <w:color w:val="000000"/>
      <w:kern w:val="0"/>
      <w:sz w:val="24"/>
      <w:lang w:eastAsia="ar-SA"/>
      <w14:ligatures w14:val="none"/>
    </w:rPr>
  </w:style>
  <w:style w:type="paragraph" w:styleId="NoSpacing">
    <w:name w:val="No Spacing"/>
    <w:qFormat/>
    <w:rsid w:val="004C2D20"/>
    <w:pPr>
      <w:suppressAutoHyphens/>
      <w:spacing w:after="0" w:line="100" w:lineRule="atLeast"/>
    </w:pPr>
    <w:rPr>
      <w:rFonts w:ascii="Tinos" w:eastAsia="Droid Sans" w:hAnsi="Tinos" w:cs="DejaVu Sans"/>
      <w:kern w:val="0"/>
      <w:sz w:val="24"/>
      <w:szCs w:val="24"/>
      <w:lang w:eastAsia="hi-IN" w:bidi="hi-IN"/>
      <w14:ligatures w14:val="none"/>
    </w:rPr>
  </w:style>
  <w:style w:type="paragraph" w:customStyle="1" w:styleId="ContentsHeading">
    <w:name w:val="Contents Heading"/>
    <w:basedOn w:val="Normal"/>
    <w:rsid w:val="004C2D20"/>
    <w:pPr>
      <w:keepNext/>
      <w:suppressLineNumbers/>
      <w:spacing w:before="240" w:after="120"/>
      <w:jc w:val="center"/>
    </w:pPr>
    <w:rPr>
      <w:rFonts w:eastAsia="Droid Sans"/>
      <w:b/>
      <w:bCs/>
      <w:sz w:val="28"/>
      <w:szCs w:val="32"/>
    </w:rPr>
  </w:style>
  <w:style w:type="paragraph" w:styleId="Header">
    <w:name w:val="header"/>
    <w:basedOn w:val="Normal"/>
    <w:link w:val="HeaderChar"/>
    <w:uiPriority w:val="99"/>
    <w:unhideWhenUsed/>
    <w:rsid w:val="003B17F2"/>
    <w:pPr>
      <w:tabs>
        <w:tab w:val="center" w:pos="4513"/>
        <w:tab w:val="right" w:pos="9026"/>
      </w:tabs>
      <w:spacing w:line="240" w:lineRule="auto"/>
    </w:pPr>
  </w:style>
  <w:style w:type="character" w:customStyle="1" w:styleId="HeaderChar">
    <w:name w:val="Header Char"/>
    <w:basedOn w:val="DefaultParagraphFont"/>
    <w:link w:val="Header"/>
    <w:uiPriority w:val="99"/>
    <w:rsid w:val="003B17F2"/>
    <w:rPr>
      <w:rFonts w:ascii="Times New Roman" w:eastAsia="Calibri" w:hAnsi="Times New Roman" w:cs="Times New Roman"/>
      <w:color w:val="000000"/>
      <w:kern w:val="0"/>
      <w:sz w:val="24"/>
      <w:lang w:eastAsia="ar-SA"/>
      <w14:ligatures w14:val="none"/>
    </w:rPr>
  </w:style>
  <w:style w:type="paragraph" w:styleId="Footer">
    <w:name w:val="footer"/>
    <w:basedOn w:val="Normal"/>
    <w:link w:val="FooterChar"/>
    <w:uiPriority w:val="99"/>
    <w:unhideWhenUsed/>
    <w:rsid w:val="003B17F2"/>
    <w:pPr>
      <w:tabs>
        <w:tab w:val="center" w:pos="4513"/>
        <w:tab w:val="right" w:pos="9026"/>
      </w:tabs>
      <w:spacing w:line="240" w:lineRule="auto"/>
    </w:pPr>
  </w:style>
  <w:style w:type="character" w:customStyle="1" w:styleId="FooterChar">
    <w:name w:val="Footer Char"/>
    <w:basedOn w:val="DefaultParagraphFont"/>
    <w:link w:val="Footer"/>
    <w:uiPriority w:val="99"/>
    <w:rsid w:val="003B17F2"/>
    <w:rPr>
      <w:rFonts w:ascii="Times New Roman" w:eastAsia="Calibri" w:hAnsi="Times New Roman" w:cs="Times New Roman"/>
      <w:color w:val="000000"/>
      <w:kern w:val="0"/>
      <w:sz w:val="24"/>
      <w:lang w:eastAsia="ar-SA"/>
      <w14:ligatures w14:val="none"/>
    </w:rPr>
  </w:style>
  <w:style w:type="paragraph" w:styleId="Bibliography">
    <w:name w:val="Bibliography"/>
    <w:basedOn w:val="Normal"/>
    <w:next w:val="Normal"/>
    <w:uiPriority w:val="37"/>
    <w:unhideWhenUsed/>
    <w:rsid w:val="00E871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162575">
      <w:bodyDiv w:val="1"/>
      <w:marLeft w:val="0"/>
      <w:marRight w:val="0"/>
      <w:marTop w:val="0"/>
      <w:marBottom w:val="0"/>
      <w:divBdr>
        <w:top w:val="none" w:sz="0" w:space="0" w:color="auto"/>
        <w:left w:val="none" w:sz="0" w:space="0" w:color="auto"/>
        <w:bottom w:val="none" w:sz="0" w:space="0" w:color="auto"/>
        <w:right w:val="none" w:sz="0" w:space="0" w:color="auto"/>
      </w:divBdr>
    </w:div>
    <w:div w:id="94524487">
      <w:bodyDiv w:val="1"/>
      <w:marLeft w:val="0"/>
      <w:marRight w:val="0"/>
      <w:marTop w:val="0"/>
      <w:marBottom w:val="0"/>
      <w:divBdr>
        <w:top w:val="none" w:sz="0" w:space="0" w:color="auto"/>
        <w:left w:val="none" w:sz="0" w:space="0" w:color="auto"/>
        <w:bottom w:val="none" w:sz="0" w:space="0" w:color="auto"/>
        <w:right w:val="none" w:sz="0" w:space="0" w:color="auto"/>
      </w:divBdr>
    </w:div>
    <w:div w:id="479031827">
      <w:bodyDiv w:val="1"/>
      <w:marLeft w:val="0"/>
      <w:marRight w:val="0"/>
      <w:marTop w:val="0"/>
      <w:marBottom w:val="0"/>
      <w:divBdr>
        <w:top w:val="none" w:sz="0" w:space="0" w:color="auto"/>
        <w:left w:val="none" w:sz="0" w:space="0" w:color="auto"/>
        <w:bottom w:val="none" w:sz="0" w:space="0" w:color="auto"/>
        <w:right w:val="none" w:sz="0" w:space="0" w:color="auto"/>
      </w:divBdr>
    </w:div>
    <w:div w:id="659506529">
      <w:bodyDiv w:val="1"/>
      <w:marLeft w:val="0"/>
      <w:marRight w:val="0"/>
      <w:marTop w:val="0"/>
      <w:marBottom w:val="0"/>
      <w:divBdr>
        <w:top w:val="none" w:sz="0" w:space="0" w:color="auto"/>
        <w:left w:val="none" w:sz="0" w:space="0" w:color="auto"/>
        <w:bottom w:val="none" w:sz="0" w:space="0" w:color="auto"/>
        <w:right w:val="none" w:sz="0" w:space="0" w:color="auto"/>
      </w:divBdr>
    </w:div>
    <w:div w:id="682244697">
      <w:bodyDiv w:val="1"/>
      <w:marLeft w:val="0"/>
      <w:marRight w:val="0"/>
      <w:marTop w:val="0"/>
      <w:marBottom w:val="0"/>
      <w:divBdr>
        <w:top w:val="none" w:sz="0" w:space="0" w:color="auto"/>
        <w:left w:val="none" w:sz="0" w:space="0" w:color="auto"/>
        <w:bottom w:val="none" w:sz="0" w:space="0" w:color="auto"/>
        <w:right w:val="none" w:sz="0" w:space="0" w:color="auto"/>
      </w:divBdr>
    </w:div>
    <w:div w:id="969092447">
      <w:bodyDiv w:val="1"/>
      <w:marLeft w:val="0"/>
      <w:marRight w:val="0"/>
      <w:marTop w:val="0"/>
      <w:marBottom w:val="0"/>
      <w:divBdr>
        <w:top w:val="none" w:sz="0" w:space="0" w:color="auto"/>
        <w:left w:val="none" w:sz="0" w:space="0" w:color="auto"/>
        <w:bottom w:val="none" w:sz="0" w:space="0" w:color="auto"/>
        <w:right w:val="none" w:sz="0" w:space="0" w:color="auto"/>
      </w:divBdr>
    </w:div>
    <w:div w:id="1529761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New23</b:Tag>
    <b:SourceType>InternetSite</b:SourceType>
    <b:Guid>{8DBE1D8A-5051-4ACC-ABD9-0034878D85FB}</b:Guid>
    <b:Author>
      <b:Author>
        <b:Corporate>Newham council</b:Corporate>
      </b:Author>
    </b:Author>
    <b:Title>Building a Fairer Newham Corporate Plan</b:Title>
    <b:Year>2023</b:Year>
    <b:YearAccessed>2023</b:YearAccessed>
    <b:MonthAccessed>07</b:MonthAccessed>
    <b:DayAccessed>20</b:DayAccessed>
    <b:URL>https://www.newham.gov.uk/council/building-fairer-newham-corporate-plan</b:URL>
    <b:RefOrder>1</b:RefOrder>
  </b:Source>
</b:Sources>
</file>

<file path=customXml/itemProps1.xml><?xml version="1.0" encoding="utf-8"?>
<ds:datastoreItem xmlns:ds="http://schemas.openxmlformats.org/officeDocument/2006/customXml" ds:itemID="{C47FD000-B940-4659-AA6B-AE3146DEFE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TotalTime>
  <Pages>10</Pages>
  <Words>2807</Words>
  <Characters>16001</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Ivelina Georgieva-Draganova (2235428)</dc:creator>
  <cp:keywords/>
  <dc:description/>
  <cp:lastModifiedBy>Ivelina Georgieva-Draganova (2235428)</cp:lastModifiedBy>
  <cp:revision>36</cp:revision>
  <dcterms:created xsi:type="dcterms:W3CDTF">2023-07-24T18:58:00Z</dcterms:created>
  <dcterms:modified xsi:type="dcterms:W3CDTF">2023-08-02T19:38:00Z</dcterms:modified>
</cp:coreProperties>
</file>