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515B5" w14:textId="77777777" w:rsidR="0055740D" w:rsidRDefault="0055740D"/>
    <w:p w14:paraId="0C9B1D00" w14:textId="77777777" w:rsidR="0055740D" w:rsidRDefault="0055740D"/>
    <w:p w14:paraId="5EA9242E" w14:textId="77777777" w:rsidR="0055740D" w:rsidRDefault="0055740D"/>
    <w:p w14:paraId="70AC1CD2" w14:textId="77777777" w:rsidR="0055740D" w:rsidRDefault="0055740D"/>
    <w:p w14:paraId="7C2532B6" w14:textId="77777777" w:rsidR="0055740D" w:rsidRDefault="0055740D"/>
    <w:p w14:paraId="3084A83B" w14:textId="77777777" w:rsidR="0055740D" w:rsidRDefault="0055740D"/>
    <w:p w14:paraId="066C5246" w14:textId="77777777" w:rsidR="0055740D" w:rsidRDefault="0055740D"/>
    <w:p w14:paraId="17469174" w14:textId="77777777" w:rsidR="0055740D" w:rsidRDefault="0055740D"/>
    <w:p w14:paraId="6475AEFB" w14:textId="049D07F2" w:rsidR="00B60F56" w:rsidRDefault="009C770D">
      <w:r>
        <w:rPr>
          <w:noProof/>
        </w:rPr>
        <w:drawing>
          <wp:inline distT="0" distB="0" distL="0" distR="0" wp14:anchorId="118379D7" wp14:editId="05456D66">
            <wp:extent cx="3598164" cy="1440180"/>
            <wp:effectExtent l="0" t="0" r="2540" b="7620"/>
            <wp:docPr id="1830268579"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68579" name="Immagine 1830268579"/>
                    <pic:cNvPicPr/>
                  </pic:nvPicPr>
                  <pic:blipFill>
                    <a:blip r:embed="rId9">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720E632" w14:textId="77777777" w:rsidR="009C770D" w:rsidRDefault="009C770D"/>
    <w:p w14:paraId="24796EC9" w14:textId="77777777" w:rsidR="009C770D" w:rsidRPr="00EC4B51" w:rsidRDefault="009C770D" w:rsidP="009C770D">
      <w:pPr>
        <w:jc w:val="center"/>
        <w:rPr>
          <w:rFonts w:ascii="Arial" w:hAnsi="Arial" w:cs="Arial"/>
          <w:b/>
          <w:bCs/>
          <w:sz w:val="40"/>
          <w:szCs w:val="40"/>
          <w:lang w:val="en-GB"/>
        </w:rPr>
      </w:pPr>
      <w:r w:rsidRPr="00EC4B51">
        <w:rPr>
          <w:rFonts w:ascii="Arial" w:hAnsi="Arial" w:cs="Arial"/>
          <w:b/>
          <w:bCs/>
          <w:sz w:val="40"/>
          <w:szCs w:val="40"/>
          <w:lang w:val="en-GB"/>
        </w:rPr>
        <w:t>Changemakers: Creativity and Value Creation</w:t>
      </w:r>
    </w:p>
    <w:p w14:paraId="619BE1AB" w14:textId="77777777" w:rsidR="009C770D" w:rsidRPr="00EC4B51" w:rsidRDefault="009C770D" w:rsidP="009C770D">
      <w:pPr>
        <w:jc w:val="center"/>
        <w:rPr>
          <w:rFonts w:ascii="Arial" w:hAnsi="Arial" w:cs="Arial"/>
          <w:b/>
          <w:bCs/>
          <w:sz w:val="40"/>
          <w:szCs w:val="40"/>
          <w:lang w:val="en-GB"/>
        </w:rPr>
      </w:pPr>
      <w:r w:rsidRPr="00EC4B51">
        <w:rPr>
          <w:rFonts w:ascii="Arial" w:hAnsi="Arial" w:cs="Arial"/>
          <w:b/>
          <w:bCs/>
          <w:sz w:val="40"/>
          <w:szCs w:val="40"/>
          <w:lang w:val="en-GB"/>
        </w:rPr>
        <w:t>Professions (BMHP5014)</w:t>
      </w:r>
    </w:p>
    <w:p w14:paraId="68A8C35D" w14:textId="77777777" w:rsidR="009C770D" w:rsidRPr="00EC4B51" w:rsidRDefault="009C770D" w:rsidP="009C770D">
      <w:pPr>
        <w:rPr>
          <w:rFonts w:ascii="Arial" w:hAnsi="Arial" w:cs="Arial"/>
          <w:sz w:val="40"/>
          <w:szCs w:val="40"/>
          <w:lang w:val="en-GB"/>
        </w:rPr>
      </w:pPr>
    </w:p>
    <w:p w14:paraId="2D5BA738" w14:textId="383D20DC" w:rsidR="009C770D" w:rsidRPr="00EC4B51" w:rsidRDefault="009C770D" w:rsidP="009C770D">
      <w:pPr>
        <w:rPr>
          <w:rFonts w:ascii="Arial" w:hAnsi="Arial" w:cs="Arial"/>
          <w:sz w:val="40"/>
          <w:szCs w:val="40"/>
          <w:lang w:val="en-GB"/>
        </w:rPr>
      </w:pPr>
      <w:r w:rsidRPr="00EC4B51">
        <w:rPr>
          <w:rFonts w:ascii="Arial" w:hAnsi="Arial" w:cs="Arial"/>
          <w:sz w:val="40"/>
          <w:szCs w:val="40"/>
          <w:lang w:val="en-GB"/>
        </w:rPr>
        <w:t xml:space="preserve">Student name: </w:t>
      </w:r>
      <w:r w:rsidR="00C6528C" w:rsidRPr="00EC4B51">
        <w:rPr>
          <w:rFonts w:ascii="Arial" w:hAnsi="Arial" w:cs="Arial"/>
          <w:sz w:val="40"/>
          <w:szCs w:val="40"/>
          <w:lang w:val="en-GB"/>
        </w:rPr>
        <w:t>Mihaela Marcela Bakos</w:t>
      </w:r>
    </w:p>
    <w:p w14:paraId="302AE06B" w14:textId="328C81D9" w:rsidR="009C770D" w:rsidRPr="00EC4B51" w:rsidRDefault="009C770D" w:rsidP="009C770D">
      <w:pPr>
        <w:rPr>
          <w:rFonts w:ascii="Arial" w:hAnsi="Arial" w:cs="Arial"/>
          <w:sz w:val="40"/>
          <w:szCs w:val="40"/>
          <w:lang w:val="en-GB"/>
        </w:rPr>
      </w:pPr>
      <w:r w:rsidRPr="00EC4B51">
        <w:rPr>
          <w:rFonts w:ascii="Arial" w:hAnsi="Arial" w:cs="Arial"/>
          <w:sz w:val="40"/>
          <w:szCs w:val="40"/>
          <w:lang w:val="en-GB"/>
        </w:rPr>
        <w:t>Student number:</w:t>
      </w:r>
      <w:r w:rsidR="00C6528C" w:rsidRPr="00EC4B51">
        <w:rPr>
          <w:rFonts w:ascii="Arial" w:hAnsi="Arial" w:cs="Arial"/>
          <w:sz w:val="40"/>
          <w:szCs w:val="40"/>
          <w:lang w:val="en-GB"/>
        </w:rPr>
        <w:t xml:space="preserve"> 2325464</w:t>
      </w:r>
    </w:p>
    <w:p w14:paraId="77F030E0" w14:textId="4170ECBE" w:rsidR="009C770D" w:rsidRPr="00CF6430" w:rsidRDefault="009C770D" w:rsidP="009C770D">
      <w:pPr>
        <w:rPr>
          <w:rFonts w:ascii="Arial" w:hAnsi="Arial" w:cs="Arial"/>
          <w:sz w:val="40"/>
          <w:szCs w:val="40"/>
          <w:lang w:val="en-GB"/>
        </w:rPr>
      </w:pPr>
      <w:r w:rsidRPr="00EC4B51">
        <w:rPr>
          <w:rFonts w:ascii="Arial" w:hAnsi="Arial" w:cs="Arial"/>
          <w:sz w:val="40"/>
          <w:szCs w:val="40"/>
          <w:lang w:val="en-GB"/>
        </w:rPr>
        <w:t>Lecturer’s name:</w:t>
      </w:r>
      <w:r w:rsidR="00C6528C" w:rsidRPr="00EC4B51">
        <w:rPr>
          <w:rFonts w:ascii="Arial" w:hAnsi="Arial" w:cs="Arial"/>
          <w:sz w:val="40"/>
          <w:szCs w:val="40"/>
          <w:lang w:val="en-GB"/>
        </w:rPr>
        <w:t xml:space="preserve"> </w:t>
      </w:r>
      <w:r w:rsidR="00543C15" w:rsidRPr="00CF6430">
        <w:rPr>
          <w:rFonts w:ascii="Arial" w:hAnsi="Arial" w:cs="Arial"/>
          <w:sz w:val="40"/>
          <w:szCs w:val="40"/>
          <w:lang w:val="en-GB"/>
        </w:rPr>
        <w:t>Caroline Salami</w:t>
      </w:r>
    </w:p>
    <w:p w14:paraId="03E24C75" w14:textId="77777777" w:rsidR="00F847D5" w:rsidRPr="00CF6430" w:rsidRDefault="00F847D5" w:rsidP="009C770D">
      <w:pPr>
        <w:rPr>
          <w:rFonts w:ascii="Arial" w:hAnsi="Arial" w:cs="Arial"/>
          <w:sz w:val="40"/>
          <w:szCs w:val="40"/>
          <w:lang w:val="en-GB"/>
        </w:rPr>
      </w:pPr>
    </w:p>
    <w:p w14:paraId="55D562C1" w14:textId="77777777" w:rsidR="00106972" w:rsidRPr="00CF6430" w:rsidRDefault="00106972" w:rsidP="009C770D">
      <w:pPr>
        <w:rPr>
          <w:rFonts w:ascii="Arial" w:hAnsi="Arial" w:cs="Arial"/>
          <w:sz w:val="40"/>
          <w:szCs w:val="40"/>
          <w:lang w:val="en-GB"/>
        </w:rPr>
      </w:pPr>
    </w:p>
    <w:p w14:paraId="38FB7FC1" w14:textId="77777777" w:rsidR="00106972" w:rsidRPr="00CF6430" w:rsidRDefault="00106972" w:rsidP="009C770D">
      <w:pPr>
        <w:rPr>
          <w:rFonts w:ascii="Arial" w:hAnsi="Arial" w:cs="Arial"/>
          <w:sz w:val="40"/>
          <w:szCs w:val="40"/>
          <w:lang w:val="en-GB"/>
        </w:rPr>
      </w:pPr>
    </w:p>
    <w:p w14:paraId="543813F4" w14:textId="77777777" w:rsidR="00106972" w:rsidRPr="00CF6430" w:rsidRDefault="00106972" w:rsidP="009C770D">
      <w:pPr>
        <w:rPr>
          <w:rFonts w:ascii="Arial" w:hAnsi="Arial" w:cs="Arial"/>
          <w:sz w:val="40"/>
          <w:szCs w:val="40"/>
          <w:lang w:val="en-GB"/>
        </w:rPr>
      </w:pPr>
    </w:p>
    <w:p w14:paraId="025EA707" w14:textId="77777777" w:rsidR="00106972" w:rsidRPr="00CF6430" w:rsidRDefault="00106972" w:rsidP="009C770D">
      <w:pPr>
        <w:rPr>
          <w:rFonts w:ascii="Arial" w:hAnsi="Arial" w:cs="Arial"/>
          <w:sz w:val="40"/>
          <w:szCs w:val="40"/>
          <w:lang w:val="en-GB"/>
        </w:rPr>
      </w:pPr>
    </w:p>
    <w:p w14:paraId="4D0F142F" w14:textId="77777777" w:rsidR="00106972" w:rsidRPr="00CF6430" w:rsidRDefault="00106972" w:rsidP="009C770D">
      <w:pPr>
        <w:rPr>
          <w:rFonts w:ascii="Arial" w:hAnsi="Arial" w:cs="Arial"/>
          <w:sz w:val="40"/>
          <w:szCs w:val="40"/>
          <w:lang w:val="en-GB"/>
        </w:rPr>
      </w:pPr>
    </w:p>
    <w:p w14:paraId="7537DF04" w14:textId="77777777" w:rsidR="00106972" w:rsidRPr="00CF6430" w:rsidRDefault="00106972" w:rsidP="009C770D">
      <w:pPr>
        <w:rPr>
          <w:rFonts w:ascii="Arial" w:hAnsi="Arial" w:cs="Arial"/>
          <w:sz w:val="40"/>
          <w:szCs w:val="40"/>
          <w:lang w:val="en-GB"/>
        </w:rPr>
      </w:pPr>
    </w:p>
    <w:p w14:paraId="1CEECF20" w14:textId="77777777" w:rsidR="00106972" w:rsidRPr="00CF6430" w:rsidRDefault="00106972" w:rsidP="009C770D">
      <w:pPr>
        <w:rPr>
          <w:rFonts w:ascii="Arial" w:hAnsi="Arial" w:cs="Arial"/>
          <w:sz w:val="40"/>
          <w:szCs w:val="40"/>
          <w:lang w:val="en-GB"/>
        </w:rPr>
      </w:pPr>
    </w:p>
    <w:p w14:paraId="0003E7D9" w14:textId="77777777" w:rsidR="00106972" w:rsidRPr="00CF6430" w:rsidRDefault="00106972" w:rsidP="009C770D">
      <w:pPr>
        <w:rPr>
          <w:rFonts w:ascii="Arial" w:hAnsi="Arial" w:cs="Arial"/>
          <w:sz w:val="40"/>
          <w:szCs w:val="40"/>
          <w:lang w:val="en-GB"/>
        </w:rPr>
      </w:pPr>
    </w:p>
    <w:p w14:paraId="003B7BB3" w14:textId="1CA489E2" w:rsidR="00F847D5" w:rsidRPr="00EC4B51" w:rsidRDefault="00F847D5" w:rsidP="009C770D">
      <w:pPr>
        <w:rPr>
          <w:rFonts w:ascii="Arial" w:hAnsi="Arial" w:cs="Arial"/>
          <w:b/>
          <w:bCs/>
          <w:sz w:val="32"/>
          <w:szCs w:val="32"/>
          <w:lang w:val="en-GB"/>
        </w:rPr>
      </w:pPr>
      <w:r w:rsidRPr="00EC4B51">
        <w:rPr>
          <w:rFonts w:ascii="Arial" w:hAnsi="Arial" w:cs="Arial"/>
          <w:b/>
          <w:bCs/>
          <w:sz w:val="32"/>
          <w:szCs w:val="32"/>
          <w:lang w:val="en-GB"/>
        </w:rPr>
        <w:t>Table of content</w:t>
      </w:r>
    </w:p>
    <w:p w14:paraId="6B7181A9" w14:textId="1C3E3D4A" w:rsidR="00BB400B" w:rsidRPr="00EC4B51" w:rsidRDefault="00C053C4" w:rsidP="00F847D5">
      <w:pPr>
        <w:spacing w:after="0" w:line="240" w:lineRule="auto"/>
        <w:rPr>
          <w:rFonts w:ascii="Arial" w:eastAsia="Times New Roman" w:hAnsi="Arial" w:cs="Arial"/>
          <w:kern w:val="0"/>
          <w:sz w:val="32"/>
          <w:szCs w:val="32"/>
          <w:lang w:val="en-GB" w:eastAsia="it-IT"/>
          <w14:ligatures w14:val="none"/>
        </w:rPr>
      </w:pPr>
      <w:r w:rsidRPr="00EC4B51">
        <w:rPr>
          <w:rFonts w:ascii="Arial" w:eastAsia="Times New Roman" w:hAnsi="Arial" w:cs="Arial"/>
          <w:kern w:val="0"/>
          <w:sz w:val="32"/>
          <w:szCs w:val="32"/>
          <w:lang w:val="en-GB" w:eastAsia="it-IT"/>
          <w14:ligatures w14:val="none"/>
        </w:rPr>
        <w:t>In</w:t>
      </w:r>
      <w:r w:rsidR="0055740D" w:rsidRPr="00EC4B51">
        <w:rPr>
          <w:rFonts w:ascii="Arial" w:eastAsia="Times New Roman" w:hAnsi="Arial" w:cs="Arial"/>
          <w:kern w:val="0"/>
          <w:sz w:val="32"/>
          <w:szCs w:val="32"/>
          <w:lang w:val="en-GB" w:eastAsia="it-IT"/>
          <w14:ligatures w14:val="none"/>
        </w:rPr>
        <w:t xml:space="preserve">troduction </w:t>
      </w:r>
    </w:p>
    <w:p w14:paraId="249CE092" w14:textId="77777777" w:rsidR="0055740D" w:rsidRPr="00F847D5" w:rsidRDefault="0055740D" w:rsidP="00F847D5">
      <w:pPr>
        <w:spacing w:after="0" w:line="240" w:lineRule="auto"/>
        <w:rPr>
          <w:rFonts w:ascii="Arial" w:eastAsia="Times New Roman" w:hAnsi="Arial" w:cs="Arial"/>
          <w:kern w:val="0"/>
          <w:sz w:val="28"/>
          <w:szCs w:val="28"/>
          <w:lang w:val="en-GB" w:eastAsia="it-IT"/>
          <w14:ligatures w14:val="none"/>
        </w:rPr>
      </w:pPr>
    </w:p>
    <w:p w14:paraId="05937DD3" w14:textId="3153C250" w:rsidR="00BB400B" w:rsidRPr="00EC4B51"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Task 1: Key Concepts in Health and Social Care</w:t>
      </w:r>
    </w:p>
    <w:p w14:paraId="64414908" w14:textId="77777777" w:rsidR="00BB400B" w:rsidRPr="00EC4B51" w:rsidRDefault="00BB400B" w:rsidP="00F847D5">
      <w:pPr>
        <w:spacing w:after="0" w:line="240" w:lineRule="auto"/>
        <w:rPr>
          <w:rFonts w:ascii="Arial" w:eastAsia="Times New Roman" w:hAnsi="Arial" w:cs="Arial"/>
          <w:kern w:val="0"/>
          <w:sz w:val="28"/>
          <w:szCs w:val="28"/>
          <w:lang w:val="en-GB" w:eastAsia="it-IT"/>
          <w14:ligatures w14:val="none"/>
        </w:rPr>
      </w:pPr>
    </w:p>
    <w:p w14:paraId="458B1C5A" w14:textId="75523E77" w:rsidR="00BB400B" w:rsidRPr="00F847D5" w:rsidRDefault="00BB400B" w:rsidP="00BB400B">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2: Systems Thinking and Staff Burnout </w:t>
      </w:r>
    </w:p>
    <w:p w14:paraId="54EFA49A" w14:textId="6F4711DF" w:rsidR="00F847D5" w:rsidRPr="00F847D5"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2.1 Innovation</w:t>
      </w:r>
      <w:r w:rsidRPr="00F847D5">
        <w:rPr>
          <w:rFonts w:ascii="Arial" w:eastAsia="Times New Roman" w:hAnsi="Arial" w:cs="Arial"/>
          <w:kern w:val="0"/>
          <w:sz w:val="28"/>
          <w:szCs w:val="28"/>
          <w:lang w:val="en-GB" w:eastAsia="it-IT"/>
          <w14:ligatures w14:val="none"/>
        </w:rPr>
        <w:br/>
      </w: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2.2 Creativity</w:t>
      </w:r>
      <w:r w:rsidRPr="00F847D5">
        <w:rPr>
          <w:rFonts w:ascii="Arial" w:eastAsia="Times New Roman" w:hAnsi="Arial" w:cs="Arial"/>
          <w:kern w:val="0"/>
          <w:sz w:val="28"/>
          <w:szCs w:val="28"/>
          <w:lang w:val="en-GB" w:eastAsia="it-IT"/>
          <w14:ligatures w14:val="none"/>
        </w:rPr>
        <w:br/>
      </w: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2.3 Value Creation</w:t>
      </w:r>
      <w:r w:rsidRPr="00F847D5">
        <w:rPr>
          <w:rFonts w:ascii="Arial" w:eastAsia="Times New Roman" w:hAnsi="Arial" w:cs="Arial"/>
          <w:kern w:val="0"/>
          <w:sz w:val="28"/>
          <w:szCs w:val="28"/>
          <w:lang w:val="en-GB" w:eastAsia="it-IT"/>
          <w14:ligatures w14:val="none"/>
        </w:rPr>
        <w:br/>
      </w: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 xml:space="preserve">2.4 Change </w:t>
      </w:r>
    </w:p>
    <w:p w14:paraId="34C30607" w14:textId="77777777" w:rsidR="00BB400B" w:rsidRPr="00CF6430" w:rsidRDefault="00BB400B" w:rsidP="00F847D5">
      <w:pPr>
        <w:spacing w:after="0" w:line="240" w:lineRule="auto"/>
        <w:rPr>
          <w:rFonts w:ascii="Arial" w:eastAsia="Times New Roman" w:hAnsi="Arial" w:cs="Arial"/>
          <w:kern w:val="0"/>
          <w:sz w:val="28"/>
          <w:szCs w:val="28"/>
          <w:lang w:val="en-GB" w:eastAsia="it-IT"/>
          <w14:ligatures w14:val="none"/>
        </w:rPr>
      </w:pPr>
    </w:p>
    <w:p w14:paraId="4792EBCF" w14:textId="6F335F67" w:rsidR="00F847D5" w:rsidRPr="00F847D5"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3: Reflective Practice on Thinking Approaches </w:t>
      </w:r>
    </w:p>
    <w:p w14:paraId="61CB65EB" w14:textId="77777777" w:rsidR="00BB400B" w:rsidRPr="00EC4B51" w:rsidRDefault="00BB400B" w:rsidP="00F847D5">
      <w:pPr>
        <w:spacing w:after="0" w:line="240" w:lineRule="auto"/>
        <w:rPr>
          <w:rFonts w:ascii="Arial" w:eastAsia="Times New Roman" w:hAnsi="Arial" w:cs="Arial"/>
          <w:kern w:val="0"/>
          <w:sz w:val="28"/>
          <w:szCs w:val="28"/>
          <w:lang w:val="en-GB" w:eastAsia="it-IT"/>
          <w14:ligatures w14:val="none"/>
        </w:rPr>
      </w:pPr>
    </w:p>
    <w:p w14:paraId="6A6D380B" w14:textId="20DFDC25" w:rsidR="00F847D5" w:rsidRPr="00F847D5"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4: Innovation in Practice – Virtual Wards </w:t>
      </w:r>
    </w:p>
    <w:p w14:paraId="6E59A07F" w14:textId="77777777" w:rsidR="00BB400B" w:rsidRPr="00EC4B51" w:rsidRDefault="00BB400B" w:rsidP="00F847D5">
      <w:pPr>
        <w:spacing w:after="0" w:line="240" w:lineRule="auto"/>
        <w:rPr>
          <w:rFonts w:ascii="Arial" w:eastAsia="Times New Roman" w:hAnsi="Arial" w:cs="Arial"/>
          <w:kern w:val="0"/>
          <w:sz w:val="28"/>
          <w:szCs w:val="28"/>
          <w:lang w:val="en-GB" w:eastAsia="it-IT"/>
          <w14:ligatures w14:val="none"/>
        </w:rPr>
      </w:pPr>
    </w:p>
    <w:p w14:paraId="7B0BE1A6" w14:textId="470D364E" w:rsidR="00F847D5" w:rsidRPr="00F847D5"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5: Theoretical Perspectives on Burnout </w:t>
      </w:r>
    </w:p>
    <w:p w14:paraId="66F27D59" w14:textId="77777777" w:rsidR="00BB400B" w:rsidRPr="00EC4B51" w:rsidRDefault="00BB400B" w:rsidP="00F847D5">
      <w:pPr>
        <w:spacing w:after="0" w:line="240" w:lineRule="auto"/>
        <w:rPr>
          <w:rFonts w:ascii="Arial" w:eastAsia="Times New Roman" w:hAnsi="Arial" w:cs="Arial"/>
          <w:kern w:val="0"/>
          <w:sz w:val="28"/>
          <w:szCs w:val="28"/>
          <w:lang w:val="en-GB" w:eastAsia="it-IT"/>
          <w14:ligatures w14:val="none"/>
        </w:rPr>
      </w:pPr>
    </w:p>
    <w:p w14:paraId="41BC7A0A" w14:textId="60E93762" w:rsidR="00106972" w:rsidRPr="00EC4B51"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6: Digital Technologies in Health and Social Care</w:t>
      </w:r>
    </w:p>
    <w:p w14:paraId="76246A7A" w14:textId="77777777" w:rsidR="00BB400B" w:rsidRPr="00EC4B51" w:rsidRDefault="00BB400B" w:rsidP="00F847D5">
      <w:pPr>
        <w:spacing w:after="0" w:line="240" w:lineRule="auto"/>
        <w:rPr>
          <w:rFonts w:ascii="Arial" w:eastAsia="Times New Roman" w:hAnsi="Arial" w:cs="Arial"/>
          <w:kern w:val="0"/>
          <w:sz w:val="28"/>
          <w:szCs w:val="28"/>
          <w:lang w:val="en-GB" w:eastAsia="it-IT"/>
          <w14:ligatures w14:val="none"/>
        </w:rPr>
      </w:pPr>
    </w:p>
    <w:p w14:paraId="11DC8D7A" w14:textId="2A4B94E9" w:rsidR="00F847D5" w:rsidRPr="00F847D5" w:rsidRDefault="00106972"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Task 7: Leadership and Creativity</w:t>
      </w:r>
      <w:r w:rsidRPr="00F847D5">
        <w:rPr>
          <w:rFonts w:ascii="Arial" w:eastAsia="Times New Roman" w:hAnsi="Arial" w:cs="Arial"/>
          <w:kern w:val="0"/>
          <w:sz w:val="28"/>
          <w:szCs w:val="28"/>
          <w:lang w:val="en-GB" w:eastAsia="it-IT"/>
          <w14:ligatures w14:val="none"/>
        </w:rPr>
        <w:br/>
      </w:r>
      <w:r w:rsidR="00BB400B" w:rsidRPr="00EC4B51">
        <w:rPr>
          <w:rFonts w:ascii="Arial" w:eastAsia="Times New Roman" w:hAnsi="Arial" w:cs="Arial"/>
          <w:kern w:val="0"/>
          <w:sz w:val="28"/>
          <w:szCs w:val="28"/>
          <w:lang w:val="en-GB" w:eastAsia="it-IT"/>
          <w14:ligatures w14:val="none"/>
        </w:rPr>
        <w:t xml:space="preserve">    </w:t>
      </w:r>
      <w:r w:rsidR="00F847D5" w:rsidRPr="00F847D5">
        <w:rPr>
          <w:rFonts w:ascii="Arial" w:eastAsia="Times New Roman" w:hAnsi="Arial" w:cs="Arial"/>
          <w:kern w:val="0"/>
          <w:sz w:val="28"/>
          <w:szCs w:val="28"/>
          <w:lang w:val="en-GB" w:eastAsia="it-IT"/>
          <w14:ligatures w14:val="none"/>
        </w:rPr>
        <w:t>7.1 Wearable Health Technologies</w:t>
      </w:r>
      <w:r w:rsidR="00F847D5" w:rsidRPr="00F847D5">
        <w:rPr>
          <w:rFonts w:ascii="Arial" w:eastAsia="Times New Roman" w:hAnsi="Arial" w:cs="Arial"/>
          <w:kern w:val="0"/>
          <w:sz w:val="28"/>
          <w:szCs w:val="28"/>
          <w:lang w:val="en-GB" w:eastAsia="it-IT"/>
          <w14:ligatures w14:val="none"/>
        </w:rPr>
        <w:br/>
      </w:r>
      <w:r w:rsidR="00E41E9B" w:rsidRPr="00EC4B51">
        <w:rPr>
          <w:rFonts w:ascii="Arial" w:eastAsia="Times New Roman" w:hAnsi="Arial" w:cs="Arial"/>
          <w:kern w:val="0"/>
          <w:sz w:val="28"/>
          <w:szCs w:val="28"/>
          <w:lang w:val="en-GB" w:eastAsia="it-IT"/>
          <w14:ligatures w14:val="none"/>
        </w:rPr>
        <w:t xml:space="preserve">    </w:t>
      </w:r>
      <w:r w:rsidR="00F847D5" w:rsidRPr="00F847D5">
        <w:rPr>
          <w:rFonts w:ascii="Arial" w:eastAsia="Times New Roman" w:hAnsi="Arial" w:cs="Arial"/>
          <w:kern w:val="0"/>
          <w:sz w:val="28"/>
          <w:szCs w:val="28"/>
          <w:lang w:val="en-GB" w:eastAsia="it-IT"/>
          <w14:ligatures w14:val="none"/>
        </w:rPr>
        <w:t>7.2 Electronic Health Records (EHRs)</w:t>
      </w:r>
      <w:r w:rsidR="00F847D5" w:rsidRPr="00F847D5">
        <w:rPr>
          <w:rFonts w:ascii="Arial" w:eastAsia="Times New Roman" w:hAnsi="Arial" w:cs="Arial"/>
          <w:kern w:val="0"/>
          <w:sz w:val="28"/>
          <w:szCs w:val="28"/>
          <w:lang w:val="en-GB" w:eastAsia="it-IT"/>
          <w14:ligatures w14:val="none"/>
        </w:rPr>
        <w:br/>
      </w:r>
      <w:r w:rsidR="00E41E9B" w:rsidRPr="00EC4B51">
        <w:rPr>
          <w:rFonts w:ascii="Arial" w:eastAsia="Times New Roman" w:hAnsi="Arial" w:cs="Arial"/>
          <w:kern w:val="0"/>
          <w:sz w:val="28"/>
          <w:szCs w:val="28"/>
          <w:lang w:val="en-GB" w:eastAsia="it-IT"/>
          <w14:ligatures w14:val="none"/>
        </w:rPr>
        <w:t xml:space="preserve">    </w:t>
      </w:r>
      <w:r w:rsidR="00F847D5" w:rsidRPr="00F847D5">
        <w:rPr>
          <w:rFonts w:ascii="Arial" w:eastAsia="Times New Roman" w:hAnsi="Arial" w:cs="Arial"/>
          <w:kern w:val="0"/>
          <w:sz w:val="28"/>
          <w:szCs w:val="28"/>
          <w:lang w:val="en-GB" w:eastAsia="it-IT"/>
          <w14:ligatures w14:val="none"/>
        </w:rPr>
        <w:t xml:space="preserve">7.3 Digital Technology for Prevention and Health Promotion </w:t>
      </w:r>
    </w:p>
    <w:p w14:paraId="566038E8" w14:textId="77777777" w:rsidR="00BB400B" w:rsidRPr="00EC4B51" w:rsidRDefault="00BB400B" w:rsidP="00993DC8">
      <w:pPr>
        <w:spacing w:after="0" w:line="240" w:lineRule="auto"/>
        <w:rPr>
          <w:rFonts w:ascii="Arial" w:eastAsia="Times New Roman" w:hAnsi="Arial" w:cs="Arial"/>
          <w:kern w:val="0"/>
          <w:sz w:val="28"/>
          <w:szCs w:val="28"/>
          <w:lang w:val="en-GB" w:eastAsia="it-IT"/>
          <w14:ligatures w14:val="none"/>
        </w:rPr>
      </w:pPr>
    </w:p>
    <w:p w14:paraId="058C7582" w14:textId="5BF74902" w:rsidR="00993DC8" w:rsidRPr="00F847D5" w:rsidRDefault="00F847D5" w:rsidP="00993DC8">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val="en-GB" w:eastAsia="it-IT"/>
          <w14:ligatures w14:val="none"/>
        </w:rPr>
        <w:t xml:space="preserve"> </w:t>
      </w:r>
      <w:r w:rsidR="00993DC8" w:rsidRPr="00F847D5">
        <w:rPr>
          <w:rFonts w:ascii="Arial" w:eastAsia="Times New Roman" w:hAnsi="Arial" w:cs="Arial"/>
          <w:kern w:val="0"/>
          <w:sz w:val="28"/>
          <w:szCs w:val="28"/>
          <w:lang w:val="en-GB" w:eastAsia="it-IT"/>
          <w14:ligatures w14:val="none"/>
        </w:rPr>
        <w:t xml:space="preserve"> Task 8: Self-Reflection on Learning </w:t>
      </w:r>
    </w:p>
    <w:p w14:paraId="552C31A6" w14:textId="7884AAE7" w:rsidR="00F847D5" w:rsidRPr="00F847D5" w:rsidRDefault="00F847D5" w:rsidP="00F847D5">
      <w:pPr>
        <w:spacing w:after="0" w:line="240" w:lineRule="auto"/>
        <w:rPr>
          <w:rFonts w:ascii="Arial" w:eastAsia="Times New Roman" w:hAnsi="Arial" w:cs="Arial"/>
          <w:kern w:val="0"/>
          <w:sz w:val="28"/>
          <w:szCs w:val="28"/>
          <w:lang w:val="en-GB" w:eastAsia="it-IT"/>
          <w14:ligatures w14:val="none"/>
        </w:rPr>
      </w:pP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8.1 Inspiring Shared Purpose</w:t>
      </w:r>
      <w:r w:rsidRPr="00F847D5">
        <w:rPr>
          <w:rFonts w:ascii="Arial" w:eastAsia="Times New Roman" w:hAnsi="Arial" w:cs="Arial"/>
          <w:kern w:val="0"/>
          <w:sz w:val="28"/>
          <w:szCs w:val="28"/>
          <w:lang w:val="en-GB" w:eastAsia="it-IT"/>
          <w14:ligatures w14:val="none"/>
        </w:rPr>
        <w:br/>
      </w:r>
      <w:r w:rsidRPr="00F847D5">
        <w:rPr>
          <w:rFonts w:ascii="Arial" w:eastAsia="Times New Roman" w:hAnsi="Arial" w:cs="Arial"/>
          <w:kern w:val="0"/>
          <w:sz w:val="28"/>
          <w:szCs w:val="28"/>
          <w:lang w:eastAsia="it-IT"/>
          <w14:ligatures w14:val="none"/>
        </w:rPr>
        <w:t> </w:t>
      </w:r>
      <w:r w:rsidRPr="00F847D5">
        <w:rPr>
          <w:rFonts w:ascii="Arial" w:eastAsia="Times New Roman" w:hAnsi="Arial" w:cs="Arial"/>
          <w:kern w:val="0"/>
          <w:sz w:val="28"/>
          <w:szCs w:val="28"/>
          <w:lang w:val="en-GB" w:eastAsia="it-IT"/>
          <w14:ligatures w14:val="none"/>
        </w:rPr>
        <w:t xml:space="preserve">8.2 Reflective Journal Entry </w:t>
      </w:r>
    </w:p>
    <w:p w14:paraId="04DF3691" w14:textId="77777777" w:rsidR="00F847D5" w:rsidRPr="00EC4B51" w:rsidRDefault="00F847D5" w:rsidP="009C770D">
      <w:pPr>
        <w:rPr>
          <w:rFonts w:ascii="Arial" w:hAnsi="Arial" w:cs="Arial"/>
          <w:sz w:val="28"/>
          <w:szCs w:val="28"/>
          <w:lang w:val="en-GB"/>
        </w:rPr>
      </w:pPr>
    </w:p>
    <w:p w14:paraId="6BFEBB90" w14:textId="77777777" w:rsidR="00106972" w:rsidRPr="00EC4B51" w:rsidRDefault="00106972" w:rsidP="009C770D">
      <w:pPr>
        <w:rPr>
          <w:rFonts w:ascii="Arial" w:hAnsi="Arial" w:cs="Arial"/>
          <w:sz w:val="28"/>
          <w:szCs w:val="28"/>
          <w:lang w:val="en-GB"/>
        </w:rPr>
      </w:pPr>
    </w:p>
    <w:p w14:paraId="09B2DF87" w14:textId="77777777" w:rsidR="00170EB7" w:rsidRPr="00CF6430" w:rsidRDefault="00170EB7" w:rsidP="009C770D">
      <w:pPr>
        <w:rPr>
          <w:rFonts w:ascii="Arial" w:hAnsi="Arial" w:cs="Arial"/>
          <w:b/>
          <w:bCs/>
          <w:sz w:val="32"/>
          <w:szCs w:val="32"/>
          <w:lang w:val="en-GB"/>
        </w:rPr>
      </w:pPr>
    </w:p>
    <w:p w14:paraId="7B418340" w14:textId="671B1E7D" w:rsidR="00F847D5" w:rsidRPr="00EC4B51" w:rsidRDefault="00F847D5" w:rsidP="009C770D">
      <w:pPr>
        <w:rPr>
          <w:rFonts w:ascii="Arial" w:hAnsi="Arial" w:cs="Arial"/>
          <w:b/>
          <w:bCs/>
          <w:sz w:val="32"/>
          <w:szCs w:val="32"/>
        </w:rPr>
      </w:pPr>
      <w:proofErr w:type="spellStart"/>
      <w:r w:rsidRPr="00EC4B51">
        <w:rPr>
          <w:rFonts w:ascii="Arial" w:hAnsi="Arial" w:cs="Arial"/>
          <w:b/>
          <w:bCs/>
          <w:sz w:val="32"/>
          <w:szCs w:val="32"/>
        </w:rPr>
        <w:lastRenderedPageBreak/>
        <w:t>Introd</w:t>
      </w:r>
      <w:r w:rsidR="00187A71">
        <w:rPr>
          <w:rFonts w:ascii="Arial" w:hAnsi="Arial" w:cs="Arial"/>
          <w:b/>
          <w:bCs/>
          <w:sz w:val="32"/>
          <w:szCs w:val="32"/>
        </w:rPr>
        <w:t>u</w:t>
      </w:r>
      <w:r w:rsidRPr="00EC4B51">
        <w:rPr>
          <w:rFonts w:ascii="Arial" w:hAnsi="Arial" w:cs="Arial"/>
          <w:b/>
          <w:bCs/>
          <w:sz w:val="32"/>
          <w:szCs w:val="32"/>
        </w:rPr>
        <w:t>ction</w:t>
      </w:r>
      <w:proofErr w:type="spellEnd"/>
    </w:p>
    <w:p w14:paraId="7CAD7824" w14:textId="724133A9" w:rsidR="00F847D5" w:rsidRPr="00EC4B51" w:rsidRDefault="00F847D5" w:rsidP="009C770D">
      <w:pPr>
        <w:rPr>
          <w:rFonts w:ascii="Arial" w:hAnsi="Arial" w:cs="Arial"/>
          <w:sz w:val="26"/>
          <w:szCs w:val="26"/>
          <w:lang w:val="en-GB"/>
        </w:rPr>
      </w:pPr>
      <w:r w:rsidRPr="00F847D5">
        <w:rPr>
          <w:rFonts w:ascii="Arial" w:hAnsi="Arial" w:cs="Arial"/>
          <w:sz w:val="26"/>
          <w:szCs w:val="26"/>
          <w:lang w:val="en-GB"/>
        </w:rPr>
        <w:t>This assignment examines important ideas about innovation, creativity, and change in the field of health and social care. Professionals must employ creative and adaptable strategies to enhance service delivery and patient outcomes in a setting that is continuously changing as a result of rising demands, scarce resources, and technology improvements.</w:t>
      </w:r>
      <w:r w:rsidRPr="00F847D5">
        <w:rPr>
          <w:rFonts w:ascii="Arial" w:hAnsi="Arial" w:cs="Arial"/>
          <w:sz w:val="26"/>
          <w:szCs w:val="26"/>
          <w:lang w:val="en-GB"/>
        </w:rPr>
        <w:br/>
      </w:r>
      <w:r w:rsidRPr="00F847D5">
        <w:rPr>
          <w:rFonts w:ascii="Arial" w:hAnsi="Arial" w:cs="Arial"/>
          <w:sz w:val="26"/>
          <w:szCs w:val="26"/>
          <w:lang w:val="en-GB"/>
        </w:rPr>
        <w:br/>
        <w:t xml:space="preserve">This assignment's responsibilities explore the theoretical underpinnings of innovation, creativity, value creation, and change as well as the practical applications of these ideas. The assignment also assesses the role of technology in changing care and uses a systems perspective to </w:t>
      </w:r>
      <w:proofErr w:type="spellStart"/>
      <w:r w:rsidRPr="00F847D5">
        <w:rPr>
          <w:rFonts w:ascii="Arial" w:hAnsi="Arial" w:cs="Arial"/>
          <w:sz w:val="26"/>
          <w:szCs w:val="26"/>
          <w:lang w:val="en-GB"/>
        </w:rPr>
        <w:t>analyze</w:t>
      </w:r>
      <w:proofErr w:type="spellEnd"/>
      <w:r w:rsidRPr="00F847D5">
        <w:rPr>
          <w:rFonts w:ascii="Arial" w:hAnsi="Arial" w:cs="Arial"/>
          <w:sz w:val="26"/>
          <w:szCs w:val="26"/>
          <w:lang w:val="en-GB"/>
        </w:rPr>
        <w:t xml:space="preserve"> actual issues like staff fatigue. </w:t>
      </w:r>
    </w:p>
    <w:p w14:paraId="7DDB08FA" w14:textId="77777777" w:rsidR="006F1137" w:rsidRPr="00EC4B51" w:rsidRDefault="006F1137" w:rsidP="009C770D">
      <w:pPr>
        <w:rPr>
          <w:rFonts w:ascii="Arial" w:hAnsi="Arial" w:cs="Arial"/>
          <w:sz w:val="40"/>
          <w:szCs w:val="40"/>
          <w:lang w:val="en-GB"/>
        </w:rPr>
      </w:pPr>
    </w:p>
    <w:p w14:paraId="6826E071" w14:textId="77777777" w:rsidR="00F847D5" w:rsidRPr="00EC4B51" w:rsidRDefault="00F847D5" w:rsidP="009C770D">
      <w:pPr>
        <w:rPr>
          <w:rFonts w:ascii="Arial" w:hAnsi="Arial" w:cs="Arial"/>
          <w:b/>
          <w:bCs/>
          <w:sz w:val="40"/>
          <w:szCs w:val="40"/>
          <w:lang w:val="en-GB"/>
        </w:rPr>
      </w:pPr>
    </w:p>
    <w:p w14:paraId="7B9B6D6C" w14:textId="2829D6EC" w:rsidR="00427A48" w:rsidRPr="00EC4B51" w:rsidRDefault="00097FBC" w:rsidP="009C770D">
      <w:pPr>
        <w:rPr>
          <w:rFonts w:ascii="Arial" w:hAnsi="Arial" w:cs="Arial"/>
          <w:b/>
          <w:bCs/>
          <w:sz w:val="32"/>
          <w:szCs w:val="32"/>
          <w:lang w:val="en-GB"/>
        </w:rPr>
      </w:pPr>
      <w:r w:rsidRPr="00EC4B51">
        <w:rPr>
          <w:rFonts w:ascii="Arial" w:hAnsi="Arial" w:cs="Arial"/>
          <w:b/>
          <w:bCs/>
          <w:sz w:val="32"/>
          <w:szCs w:val="32"/>
          <w:lang w:val="en-GB"/>
        </w:rPr>
        <w:t>T</w:t>
      </w:r>
      <w:r w:rsidR="00EB67B8" w:rsidRPr="00EC4B51">
        <w:rPr>
          <w:rFonts w:ascii="Arial" w:hAnsi="Arial" w:cs="Arial"/>
          <w:b/>
          <w:bCs/>
          <w:sz w:val="32"/>
          <w:szCs w:val="32"/>
          <w:lang w:val="en-GB"/>
        </w:rPr>
        <w:t>ASK</w:t>
      </w:r>
      <w:r w:rsidRPr="00EC4B51">
        <w:rPr>
          <w:rFonts w:ascii="Arial" w:hAnsi="Arial" w:cs="Arial"/>
          <w:b/>
          <w:bCs/>
          <w:sz w:val="32"/>
          <w:szCs w:val="32"/>
          <w:lang w:val="en-GB"/>
        </w:rPr>
        <w:t xml:space="preserve"> </w:t>
      </w:r>
      <w:r w:rsidR="00427A48" w:rsidRPr="00EC4B51">
        <w:rPr>
          <w:rFonts w:ascii="Arial" w:hAnsi="Arial" w:cs="Arial"/>
          <w:b/>
          <w:bCs/>
          <w:sz w:val="32"/>
          <w:szCs w:val="32"/>
          <w:lang w:val="en-GB"/>
        </w:rPr>
        <w:t>1</w:t>
      </w:r>
    </w:p>
    <w:p w14:paraId="3DA751D4" w14:textId="3E7DEBF2" w:rsidR="002B798A" w:rsidRPr="00EC4B51" w:rsidRDefault="002B798A" w:rsidP="002B798A">
      <w:pPr>
        <w:rPr>
          <w:rFonts w:ascii="Arial" w:hAnsi="Arial" w:cs="Arial"/>
          <w:lang w:val="en-GB"/>
        </w:rPr>
      </w:pPr>
      <w:r w:rsidRPr="00EC4B51">
        <w:rPr>
          <w:rFonts w:ascii="Arial" w:hAnsi="Arial" w:cs="Arial"/>
          <w:b/>
          <w:bCs/>
          <w:lang w:val="en-GB"/>
        </w:rPr>
        <w:t>Innovation</w:t>
      </w:r>
      <w:r w:rsidRPr="00EC4B51">
        <w:rPr>
          <w:rFonts w:ascii="Arial" w:hAnsi="Arial" w:cs="Arial"/>
          <w:lang w:val="en-GB"/>
        </w:rPr>
        <w:t xml:space="preserve"> is defined as the implementation of new or improved ideas, processes, or services that lead to enhanced outcomes. The Organisation for Economic Co-operation and Development (OECD, 2018) states that innovation involves introducing something new that adds value. Within health and social care, innovation is critical for improving efficiency, patient outcomes, and service delivery.</w:t>
      </w:r>
      <w:r w:rsidR="00C079E7" w:rsidRPr="00C079E7">
        <w:rPr>
          <w:lang w:val="en-GB"/>
        </w:rPr>
        <w:t xml:space="preserve"> </w:t>
      </w:r>
      <w:r w:rsidR="00C079E7" w:rsidRPr="00C079E7">
        <w:rPr>
          <w:rFonts w:ascii="Arial" w:hAnsi="Arial" w:cs="Arial"/>
          <w:lang w:val="en-GB"/>
        </w:rPr>
        <w:t>Telehealth is one example of how innovation can increase service efficiency and accessibility. But it can also lead to inequality, especially for those who lack digital skills or do not have access to digital technologies. This demonstrates that innovation is not always advantageous unless it is thoughtfully developed with inclusion in mind.</w:t>
      </w:r>
    </w:p>
    <w:p w14:paraId="56FB130C" w14:textId="77777777" w:rsidR="002B798A" w:rsidRPr="00EC4B51" w:rsidRDefault="002B798A" w:rsidP="002B798A">
      <w:pPr>
        <w:rPr>
          <w:rFonts w:ascii="Arial" w:hAnsi="Arial" w:cs="Arial"/>
          <w:lang w:val="en-GB"/>
        </w:rPr>
      </w:pPr>
    </w:p>
    <w:p w14:paraId="791695D0" w14:textId="41D5E253" w:rsidR="002B798A" w:rsidRPr="00EC4B51" w:rsidRDefault="002B798A" w:rsidP="002B798A">
      <w:pPr>
        <w:rPr>
          <w:rFonts w:ascii="Arial" w:hAnsi="Arial" w:cs="Arial"/>
          <w:lang w:val="en-GB"/>
        </w:rPr>
      </w:pPr>
      <w:r w:rsidRPr="00EC4B51">
        <w:rPr>
          <w:rFonts w:ascii="Arial" w:hAnsi="Arial" w:cs="Arial"/>
          <w:b/>
          <w:bCs/>
          <w:lang w:val="en-GB"/>
        </w:rPr>
        <w:t>Creativity</w:t>
      </w:r>
      <w:r w:rsidRPr="00EC4B51">
        <w:rPr>
          <w:rFonts w:ascii="Arial" w:hAnsi="Arial" w:cs="Arial"/>
          <w:lang w:val="en-GB"/>
        </w:rPr>
        <w:t xml:space="preserve"> is the capacity to generate new and original ideas. Amabile (1996) defines creativity as the production of ideas that are both novel and useful. In health and social care, creativity is vital because professionals frequently encounter complex and unpredictable situations that require flexible thinking.</w:t>
      </w:r>
      <w:r w:rsidR="00C94696">
        <w:rPr>
          <w:rFonts w:ascii="Arial" w:hAnsi="Arial" w:cs="Arial"/>
          <w:lang w:val="en-GB"/>
        </w:rPr>
        <w:t xml:space="preserve"> A</w:t>
      </w:r>
      <w:r w:rsidRPr="00EC4B51">
        <w:rPr>
          <w:rFonts w:ascii="Arial" w:hAnsi="Arial" w:cs="Arial"/>
          <w:lang w:val="en-GB"/>
        </w:rPr>
        <w:t xml:space="preserve"> social worker may use creative communication strategies to build trust with a young person experiencing trauma, adapting their approach to meet individual needs.</w:t>
      </w:r>
      <w:r w:rsidR="00C94696">
        <w:rPr>
          <w:rFonts w:ascii="Arial" w:hAnsi="Arial" w:cs="Arial"/>
          <w:lang w:val="en-GB"/>
        </w:rPr>
        <w:t xml:space="preserve"> </w:t>
      </w:r>
      <w:r w:rsidR="00C94696" w:rsidRPr="00C94696">
        <w:rPr>
          <w:rFonts w:ascii="Arial" w:hAnsi="Arial" w:cs="Arial"/>
          <w:lang w:val="en-GB"/>
        </w:rPr>
        <w:t>For instance, developing trust with vulnerable people can be facilitated by innovative communication. Effective strategies might not always be maintained, though, because creativity is frequently underappreciated in practice, particularly when money is tight.</w:t>
      </w:r>
    </w:p>
    <w:p w14:paraId="727E4053" w14:textId="77777777" w:rsidR="002B798A" w:rsidRPr="00EC4B51" w:rsidRDefault="002B798A" w:rsidP="002B798A">
      <w:pPr>
        <w:rPr>
          <w:rFonts w:ascii="Arial" w:hAnsi="Arial" w:cs="Arial"/>
          <w:b/>
          <w:bCs/>
          <w:lang w:val="en-GB"/>
        </w:rPr>
      </w:pPr>
    </w:p>
    <w:p w14:paraId="06F0AA01" w14:textId="77777777" w:rsidR="00561731" w:rsidRDefault="00561731" w:rsidP="002B798A">
      <w:pPr>
        <w:rPr>
          <w:rFonts w:ascii="Arial" w:hAnsi="Arial" w:cs="Arial"/>
          <w:b/>
          <w:bCs/>
          <w:lang w:val="en-GB"/>
        </w:rPr>
      </w:pPr>
    </w:p>
    <w:p w14:paraId="4E73EE0B" w14:textId="77777777" w:rsidR="00561731" w:rsidRDefault="00561731" w:rsidP="002B798A">
      <w:pPr>
        <w:rPr>
          <w:rFonts w:ascii="Arial" w:hAnsi="Arial" w:cs="Arial"/>
          <w:b/>
          <w:bCs/>
          <w:lang w:val="en-GB"/>
        </w:rPr>
      </w:pPr>
    </w:p>
    <w:p w14:paraId="58713FA1" w14:textId="77777777" w:rsidR="00561731" w:rsidRDefault="00561731" w:rsidP="002B798A">
      <w:pPr>
        <w:rPr>
          <w:rFonts w:ascii="Arial" w:hAnsi="Arial" w:cs="Arial"/>
          <w:b/>
          <w:bCs/>
          <w:lang w:val="en-GB"/>
        </w:rPr>
      </w:pPr>
    </w:p>
    <w:p w14:paraId="7076A26A" w14:textId="507FF89B" w:rsidR="002B798A" w:rsidRPr="00EC4B51" w:rsidRDefault="002B798A" w:rsidP="002B798A">
      <w:pPr>
        <w:rPr>
          <w:rFonts w:ascii="Arial" w:hAnsi="Arial" w:cs="Arial"/>
          <w:lang w:val="en-GB"/>
        </w:rPr>
      </w:pPr>
      <w:r w:rsidRPr="00EC4B51">
        <w:rPr>
          <w:rFonts w:ascii="Arial" w:hAnsi="Arial" w:cs="Arial"/>
          <w:b/>
          <w:bCs/>
          <w:lang w:val="en-GB"/>
        </w:rPr>
        <w:t>Value</w:t>
      </w:r>
      <w:r w:rsidRPr="00EC4B51">
        <w:rPr>
          <w:rFonts w:ascii="Arial" w:hAnsi="Arial" w:cs="Arial"/>
          <w:lang w:val="en-GB"/>
        </w:rPr>
        <w:t xml:space="preserve"> creation refers to the process of improving outcomes in ways that benefit both individuals and services. Porter (2010) argues that value in healthcare is achieved when better health outcomes are delivered relative to the cost of care. This concept is crucial in health and social care because resources are limited, and services must deliver the best possible results efficiently. </w:t>
      </w:r>
      <w:r w:rsidR="005E1266" w:rsidRPr="005E1266">
        <w:rPr>
          <w:rFonts w:ascii="Arial" w:hAnsi="Arial" w:cs="Arial"/>
          <w:lang w:val="en-GB"/>
        </w:rPr>
        <w:t>The goal of value creation is to maximize the utilization of scarce resources while producing superior results. Although integrated care can lower costs and enhance recovery, there is a chance that an excessive emphasis on efficiency could compromise the standard of care. As a result, it's critical to keep patient-</w:t>
      </w:r>
      <w:proofErr w:type="spellStart"/>
      <w:r w:rsidR="005E1266" w:rsidRPr="005E1266">
        <w:rPr>
          <w:rFonts w:ascii="Arial" w:hAnsi="Arial" w:cs="Arial"/>
          <w:lang w:val="en-GB"/>
        </w:rPr>
        <w:t>centered</w:t>
      </w:r>
      <w:proofErr w:type="spellEnd"/>
      <w:r w:rsidR="005E1266" w:rsidRPr="005E1266">
        <w:rPr>
          <w:rFonts w:ascii="Arial" w:hAnsi="Arial" w:cs="Arial"/>
          <w:lang w:val="en-GB"/>
        </w:rPr>
        <w:t xml:space="preserve"> treatment and cost-effectiveness in balance.</w:t>
      </w:r>
    </w:p>
    <w:p w14:paraId="1241BCDD" w14:textId="77777777" w:rsidR="002B798A" w:rsidRPr="00EC4B51" w:rsidRDefault="002B798A" w:rsidP="002B798A">
      <w:pPr>
        <w:rPr>
          <w:rFonts w:ascii="Arial" w:hAnsi="Arial" w:cs="Arial"/>
          <w:lang w:val="en-GB"/>
        </w:rPr>
      </w:pPr>
    </w:p>
    <w:p w14:paraId="7EF7239A" w14:textId="71DD4577" w:rsidR="002B798A" w:rsidRPr="00EC4B51" w:rsidRDefault="002B798A" w:rsidP="002B798A">
      <w:pPr>
        <w:rPr>
          <w:rFonts w:ascii="Arial" w:hAnsi="Arial" w:cs="Arial"/>
          <w:lang w:val="en-GB"/>
        </w:rPr>
      </w:pPr>
      <w:r w:rsidRPr="00EC4B51">
        <w:rPr>
          <w:rFonts w:ascii="Arial" w:hAnsi="Arial" w:cs="Arial"/>
          <w:b/>
          <w:bCs/>
          <w:lang w:val="en-GB"/>
        </w:rPr>
        <w:t>Change</w:t>
      </w:r>
      <w:r w:rsidRPr="00EC4B51">
        <w:rPr>
          <w:rFonts w:ascii="Arial" w:hAnsi="Arial" w:cs="Arial"/>
          <w:lang w:val="en-GB"/>
        </w:rPr>
        <w:t xml:space="preserve"> refers to the process of moving from one state to another. Lewin (1947) describes change as a three-stage process: unfreezing, changing, and refreezing. Change is essential in health and social care because systems must continuously adapt to new challenges, policies, and patient needs. </w:t>
      </w:r>
      <w:r w:rsidR="002E5C2D" w:rsidRPr="002E5C2D">
        <w:rPr>
          <w:rFonts w:ascii="Arial" w:hAnsi="Arial" w:cs="Arial"/>
          <w:lang w:val="en-GB"/>
        </w:rPr>
        <w:t>To implement improvements within services, change is required. Change entails unfreezing, altering, and refreezing</w:t>
      </w:r>
      <w:r w:rsidR="00EF7319">
        <w:rPr>
          <w:rFonts w:ascii="Arial" w:hAnsi="Arial" w:cs="Arial"/>
          <w:lang w:val="en-GB"/>
        </w:rPr>
        <w:t xml:space="preserve"> according to Lewin.</w:t>
      </w:r>
      <w:r w:rsidR="002E5C2D" w:rsidRPr="002E5C2D">
        <w:rPr>
          <w:rFonts w:ascii="Arial" w:hAnsi="Arial" w:cs="Arial"/>
          <w:lang w:val="en-GB"/>
        </w:rPr>
        <w:t xml:space="preserve"> However, because of uncertainty or a lack of training, employees may oppose new methods of operation, making change challenging. Strong leadership, effective communication, and the right kind of support are necessary for change to succeed.</w:t>
      </w:r>
    </w:p>
    <w:p w14:paraId="05C0524F" w14:textId="1911815A" w:rsidR="00453A1E" w:rsidRPr="00EC4B51" w:rsidRDefault="002B798A" w:rsidP="002B798A">
      <w:pPr>
        <w:rPr>
          <w:rFonts w:ascii="Arial" w:hAnsi="Arial" w:cs="Arial"/>
          <w:lang w:val="en-GB"/>
        </w:rPr>
      </w:pPr>
      <w:r w:rsidRPr="00EC4B51">
        <w:rPr>
          <w:rFonts w:ascii="Arial" w:hAnsi="Arial" w:cs="Arial"/>
          <w:lang w:val="en-GB"/>
        </w:rPr>
        <w:t>In conclusion, innovation, creativity, value creation, and change are interconnected concepts that support continuous improvement in health and social care, ensuring that services remain effective, adaptable, and patient-centred.</w:t>
      </w:r>
    </w:p>
    <w:p w14:paraId="72EE680E" w14:textId="77777777" w:rsidR="00453A1E" w:rsidRPr="00EC4B51" w:rsidRDefault="00453A1E" w:rsidP="002B798A">
      <w:pPr>
        <w:rPr>
          <w:rFonts w:ascii="Arial" w:hAnsi="Arial" w:cs="Arial"/>
          <w:lang w:val="en-GB"/>
        </w:rPr>
      </w:pPr>
    </w:p>
    <w:p w14:paraId="3C0A1499" w14:textId="77777777" w:rsidR="00EC4B51" w:rsidRPr="00EC4B51" w:rsidRDefault="00EC4B51" w:rsidP="002B798A">
      <w:pPr>
        <w:rPr>
          <w:rFonts w:ascii="Arial" w:hAnsi="Arial" w:cs="Arial"/>
          <w:lang w:val="en-GB"/>
        </w:rPr>
      </w:pPr>
    </w:p>
    <w:p w14:paraId="440F858A" w14:textId="77777777" w:rsidR="00EC4B51" w:rsidRPr="00EC4B51" w:rsidRDefault="00EC4B51" w:rsidP="002B798A">
      <w:pPr>
        <w:rPr>
          <w:rFonts w:ascii="Arial" w:hAnsi="Arial" w:cs="Arial"/>
          <w:lang w:val="en-GB"/>
        </w:rPr>
      </w:pPr>
    </w:p>
    <w:p w14:paraId="58B826AB" w14:textId="77777777" w:rsidR="00EC4B51" w:rsidRPr="00EC4B51" w:rsidRDefault="00EC4B51" w:rsidP="002B798A">
      <w:pPr>
        <w:rPr>
          <w:rFonts w:ascii="Arial" w:hAnsi="Arial" w:cs="Arial"/>
          <w:lang w:val="en-GB"/>
        </w:rPr>
      </w:pPr>
    </w:p>
    <w:p w14:paraId="75390B7C" w14:textId="364A0478" w:rsidR="002D389B" w:rsidRPr="00170EB7" w:rsidRDefault="00677E36" w:rsidP="002B798A">
      <w:pPr>
        <w:rPr>
          <w:rFonts w:ascii="Arial" w:hAnsi="Arial" w:cs="Arial"/>
          <w:b/>
          <w:bCs/>
          <w:sz w:val="32"/>
          <w:szCs w:val="32"/>
          <w:lang w:val="en-GB"/>
        </w:rPr>
      </w:pPr>
      <w:r w:rsidRPr="00EC4B51">
        <w:rPr>
          <w:rFonts w:ascii="Arial" w:hAnsi="Arial" w:cs="Arial"/>
          <w:b/>
          <w:bCs/>
          <w:sz w:val="32"/>
          <w:szCs w:val="32"/>
          <w:lang w:val="en-GB"/>
        </w:rPr>
        <w:lastRenderedPageBreak/>
        <w:t>T</w:t>
      </w:r>
      <w:r w:rsidR="00EB67B8" w:rsidRPr="00EC4B51">
        <w:rPr>
          <w:rFonts w:ascii="Arial" w:hAnsi="Arial" w:cs="Arial"/>
          <w:b/>
          <w:bCs/>
          <w:sz w:val="32"/>
          <w:szCs w:val="32"/>
          <w:lang w:val="en-GB"/>
        </w:rPr>
        <w:t>ASK</w:t>
      </w:r>
      <w:r w:rsidRPr="00EC4B51">
        <w:rPr>
          <w:rFonts w:ascii="Arial" w:hAnsi="Arial" w:cs="Arial"/>
          <w:b/>
          <w:bCs/>
          <w:sz w:val="32"/>
          <w:szCs w:val="32"/>
          <w:lang w:val="en-GB"/>
        </w:rPr>
        <w:t xml:space="preserve"> 2</w:t>
      </w:r>
      <w:r w:rsidR="002D389B" w:rsidRPr="00EC4B51">
        <w:rPr>
          <w:rFonts w:ascii="Arial" w:hAnsi="Arial" w:cs="Arial"/>
          <w:noProof/>
          <w:lang w:val="en-GB"/>
        </w:rPr>
        <w:drawing>
          <wp:inline distT="0" distB="0" distL="0" distR="0" wp14:anchorId="6A22BEE1" wp14:editId="668C2509">
            <wp:extent cx="6120130" cy="4079875"/>
            <wp:effectExtent l="0" t="0" r="0" b="0"/>
            <wp:docPr id="263330054"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30054" name="Immagine 2633300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20130" cy="4079875"/>
                    </a:xfrm>
                    <a:prstGeom prst="rect">
                      <a:avLst/>
                    </a:prstGeom>
                  </pic:spPr>
                </pic:pic>
              </a:graphicData>
            </a:graphic>
          </wp:inline>
        </w:drawing>
      </w:r>
    </w:p>
    <w:p w14:paraId="2CC74472" w14:textId="22F0C80D" w:rsidR="002D389B" w:rsidRPr="00453612" w:rsidRDefault="00453612" w:rsidP="002B798A">
      <w:pPr>
        <w:rPr>
          <w:rFonts w:ascii="Arial" w:hAnsi="Arial" w:cs="Arial"/>
          <w:sz w:val="16"/>
          <w:szCs w:val="16"/>
          <w:lang w:val="en-GB"/>
        </w:rPr>
      </w:pPr>
      <w:r w:rsidRPr="00453612">
        <w:rPr>
          <w:rFonts w:ascii="Arial" w:hAnsi="Arial" w:cs="Arial"/>
          <w:sz w:val="16"/>
          <w:szCs w:val="16"/>
          <w:lang w:val="en-GB"/>
        </w:rPr>
        <w:t>(Meadows,2008)</w:t>
      </w:r>
      <w:r>
        <w:rPr>
          <w:rFonts w:ascii="Arial" w:hAnsi="Arial" w:cs="Arial"/>
          <w:sz w:val="16"/>
          <w:szCs w:val="16"/>
          <w:lang w:val="en-GB"/>
        </w:rPr>
        <w:t xml:space="preserve"> (</w:t>
      </w:r>
      <w:r w:rsidR="00561731">
        <w:rPr>
          <w:rFonts w:ascii="Arial" w:hAnsi="Arial" w:cs="Arial"/>
          <w:sz w:val="16"/>
          <w:szCs w:val="16"/>
          <w:lang w:val="en-GB"/>
        </w:rPr>
        <w:t>WHO,2010)</w:t>
      </w:r>
    </w:p>
    <w:p w14:paraId="34ADA5C7" w14:textId="77777777" w:rsidR="003C36E3" w:rsidRDefault="003C36E3" w:rsidP="002B798A">
      <w:pPr>
        <w:rPr>
          <w:rFonts w:ascii="Arial" w:hAnsi="Arial" w:cs="Arial"/>
          <w:lang w:val="en-GB"/>
        </w:rPr>
      </w:pPr>
    </w:p>
    <w:p w14:paraId="14BAD5EF" w14:textId="78C4E5B7" w:rsidR="00170EB7" w:rsidRDefault="002461E7" w:rsidP="002B798A">
      <w:pPr>
        <w:rPr>
          <w:rFonts w:ascii="Arial" w:hAnsi="Arial" w:cs="Arial"/>
          <w:lang w:val="en-GB"/>
        </w:rPr>
      </w:pPr>
      <w:r w:rsidRPr="00EC4B51">
        <w:rPr>
          <w:rFonts w:ascii="Arial" w:hAnsi="Arial" w:cs="Arial"/>
          <w:lang w:val="en-GB"/>
        </w:rPr>
        <w:t xml:space="preserve">Because it has a direct impact on both professionals and patient outcomes, staff burnout is a significant issue in the health and social care sectors. High workloads, a lack of employees, and emotional stress are all interrelated factors that lead to burnout. </w:t>
      </w:r>
    </w:p>
    <w:p w14:paraId="015FABB7" w14:textId="4B075552" w:rsidR="00677E36" w:rsidRPr="00EC4B51" w:rsidRDefault="002461E7" w:rsidP="002B798A">
      <w:pPr>
        <w:rPr>
          <w:rFonts w:ascii="Arial" w:hAnsi="Arial" w:cs="Arial"/>
          <w:lang w:val="en-GB"/>
        </w:rPr>
      </w:pPr>
      <w:r w:rsidRPr="00EC4B51">
        <w:rPr>
          <w:rFonts w:ascii="Arial" w:hAnsi="Arial" w:cs="Arial"/>
          <w:lang w:val="en-GB"/>
        </w:rPr>
        <w:t>This problem can be viewed as a component of a larger system where staff pressure results in lower care quality and more mistakes (Meadows, 2008). This could start a vicious cycle where more employees quit, making the shortage worse.</w:t>
      </w:r>
      <w:r w:rsidR="00805C9B" w:rsidRPr="00EC4B51">
        <w:rPr>
          <w:rFonts w:ascii="Arial" w:hAnsi="Arial" w:cs="Arial"/>
          <w:lang w:val="en-GB"/>
        </w:rPr>
        <w:t xml:space="preserve"> Frontline employees and vulnerable patients who depend on reliable, high-quality care are the most impacted. Services could become unsafe and unsustainable if this issue is not resolved. Enhancing staffing levels, offering mental health support, and encouraging flexible work schedules are some potential remedies. By breaking the cycle, these interventions can enhance patient care and staff well-being.</w:t>
      </w:r>
    </w:p>
    <w:p w14:paraId="7CF7101E" w14:textId="77777777" w:rsidR="002D389B" w:rsidRPr="00EC4B51" w:rsidRDefault="002D389B" w:rsidP="002B798A">
      <w:pPr>
        <w:rPr>
          <w:rFonts w:ascii="Arial" w:hAnsi="Arial" w:cs="Arial"/>
          <w:lang w:val="en-GB"/>
        </w:rPr>
      </w:pPr>
    </w:p>
    <w:p w14:paraId="281573E4" w14:textId="77777777" w:rsidR="00EC4B51" w:rsidRPr="00EC4B51" w:rsidRDefault="00EC4B51" w:rsidP="002B798A">
      <w:pPr>
        <w:rPr>
          <w:rFonts w:ascii="Arial" w:hAnsi="Arial" w:cs="Arial"/>
          <w:lang w:val="en-GB"/>
        </w:rPr>
      </w:pPr>
    </w:p>
    <w:p w14:paraId="0D893F39" w14:textId="77777777" w:rsidR="00EC4B51" w:rsidRPr="00EC4B51" w:rsidRDefault="00EC4B51" w:rsidP="002B798A">
      <w:pPr>
        <w:rPr>
          <w:rFonts w:ascii="Arial" w:hAnsi="Arial" w:cs="Arial"/>
          <w:lang w:val="en-GB"/>
        </w:rPr>
      </w:pPr>
    </w:p>
    <w:p w14:paraId="11725526" w14:textId="77777777" w:rsidR="00EC4B51" w:rsidRPr="00EC4B51" w:rsidRDefault="00EC4B51" w:rsidP="002B798A">
      <w:pPr>
        <w:rPr>
          <w:rFonts w:ascii="Arial" w:hAnsi="Arial" w:cs="Arial"/>
          <w:lang w:val="en-GB"/>
        </w:rPr>
      </w:pPr>
    </w:p>
    <w:p w14:paraId="76E8E9D1" w14:textId="77777777" w:rsidR="00925746" w:rsidRDefault="00925746" w:rsidP="002B798A">
      <w:pPr>
        <w:rPr>
          <w:rFonts w:ascii="Arial" w:hAnsi="Arial" w:cs="Arial"/>
          <w:b/>
          <w:bCs/>
          <w:sz w:val="32"/>
          <w:szCs w:val="32"/>
          <w:lang w:val="en-GB"/>
        </w:rPr>
      </w:pPr>
    </w:p>
    <w:p w14:paraId="7EC961E9" w14:textId="5A0B19C8" w:rsidR="002D389B" w:rsidRPr="00EC4B51" w:rsidRDefault="002D389B" w:rsidP="002B798A">
      <w:pPr>
        <w:rPr>
          <w:rFonts w:ascii="Arial" w:hAnsi="Arial" w:cs="Arial"/>
          <w:b/>
          <w:bCs/>
          <w:sz w:val="32"/>
          <w:szCs w:val="32"/>
          <w:lang w:val="en-GB"/>
        </w:rPr>
      </w:pPr>
      <w:r w:rsidRPr="00EC4B51">
        <w:rPr>
          <w:rFonts w:ascii="Arial" w:hAnsi="Arial" w:cs="Arial"/>
          <w:b/>
          <w:bCs/>
          <w:sz w:val="32"/>
          <w:szCs w:val="32"/>
          <w:lang w:val="en-GB"/>
        </w:rPr>
        <w:lastRenderedPageBreak/>
        <w:t>TASK 3</w:t>
      </w:r>
    </w:p>
    <w:p w14:paraId="209F9DB5" w14:textId="77777777" w:rsidR="006A0F3A" w:rsidRPr="00EC4B51" w:rsidRDefault="006A0F3A" w:rsidP="006A0F3A">
      <w:pPr>
        <w:rPr>
          <w:rFonts w:ascii="Arial" w:hAnsi="Arial" w:cs="Arial"/>
          <w:lang w:val="en-GB"/>
        </w:rPr>
      </w:pPr>
      <w:r w:rsidRPr="00EC4B51">
        <w:rPr>
          <w:rFonts w:ascii="Arial" w:hAnsi="Arial" w:cs="Arial"/>
          <w:lang w:val="en-GB"/>
        </w:rPr>
        <w:t>This reflection is grounded in Gibbs’ Reflective Cycle (1988). Convergent thinking is about finding one right answer, while divergent thinking is about coming up with many ideas and options.</w:t>
      </w:r>
    </w:p>
    <w:p w14:paraId="51431670" w14:textId="2C07EE43" w:rsidR="000B6591" w:rsidRPr="00EC4B51" w:rsidRDefault="00926E63" w:rsidP="006A0F3A">
      <w:pPr>
        <w:rPr>
          <w:rFonts w:ascii="Arial" w:hAnsi="Arial" w:cs="Arial"/>
          <w:lang w:val="en-GB"/>
        </w:rPr>
      </w:pPr>
      <w:r w:rsidRPr="008A3F75">
        <w:rPr>
          <w:rFonts w:ascii="Arial" w:hAnsi="Arial" w:cs="Arial"/>
          <w:b/>
          <w:bCs/>
          <w:lang w:val="en-GB"/>
        </w:rPr>
        <w:t>Description:</w:t>
      </w:r>
      <w:r>
        <w:rPr>
          <w:rFonts w:ascii="Arial" w:hAnsi="Arial" w:cs="Arial"/>
          <w:lang w:val="en-GB"/>
        </w:rPr>
        <w:t xml:space="preserve"> </w:t>
      </w:r>
      <w:r w:rsidR="006A0F3A" w:rsidRPr="00EC4B51">
        <w:rPr>
          <w:rFonts w:ascii="Arial" w:hAnsi="Arial" w:cs="Arial"/>
          <w:lang w:val="en-GB"/>
        </w:rPr>
        <w:t>In the group activity, we were asked to use both types of thinking to find solutions to a problem. We started by coming up with a lot of ideas (divergent thinking) and then narrowed them down to the best one (convergent thinking).</w:t>
      </w:r>
      <w:r w:rsidR="008A3F75">
        <w:rPr>
          <w:rFonts w:ascii="Arial" w:hAnsi="Arial" w:cs="Arial"/>
          <w:lang w:val="en-GB"/>
        </w:rPr>
        <w:t xml:space="preserve"> </w:t>
      </w:r>
      <w:r w:rsidR="008A3F75" w:rsidRPr="008A3F75">
        <w:rPr>
          <w:rFonts w:ascii="Arial" w:hAnsi="Arial" w:cs="Arial"/>
          <w:lang w:val="en-GB"/>
        </w:rPr>
        <w:t xml:space="preserve">The activity was successful because everyone shared their thoughts. But there was a time when we </w:t>
      </w:r>
      <w:proofErr w:type="spellStart"/>
      <w:r w:rsidR="008A3F75" w:rsidRPr="008A3F75">
        <w:rPr>
          <w:rFonts w:ascii="Arial" w:hAnsi="Arial" w:cs="Arial"/>
          <w:lang w:val="en-GB"/>
        </w:rPr>
        <w:t>could’t</w:t>
      </w:r>
      <w:proofErr w:type="spellEnd"/>
      <w:r w:rsidR="008A3F75" w:rsidRPr="008A3F75">
        <w:rPr>
          <w:rFonts w:ascii="Arial" w:hAnsi="Arial" w:cs="Arial"/>
          <w:lang w:val="en-GB"/>
        </w:rPr>
        <w:t xml:space="preserve"> not agree on the best way to do things.</w:t>
      </w:r>
    </w:p>
    <w:p w14:paraId="0232D6E3" w14:textId="374F17E3" w:rsidR="003513A7" w:rsidRDefault="003513A7" w:rsidP="003513A7">
      <w:pPr>
        <w:rPr>
          <w:rFonts w:ascii="Arial" w:hAnsi="Arial" w:cs="Arial"/>
          <w:lang w:val="en-GB"/>
        </w:rPr>
      </w:pPr>
      <w:r w:rsidRPr="00EC4B51">
        <w:rPr>
          <w:rFonts w:ascii="Arial" w:hAnsi="Arial" w:cs="Arial"/>
          <w:b/>
          <w:bCs/>
          <w:lang w:val="en-GB"/>
        </w:rPr>
        <w:t>Feelings</w:t>
      </w:r>
      <w:r w:rsidRPr="00EC4B51">
        <w:rPr>
          <w:rFonts w:ascii="Arial" w:hAnsi="Arial" w:cs="Arial"/>
          <w:lang w:val="en-GB"/>
        </w:rPr>
        <w:t>: At first, I felt more at ease with convergent thinking because I like clear answers. But I thought divergent thinking was more fun and creative.</w:t>
      </w:r>
      <w:r w:rsidR="008A3F75">
        <w:rPr>
          <w:rFonts w:ascii="Arial" w:hAnsi="Arial" w:cs="Arial"/>
          <w:lang w:val="en-GB"/>
        </w:rPr>
        <w:t xml:space="preserve"> </w:t>
      </w:r>
      <w:r w:rsidRPr="00EC4B51">
        <w:rPr>
          <w:rFonts w:ascii="Arial" w:hAnsi="Arial" w:cs="Arial"/>
          <w:lang w:val="en-GB"/>
        </w:rPr>
        <w:t>When we could</w:t>
      </w:r>
      <w:r w:rsidR="0099706C">
        <w:rPr>
          <w:rFonts w:ascii="Arial" w:hAnsi="Arial" w:cs="Arial"/>
          <w:lang w:val="en-GB"/>
        </w:rPr>
        <w:t xml:space="preserve"> not </w:t>
      </w:r>
      <w:r w:rsidRPr="00EC4B51">
        <w:rPr>
          <w:rFonts w:ascii="Arial" w:hAnsi="Arial" w:cs="Arial"/>
          <w:lang w:val="en-GB"/>
        </w:rPr>
        <w:t xml:space="preserve"> agree, I suggested making a list of pros and cons. This helped us use convergent thinking in a good way. This shows how both ways of thinking are related and important for solving problems.</w:t>
      </w:r>
    </w:p>
    <w:p w14:paraId="55B77125" w14:textId="1894802A" w:rsidR="00101595" w:rsidRPr="0011778E" w:rsidRDefault="004D249E" w:rsidP="00AA239A">
      <w:pPr>
        <w:rPr>
          <w:rFonts w:ascii="Arial" w:hAnsi="Arial" w:cs="Arial"/>
          <w:lang w:val="en-GB"/>
        </w:rPr>
      </w:pPr>
      <w:r w:rsidRPr="004D249E">
        <w:rPr>
          <w:rFonts w:ascii="Arial" w:hAnsi="Arial" w:cs="Arial"/>
          <w:lang w:val="en-GB"/>
        </w:rPr>
        <w:t>.</w:t>
      </w:r>
      <w:r w:rsidR="003B4807">
        <w:rPr>
          <w:rFonts w:ascii="Arial" w:hAnsi="Arial" w:cs="Arial"/>
          <w:b/>
          <w:bCs/>
          <w:lang w:val="en-GB"/>
        </w:rPr>
        <w:t>Evaluation</w:t>
      </w:r>
      <w:r w:rsidR="0011778E">
        <w:rPr>
          <w:rFonts w:ascii="Arial" w:hAnsi="Arial" w:cs="Arial"/>
          <w:b/>
          <w:bCs/>
          <w:lang w:val="en-GB"/>
        </w:rPr>
        <w:t xml:space="preserve">: </w:t>
      </w:r>
      <w:r w:rsidR="00AA239A" w:rsidRPr="00AA239A">
        <w:rPr>
          <w:rFonts w:ascii="Arial" w:hAnsi="Arial" w:cs="Arial"/>
          <w:lang w:val="en-GB"/>
        </w:rPr>
        <w:t>We were able to transition from a variety of ideas to a single, obvious solution, which made the exercise effective. The experience was beneficial overall, but I still need to gain more self-assurance and actively participate in group discussions</w:t>
      </w:r>
      <w:r w:rsidR="00AA239A">
        <w:rPr>
          <w:rFonts w:ascii="Arial" w:hAnsi="Arial" w:cs="Arial"/>
          <w:b/>
          <w:bCs/>
          <w:lang w:val="en-GB"/>
        </w:rPr>
        <w:t>.</w:t>
      </w:r>
    </w:p>
    <w:p w14:paraId="736A6860" w14:textId="0612EA92" w:rsidR="003513A7" w:rsidRPr="00EC4B51" w:rsidRDefault="0011778E" w:rsidP="003513A7">
      <w:pPr>
        <w:rPr>
          <w:rFonts w:ascii="Arial" w:hAnsi="Arial" w:cs="Arial"/>
          <w:lang w:val="en-GB"/>
        </w:rPr>
      </w:pPr>
      <w:r w:rsidRPr="004D249E">
        <w:rPr>
          <w:rFonts w:ascii="Arial" w:hAnsi="Arial" w:cs="Arial"/>
          <w:b/>
          <w:bCs/>
          <w:lang w:val="en-GB"/>
        </w:rPr>
        <w:t>Analysis</w:t>
      </w:r>
      <w:r>
        <w:rPr>
          <w:rFonts w:ascii="Arial" w:hAnsi="Arial" w:cs="Arial"/>
          <w:b/>
          <w:bCs/>
          <w:lang w:val="en-GB"/>
        </w:rPr>
        <w:t xml:space="preserve">: </w:t>
      </w:r>
      <w:r w:rsidRPr="004D249E">
        <w:rPr>
          <w:rFonts w:ascii="Arial" w:hAnsi="Arial" w:cs="Arial"/>
          <w:lang w:val="en-GB"/>
        </w:rPr>
        <w:t>This relates to the Design Council's Double Diamond structure, in which the first stage concentrates on idea exploration (divergent thinking) and the second stage concentrates on idea limiting (convergent thinking).</w:t>
      </w:r>
      <w:r w:rsidRPr="008A3F75">
        <w:rPr>
          <w:lang w:val="en-GB"/>
        </w:rPr>
        <w:t xml:space="preserve"> </w:t>
      </w:r>
      <w:r w:rsidRPr="004D249E">
        <w:rPr>
          <w:rFonts w:ascii="Arial" w:hAnsi="Arial" w:cs="Arial"/>
          <w:lang w:val="en-GB"/>
        </w:rPr>
        <w:t>This demonstrates that both ways of thinking are essential for solving problems successfully</w:t>
      </w:r>
    </w:p>
    <w:p w14:paraId="49B0EA81" w14:textId="738694E7" w:rsidR="003513A7" w:rsidRPr="00EC4B51" w:rsidRDefault="003513A7" w:rsidP="003513A7">
      <w:pPr>
        <w:rPr>
          <w:rFonts w:ascii="Arial" w:hAnsi="Arial" w:cs="Arial"/>
          <w:lang w:val="en-GB"/>
        </w:rPr>
      </w:pPr>
      <w:r w:rsidRPr="00EC4B51">
        <w:rPr>
          <w:rFonts w:ascii="Arial" w:hAnsi="Arial" w:cs="Arial"/>
          <w:b/>
          <w:bCs/>
          <w:lang w:val="en-GB"/>
        </w:rPr>
        <w:t>Action Plan</w:t>
      </w:r>
      <w:r w:rsidRPr="00EC4B51">
        <w:rPr>
          <w:rFonts w:ascii="Arial" w:hAnsi="Arial" w:cs="Arial"/>
          <w:lang w:val="en-GB"/>
        </w:rPr>
        <w:t>: Next time, I'll come up with more ideas during the divergent phase and get the quieter members of the group to share their thoughts.</w:t>
      </w:r>
    </w:p>
    <w:p w14:paraId="3DC4FBD4" w14:textId="77777777" w:rsidR="00AA239A" w:rsidRPr="00EC4B51" w:rsidRDefault="00AA239A" w:rsidP="00AA239A">
      <w:pPr>
        <w:rPr>
          <w:rFonts w:ascii="Arial" w:hAnsi="Arial" w:cs="Arial"/>
          <w:lang w:val="en-GB"/>
        </w:rPr>
      </w:pPr>
      <w:r w:rsidRPr="00EC4B51">
        <w:rPr>
          <w:rFonts w:ascii="Arial" w:hAnsi="Arial" w:cs="Arial"/>
          <w:b/>
          <w:bCs/>
          <w:lang w:val="en-GB"/>
        </w:rPr>
        <w:t>Conclusion:</w:t>
      </w:r>
      <w:r w:rsidRPr="00EC4B51">
        <w:rPr>
          <w:rFonts w:ascii="Arial" w:hAnsi="Arial" w:cs="Arial"/>
          <w:lang w:val="en-GB"/>
        </w:rPr>
        <w:t xml:space="preserve"> I found out that I tend to think more in structured ways, but I can be more creative and open when I talk to groups.</w:t>
      </w:r>
    </w:p>
    <w:p w14:paraId="25214391" w14:textId="77777777" w:rsidR="00665AB0" w:rsidRPr="00EC4B51" w:rsidRDefault="00665AB0" w:rsidP="003513A7">
      <w:pPr>
        <w:rPr>
          <w:rFonts w:ascii="Arial" w:hAnsi="Arial" w:cs="Arial"/>
          <w:lang w:val="en-GB"/>
        </w:rPr>
      </w:pPr>
    </w:p>
    <w:p w14:paraId="7A0677E6" w14:textId="77777777" w:rsidR="00665AB0" w:rsidRPr="00EC4B51" w:rsidRDefault="00665AB0" w:rsidP="003513A7">
      <w:pPr>
        <w:rPr>
          <w:rFonts w:ascii="Arial" w:hAnsi="Arial" w:cs="Arial"/>
          <w:lang w:val="en-GB"/>
        </w:rPr>
      </w:pPr>
    </w:p>
    <w:p w14:paraId="66B57A90" w14:textId="77777777" w:rsidR="00665AB0" w:rsidRPr="00EC4B51" w:rsidRDefault="00665AB0" w:rsidP="003513A7">
      <w:pPr>
        <w:rPr>
          <w:rFonts w:ascii="Arial" w:hAnsi="Arial" w:cs="Arial"/>
          <w:lang w:val="en-GB"/>
        </w:rPr>
      </w:pPr>
    </w:p>
    <w:p w14:paraId="391E1D70" w14:textId="77777777" w:rsidR="001745CD" w:rsidRDefault="001745CD" w:rsidP="003513A7">
      <w:pPr>
        <w:rPr>
          <w:rFonts w:ascii="Arial" w:hAnsi="Arial" w:cs="Arial"/>
          <w:b/>
          <w:bCs/>
          <w:sz w:val="32"/>
          <w:szCs w:val="32"/>
          <w:lang w:val="en-GB"/>
        </w:rPr>
      </w:pPr>
    </w:p>
    <w:p w14:paraId="0ED9CFEE" w14:textId="77777777" w:rsidR="001745CD" w:rsidRDefault="001745CD" w:rsidP="003513A7">
      <w:pPr>
        <w:rPr>
          <w:rFonts w:ascii="Arial" w:hAnsi="Arial" w:cs="Arial"/>
          <w:b/>
          <w:bCs/>
          <w:sz w:val="32"/>
          <w:szCs w:val="32"/>
          <w:lang w:val="en-GB"/>
        </w:rPr>
      </w:pPr>
    </w:p>
    <w:p w14:paraId="11C8D477" w14:textId="77777777" w:rsidR="001745CD" w:rsidRDefault="001745CD" w:rsidP="003513A7">
      <w:pPr>
        <w:rPr>
          <w:rFonts w:ascii="Arial" w:hAnsi="Arial" w:cs="Arial"/>
          <w:b/>
          <w:bCs/>
          <w:sz w:val="32"/>
          <w:szCs w:val="32"/>
          <w:lang w:val="en-GB"/>
        </w:rPr>
      </w:pPr>
    </w:p>
    <w:p w14:paraId="6690372E" w14:textId="77777777" w:rsidR="001745CD" w:rsidRDefault="001745CD" w:rsidP="003513A7">
      <w:pPr>
        <w:rPr>
          <w:rFonts w:ascii="Arial" w:hAnsi="Arial" w:cs="Arial"/>
          <w:b/>
          <w:bCs/>
          <w:sz w:val="32"/>
          <w:szCs w:val="32"/>
          <w:lang w:val="en-GB"/>
        </w:rPr>
      </w:pPr>
    </w:p>
    <w:p w14:paraId="6B494602" w14:textId="77777777" w:rsidR="001745CD" w:rsidRDefault="001745CD" w:rsidP="003513A7">
      <w:pPr>
        <w:rPr>
          <w:rFonts w:ascii="Arial" w:hAnsi="Arial" w:cs="Arial"/>
          <w:b/>
          <w:bCs/>
          <w:sz w:val="32"/>
          <w:szCs w:val="32"/>
          <w:lang w:val="en-GB"/>
        </w:rPr>
      </w:pPr>
    </w:p>
    <w:p w14:paraId="769D188D" w14:textId="77777777" w:rsidR="001745CD" w:rsidRDefault="001745CD" w:rsidP="003513A7">
      <w:pPr>
        <w:rPr>
          <w:rFonts w:ascii="Arial" w:hAnsi="Arial" w:cs="Arial"/>
          <w:b/>
          <w:bCs/>
          <w:sz w:val="32"/>
          <w:szCs w:val="32"/>
          <w:lang w:val="en-GB"/>
        </w:rPr>
      </w:pPr>
    </w:p>
    <w:p w14:paraId="4A3D2422" w14:textId="750FB4EF" w:rsidR="00665AB0" w:rsidRPr="00EC4B51" w:rsidRDefault="00665AB0" w:rsidP="003513A7">
      <w:pPr>
        <w:rPr>
          <w:rFonts w:ascii="Arial" w:hAnsi="Arial" w:cs="Arial"/>
          <w:b/>
          <w:bCs/>
          <w:sz w:val="32"/>
          <w:szCs w:val="32"/>
          <w:lang w:val="en-GB"/>
        </w:rPr>
      </w:pPr>
      <w:r w:rsidRPr="00EC4B51">
        <w:rPr>
          <w:rFonts w:ascii="Arial" w:hAnsi="Arial" w:cs="Arial"/>
          <w:b/>
          <w:bCs/>
          <w:sz w:val="32"/>
          <w:szCs w:val="32"/>
          <w:lang w:val="en-GB"/>
        </w:rPr>
        <w:lastRenderedPageBreak/>
        <w:t>TASK 4</w:t>
      </w:r>
    </w:p>
    <w:p w14:paraId="2B929DEE" w14:textId="77777777" w:rsidR="00665AB0" w:rsidRPr="00EC4B51" w:rsidRDefault="00665AB0" w:rsidP="00665AB0">
      <w:pPr>
        <w:rPr>
          <w:rFonts w:ascii="Arial" w:hAnsi="Arial" w:cs="Arial"/>
          <w:lang w:val="en-GB"/>
        </w:rPr>
      </w:pPr>
      <w:r w:rsidRPr="00EC4B51">
        <w:rPr>
          <w:rFonts w:ascii="Arial" w:hAnsi="Arial" w:cs="Arial"/>
          <w:lang w:val="en-GB"/>
        </w:rPr>
        <w:t>One such innovation is virtual wards, where patients receive hospital-standard care from home using technology. The main problem being addressed is hospital congestion and long waiting times, especially after the Covid-19 pandemic.</w:t>
      </w:r>
    </w:p>
    <w:p w14:paraId="41DE881E" w14:textId="77777777" w:rsidR="00665AB0" w:rsidRPr="00EC4B51" w:rsidRDefault="00665AB0" w:rsidP="00665AB0">
      <w:pPr>
        <w:rPr>
          <w:rFonts w:ascii="Arial" w:hAnsi="Arial" w:cs="Arial"/>
          <w:lang w:val="en-GB"/>
        </w:rPr>
      </w:pPr>
      <w:r w:rsidRPr="00EC4B51">
        <w:rPr>
          <w:rFonts w:ascii="Arial" w:hAnsi="Arial" w:cs="Arial"/>
          <w:lang w:val="en-GB"/>
        </w:rPr>
        <w:t>Innovation and creativity were essential for combining healthcare and technology, such as apps and wearable technology, to enable healthcare providers to track patients’ vital signs remotely.</w:t>
      </w:r>
    </w:p>
    <w:p w14:paraId="7C2B7566" w14:textId="77777777" w:rsidR="00665AB0" w:rsidRPr="00EC4B51" w:rsidRDefault="00665AB0" w:rsidP="00665AB0">
      <w:pPr>
        <w:rPr>
          <w:rFonts w:ascii="Arial" w:hAnsi="Arial" w:cs="Arial"/>
          <w:lang w:val="en-GB"/>
        </w:rPr>
      </w:pPr>
      <w:r w:rsidRPr="00EC4B51">
        <w:rPr>
          <w:rFonts w:ascii="Arial" w:hAnsi="Arial" w:cs="Arial"/>
          <w:lang w:val="en-GB"/>
        </w:rPr>
        <w:t>The innovation generated considerable value. For service users, it provided more comfort and reduced the risk of hospital-acquired illnesses. For staff and the healthcare system, it helped ease congestion and maximize efficiency. According to NHS England (2022), virtual wards have helped ease congestion and enable quicker recovery.</w:t>
      </w:r>
    </w:p>
    <w:p w14:paraId="3FFAEE05" w14:textId="06AA4C9B" w:rsidR="00665AB0" w:rsidRPr="00EC4B51" w:rsidRDefault="00665AB0" w:rsidP="00665AB0">
      <w:pPr>
        <w:rPr>
          <w:rFonts w:ascii="Arial" w:hAnsi="Arial" w:cs="Arial"/>
          <w:lang w:val="en-GB"/>
        </w:rPr>
      </w:pPr>
      <w:r w:rsidRPr="00EC4B51">
        <w:rPr>
          <w:rFonts w:ascii="Arial" w:hAnsi="Arial" w:cs="Arial"/>
          <w:lang w:val="en-GB"/>
        </w:rPr>
        <w:t>There have been positive outcomes, such as reduced hospital admissions and high patient satisfaction. This is consistent with Everett Rogers (2003) and his Diffusion of Innovation Theory, where he explains that innovations spread when they are perceived as useful and have high effectiveness. There is potential for further expansion of virtual wards throughout the UK, including for other patient groups.</w:t>
      </w:r>
    </w:p>
    <w:p w14:paraId="06823F6E" w14:textId="77777777" w:rsidR="002325EF" w:rsidRPr="00EC4B51" w:rsidRDefault="002325EF" w:rsidP="00665AB0">
      <w:pPr>
        <w:rPr>
          <w:rFonts w:ascii="Arial" w:hAnsi="Arial" w:cs="Arial"/>
          <w:b/>
          <w:bCs/>
          <w:sz w:val="40"/>
          <w:szCs w:val="40"/>
          <w:lang w:val="en-GB"/>
        </w:rPr>
      </w:pPr>
    </w:p>
    <w:p w14:paraId="11696DFD" w14:textId="5AA21C4A" w:rsidR="002325EF" w:rsidRPr="00EC4B51" w:rsidRDefault="002325EF" w:rsidP="00665AB0">
      <w:pPr>
        <w:rPr>
          <w:rFonts w:ascii="Arial" w:hAnsi="Arial" w:cs="Arial"/>
          <w:b/>
          <w:bCs/>
          <w:sz w:val="32"/>
          <w:szCs w:val="32"/>
          <w:lang w:val="en-GB"/>
        </w:rPr>
      </w:pPr>
      <w:r w:rsidRPr="00EC4B51">
        <w:rPr>
          <w:rFonts w:ascii="Arial" w:hAnsi="Arial" w:cs="Arial"/>
          <w:b/>
          <w:bCs/>
          <w:sz w:val="32"/>
          <w:szCs w:val="32"/>
          <w:lang w:val="en-GB"/>
        </w:rPr>
        <w:t>TASK 5</w:t>
      </w:r>
    </w:p>
    <w:p w14:paraId="48AAA4FC" w14:textId="77777777" w:rsidR="00C22712" w:rsidRPr="00EC4B51" w:rsidRDefault="00C22712" w:rsidP="00C22712">
      <w:pPr>
        <w:rPr>
          <w:rFonts w:ascii="Arial" w:hAnsi="Arial" w:cs="Arial"/>
          <w:lang w:val="en-GB"/>
        </w:rPr>
      </w:pPr>
      <w:r w:rsidRPr="00EC4B51">
        <w:rPr>
          <w:rFonts w:ascii="Arial" w:hAnsi="Arial" w:cs="Arial"/>
          <w:lang w:val="en-GB"/>
        </w:rPr>
        <w:t>Staff stress and burnout represent significant challenges within the health and social care industry. According to a key study by Christina Maslach and Michael Leiter (2016), the primary cause of burnout is the sustained presence of work-related stress. The Maslach Burnout Theory posits that excessive work-related stress leads to emotional exhaustion, as evidenced by the fatigue commonly reported among NHS staff.</w:t>
      </w:r>
    </w:p>
    <w:p w14:paraId="64C475AB" w14:textId="77777777" w:rsidR="00C22712" w:rsidRPr="00EC4B51" w:rsidRDefault="00C22712" w:rsidP="00C22712">
      <w:pPr>
        <w:rPr>
          <w:rFonts w:ascii="Arial" w:hAnsi="Arial" w:cs="Arial"/>
          <w:lang w:val="en-GB"/>
        </w:rPr>
      </w:pPr>
      <w:r w:rsidRPr="00EC4B51">
        <w:rPr>
          <w:rFonts w:ascii="Arial" w:hAnsi="Arial" w:cs="Arial"/>
          <w:lang w:val="en-GB"/>
        </w:rPr>
        <w:t>Arnold Bakker and Evangelia Demerouti (2007) introduced the Job Demands-Resources (JD-R) Model, which asserts that excessive work-related stress results in emotional exhaustion. This phenomenon is reflected in the staff shortages frequently observed in care homes.</w:t>
      </w:r>
    </w:p>
    <w:p w14:paraId="421CEF91" w14:textId="26A208EA" w:rsidR="00A24356" w:rsidRPr="00EC4B51" w:rsidRDefault="00C22712" w:rsidP="00C22712">
      <w:pPr>
        <w:rPr>
          <w:rFonts w:ascii="Arial" w:hAnsi="Arial" w:cs="Arial"/>
          <w:lang w:val="en-GB"/>
        </w:rPr>
      </w:pPr>
      <w:r w:rsidRPr="00EC4B51">
        <w:rPr>
          <w:rFonts w:ascii="Arial" w:hAnsi="Arial" w:cs="Arial"/>
          <w:lang w:val="en-GB"/>
        </w:rPr>
        <w:t>Both studies identify excessive workload as the primary cause of work-related stress. The principal distinction lies in Maslach's greater emphasis on emotional exhaustion. Collectively, these studies offer a more comprehensive understanding of the underlying causes of work-related stress.</w:t>
      </w:r>
    </w:p>
    <w:p w14:paraId="428B7A2C" w14:textId="77777777" w:rsidR="007A2F76" w:rsidRPr="00EC4B51" w:rsidRDefault="007A2F76" w:rsidP="002325EF">
      <w:pPr>
        <w:rPr>
          <w:rFonts w:ascii="Arial" w:hAnsi="Arial" w:cs="Arial"/>
          <w:lang w:val="en-GB"/>
        </w:rPr>
      </w:pPr>
    </w:p>
    <w:p w14:paraId="10F3A5AC" w14:textId="77777777" w:rsidR="007A2F76" w:rsidRPr="00EC4B51" w:rsidRDefault="007A2F76" w:rsidP="002325EF">
      <w:pPr>
        <w:rPr>
          <w:rFonts w:ascii="Arial" w:hAnsi="Arial" w:cs="Arial"/>
          <w:lang w:val="en-GB"/>
        </w:rPr>
      </w:pPr>
    </w:p>
    <w:p w14:paraId="7BEB5242" w14:textId="77777777" w:rsidR="007A2F76" w:rsidRPr="00EC4B51" w:rsidRDefault="007A2F76" w:rsidP="002325EF">
      <w:pPr>
        <w:rPr>
          <w:rFonts w:ascii="Arial" w:hAnsi="Arial" w:cs="Arial"/>
          <w:lang w:val="en-GB"/>
        </w:rPr>
      </w:pPr>
    </w:p>
    <w:p w14:paraId="067C6B56" w14:textId="77777777" w:rsidR="00C22712" w:rsidRPr="00EC4B51" w:rsidRDefault="00C22712" w:rsidP="002325EF">
      <w:pPr>
        <w:rPr>
          <w:rFonts w:ascii="Arial" w:hAnsi="Arial" w:cs="Arial"/>
          <w:b/>
          <w:bCs/>
          <w:sz w:val="32"/>
          <w:szCs w:val="32"/>
          <w:lang w:val="en-GB"/>
        </w:rPr>
      </w:pPr>
    </w:p>
    <w:p w14:paraId="22E2EE4F" w14:textId="77777777" w:rsidR="001745CD" w:rsidRDefault="001745CD" w:rsidP="002325EF">
      <w:pPr>
        <w:rPr>
          <w:rFonts w:ascii="Arial" w:hAnsi="Arial" w:cs="Arial"/>
          <w:b/>
          <w:bCs/>
          <w:sz w:val="32"/>
          <w:szCs w:val="32"/>
          <w:lang w:val="en-GB"/>
        </w:rPr>
      </w:pPr>
    </w:p>
    <w:p w14:paraId="1B396389" w14:textId="77777777" w:rsidR="001745CD" w:rsidRDefault="001745CD" w:rsidP="002325EF">
      <w:pPr>
        <w:rPr>
          <w:rFonts w:ascii="Arial" w:hAnsi="Arial" w:cs="Arial"/>
          <w:b/>
          <w:bCs/>
          <w:sz w:val="32"/>
          <w:szCs w:val="32"/>
          <w:lang w:val="en-GB"/>
        </w:rPr>
      </w:pPr>
    </w:p>
    <w:p w14:paraId="0049E9FA" w14:textId="77777777" w:rsidR="001745CD" w:rsidRDefault="001745CD" w:rsidP="002325EF">
      <w:pPr>
        <w:rPr>
          <w:rFonts w:ascii="Arial" w:hAnsi="Arial" w:cs="Arial"/>
          <w:b/>
          <w:bCs/>
          <w:sz w:val="32"/>
          <w:szCs w:val="32"/>
          <w:lang w:val="en-GB"/>
        </w:rPr>
      </w:pPr>
    </w:p>
    <w:p w14:paraId="062BC49A" w14:textId="03AC33BF" w:rsidR="00E1687D" w:rsidRPr="00EC4B51" w:rsidRDefault="00A24356" w:rsidP="002325EF">
      <w:pPr>
        <w:rPr>
          <w:rFonts w:ascii="Arial" w:hAnsi="Arial" w:cs="Arial"/>
          <w:b/>
          <w:bCs/>
          <w:sz w:val="32"/>
          <w:szCs w:val="32"/>
          <w:lang w:val="en-GB"/>
        </w:rPr>
      </w:pPr>
      <w:r w:rsidRPr="00EC4B51">
        <w:rPr>
          <w:rFonts w:ascii="Arial" w:hAnsi="Arial" w:cs="Arial"/>
          <w:b/>
          <w:bCs/>
          <w:sz w:val="32"/>
          <w:szCs w:val="32"/>
          <w:lang w:val="en-GB"/>
        </w:rPr>
        <w:t>TASK 6</w:t>
      </w:r>
    </w:p>
    <w:p w14:paraId="60D3A36B" w14:textId="2635D4CC" w:rsidR="00E1687D" w:rsidRPr="00EC4B51" w:rsidRDefault="00E1687D" w:rsidP="00A24356">
      <w:pPr>
        <w:rPr>
          <w:rFonts w:ascii="Arial" w:hAnsi="Arial" w:cs="Arial"/>
          <w:b/>
          <w:bCs/>
          <w:lang w:val="en-GB"/>
        </w:rPr>
      </w:pPr>
      <w:r w:rsidRPr="00EC4B51">
        <w:rPr>
          <w:rFonts w:ascii="Arial" w:hAnsi="Arial" w:cs="Arial"/>
          <w:b/>
          <w:bCs/>
          <w:lang w:val="en-GB"/>
        </w:rPr>
        <w:t>Wearable health technologies</w:t>
      </w:r>
    </w:p>
    <w:p w14:paraId="52615766" w14:textId="57A144A7" w:rsidR="00A24356" w:rsidRPr="00EC4B51" w:rsidRDefault="00AA14D2" w:rsidP="00A24356">
      <w:pPr>
        <w:rPr>
          <w:rFonts w:ascii="Arial" w:hAnsi="Arial" w:cs="Arial"/>
          <w:lang w:val="en-GB"/>
        </w:rPr>
      </w:pPr>
      <w:r w:rsidRPr="00EC4B51">
        <w:rPr>
          <w:rFonts w:ascii="Arial" w:hAnsi="Arial" w:cs="Arial"/>
          <w:lang w:val="en-GB"/>
        </w:rPr>
        <w:t>Wearable health technologies, including smartwatches, offer significant advantages in managing chronic conditions by enabling continuous health data monitoring. Devices such as the Apple Watch can track heart rate, physical activity, and detect irregular heart rhythms. This capability facilitates early identification of potential health issues and reduces the frequency of hospital visits. For instance, patients with cardiovascular conditions can receive alerts regarding abnormal heart patterns, prompting timely medical intervention. Such features support more personalised and proactive healthcare. According to NHS England (2023), digital tools like wearables enhance patient self-management and improve long-term health outcomes. The Technology Acceptance Model (Fred Davis, 1989) indicates that patients are more likely to adopt these devices when they are user-friendly and demonstrate clear health benefits. In summary, wearable technology empowers patients and contributes to more efficient healthcare delivery.</w:t>
      </w:r>
    </w:p>
    <w:p w14:paraId="4A925D7D" w14:textId="2192F1C8" w:rsidR="00FE7DA2" w:rsidRPr="00EC4B51" w:rsidRDefault="00FE7DA2" w:rsidP="00FE7DA2">
      <w:pPr>
        <w:rPr>
          <w:rFonts w:ascii="Arial" w:hAnsi="Arial" w:cs="Arial"/>
          <w:b/>
          <w:bCs/>
          <w:lang w:val="en-GB"/>
        </w:rPr>
      </w:pPr>
      <w:r w:rsidRPr="00EC4B51">
        <w:rPr>
          <w:rFonts w:ascii="Arial" w:hAnsi="Arial" w:cs="Arial"/>
          <w:b/>
          <w:bCs/>
          <w:lang w:val="en-GB"/>
        </w:rPr>
        <w:t xml:space="preserve">Electronic Health Records (EHRs) </w:t>
      </w:r>
    </w:p>
    <w:p w14:paraId="37FBF52F" w14:textId="25BA1DFB" w:rsidR="00AA14D2" w:rsidRPr="00EC4B51" w:rsidRDefault="00FE7DA2" w:rsidP="00FE7DA2">
      <w:pPr>
        <w:rPr>
          <w:rFonts w:ascii="Arial" w:hAnsi="Arial" w:cs="Arial"/>
          <w:lang w:val="en-GB"/>
        </w:rPr>
      </w:pPr>
      <w:r w:rsidRPr="00EC4B51">
        <w:rPr>
          <w:rFonts w:ascii="Arial" w:hAnsi="Arial" w:cs="Arial"/>
          <w:lang w:val="en-GB"/>
        </w:rPr>
        <w:t>Electronic Health Records (EHRs) facilitate communication and collaboration among healthcare providers by enabling immediate access to patient information across multiple services. Within the National Health Service (NHS), these systems allow doctors, nurses, and specialists to share data such as medical histories, test results, and treatment plans in real time. This accessibility reduces errors associated with missing or incomplete information and supports more informed clinical decision-making. For instance, when a patient is admitted to hospital, clinicians can promptly access their general practitioner (GP) records, which promotes safer and more coordinated care. Health Education England (2020) reports that digital records enhance teamwork and continuity of care. The Technology Acceptance Model (Fred Davis, 1989) suggests that healthcare professionals are more likely to adopt EHR systems when they are efficient and user-friendly. In summary, EHRs improve communication, minimize duplication, and enhance patient safety.</w:t>
      </w:r>
    </w:p>
    <w:p w14:paraId="6B89933F" w14:textId="77777777" w:rsidR="001745CD" w:rsidRDefault="001745CD" w:rsidP="004435FD">
      <w:pPr>
        <w:rPr>
          <w:rFonts w:ascii="Arial" w:hAnsi="Arial" w:cs="Arial"/>
          <w:b/>
          <w:bCs/>
          <w:lang w:val="en-GB"/>
        </w:rPr>
      </w:pPr>
    </w:p>
    <w:p w14:paraId="7191DE3E" w14:textId="77777777" w:rsidR="001745CD" w:rsidRDefault="001745CD" w:rsidP="004435FD">
      <w:pPr>
        <w:rPr>
          <w:rFonts w:ascii="Arial" w:hAnsi="Arial" w:cs="Arial"/>
          <w:b/>
          <w:bCs/>
          <w:lang w:val="en-GB"/>
        </w:rPr>
      </w:pPr>
    </w:p>
    <w:p w14:paraId="3CF6208F" w14:textId="77777777" w:rsidR="001745CD" w:rsidRDefault="001745CD" w:rsidP="004435FD">
      <w:pPr>
        <w:rPr>
          <w:rFonts w:ascii="Arial" w:hAnsi="Arial" w:cs="Arial"/>
          <w:b/>
          <w:bCs/>
          <w:lang w:val="en-GB"/>
        </w:rPr>
      </w:pPr>
    </w:p>
    <w:p w14:paraId="01699227" w14:textId="77777777" w:rsidR="001745CD" w:rsidRDefault="001745CD" w:rsidP="004435FD">
      <w:pPr>
        <w:rPr>
          <w:rFonts w:ascii="Arial" w:hAnsi="Arial" w:cs="Arial"/>
          <w:b/>
          <w:bCs/>
          <w:lang w:val="en-GB"/>
        </w:rPr>
      </w:pPr>
    </w:p>
    <w:p w14:paraId="2AE71B7D" w14:textId="77777777" w:rsidR="001745CD" w:rsidRDefault="001745CD" w:rsidP="004435FD">
      <w:pPr>
        <w:rPr>
          <w:rFonts w:ascii="Arial" w:hAnsi="Arial" w:cs="Arial"/>
          <w:b/>
          <w:bCs/>
          <w:lang w:val="en-GB"/>
        </w:rPr>
      </w:pPr>
    </w:p>
    <w:p w14:paraId="16FFD4B8" w14:textId="77777777" w:rsidR="001745CD" w:rsidRDefault="001745CD" w:rsidP="004435FD">
      <w:pPr>
        <w:rPr>
          <w:rFonts w:ascii="Arial" w:hAnsi="Arial" w:cs="Arial"/>
          <w:b/>
          <w:bCs/>
          <w:lang w:val="en-GB"/>
        </w:rPr>
      </w:pPr>
    </w:p>
    <w:p w14:paraId="11DB4B49" w14:textId="77777777" w:rsidR="001745CD" w:rsidRDefault="001745CD" w:rsidP="004435FD">
      <w:pPr>
        <w:rPr>
          <w:rFonts w:ascii="Arial" w:hAnsi="Arial" w:cs="Arial"/>
          <w:b/>
          <w:bCs/>
          <w:lang w:val="en-GB"/>
        </w:rPr>
      </w:pPr>
    </w:p>
    <w:p w14:paraId="3F7BAC00" w14:textId="6F906764" w:rsidR="004435FD" w:rsidRPr="00EC4B51" w:rsidRDefault="004435FD" w:rsidP="004435FD">
      <w:pPr>
        <w:rPr>
          <w:rFonts w:ascii="Arial" w:hAnsi="Arial" w:cs="Arial"/>
          <w:b/>
          <w:bCs/>
          <w:lang w:val="en-GB"/>
        </w:rPr>
      </w:pPr>
      <w:r w:rsidRPr="00EC4B51">
        <w:rPr>
          <w:rFonts w:ascii="Arial" w:hAnsi="Arial" w:cs="Arial"/>
          <w:b/>
          <w:bCs/>
          <w:lang w:val="en-GB"/>
        </w:rPr>
        <w:t>Digital Technology for Prevention and Health Promotion</w:t>
      </w:r>
    </w:p>
    <w:p w14:paraId="4AE43202" w14:textId="7DF67BDC" w:rsidR="001745CD" w:rsidRDefault="004435FD" w:rsidP="004435FD">
      <w:pPr>
        <w:rPr>
          <w:rFonts w:ascii="Arial" w:hAnsi="Arial" w:cs="Arial"/>
          <w:noProof/>
          <w:lang w:val="en-GB"/>
        </w:rPr>
      </w:pPr>
      <w:r w:rsidRPr="00EC4B51">
        <w:rPr>
          <w:rFonts w:ascii="Arial" w:hAnsi="Arial" w:cs="Arial"/>
          <w:lang w:val="en-GB"/>
        </w:rPr>
        <w:t>Digital technology plays a significant role in preventative care and health promotion by facilitating healthier behaviours and enabling early intervention. For instance, mobile applications such as the NHS App enable users to book appointments, access health advice, and monitor symptoms. Digital applications are also employed to support weight management and smoking cessation, assisting individuals in making lifestyle changes prior to the onset of serious illness. These tools enhance self-awareness and alleviate demand on healthcare services. According to the World Health Organization (2021), digital health interventions can improve access to information and support behaviour change. The Technology Acceptance Model (Fred Davis, 1989) indicates that users are more likely to engage with these tools when they are straightforward and perceived as beneficial. In summary, digital technology advances prevention by empowering individuals to manage their own health.</w:t>
      </w:r>
      <w:r w:rsidR="001E2555" w:rsidRPr="001E2555">
        <w:rPr>
          <w:rFonts w:ascii="Arial" w:hAnsi="Arial" w:cs="Arial"/>
          <w:noProof/>
          <w:lang w:val="en-GB"/>
        </w:rPr>
        <w:t xml:space="preserve"> </w:t>
      </w:r>
      <w:r w:rsidR="003D1E52">
        <w:rPr>
          <w:rFonts w:ascii="Arial" w:hAnsi="Arial" w:cs="Arial"/>
          <w:noProof/>
          <w:lang w:val="en-GB"/>
        </w:rPr>
        <w:t xml:space="preserve">         </w:t>
      </w:r>
    </w:p>
    <w:p w14:paraId="750A6EB5" w14:textId="77777777" w:rsidR="001745CD" w:rsidRDefault="001745CD" w:rsidP="004435FD">
      <w:pPr>
        <w:rPr>
          <w:rFonts w:ascii="Arial" w:hAnsi="Arial" w:cs="Arial"/>
          <w:noProof/>
          <w:lang w:val="en-GB"/>
        </w:rPr>
      </w:pPr>
    </w:p>
    <w:p w14:paraId="0521E8BF" w14:textId="6BFAD58C" w:rsidR="003D1E52" w:rsidRDefault="001E2555" w:rsidP="004435FD">
      <w:pPr>
        <w:rPr>
          <w:rFonts w:ascii="Arial" w:hAnsi="Arial" w:cs="Arial"/>
          <w:noProof/>
          <w:lang w:val="en-GB"/>
        </w:rPr>
      </w:pPr>
      <w:r>
        <w:rPr>
          <w:rFonts w:ascii="Arial" w:hAnsi="Arial" w:cs="Arial"/>
          <w:noProof/>
          <w:lang w:val="en-GB"/>
        </w:rPr>
        <w:drawing>
          <wp:inline distT="0" distB="0" distL="0" distR="0" wp14:anchorId="5549A9CB" wp14:editId="6EFB20A5">
            <wp:extent cx="6120130" cy="2270952"/>
            <wp:effectExtent l="0" t="0" r="0" b="0"/>
            <wp:docPr id="1869725159"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25159" name="Immagine 1869725159"/>
                    <pic:cNvPicPr/>
                  </pic:nvPicPr>
                  <pic:blipFill>
                    <a:blip r:embed="rId11">
                      <a:extLst>
                        <a:ext uri="{28A0092B-C50C-407E-A947-70E740481C1C}">
                          <a14:useLocalDpi xmlns:a14="http://schemas.microsoft.com/office/drawing/2010/main" val="0"/>
                        </a:ext>
                      </a:extLst>
                    </a:blip>
                    <a:stretch>
                      <a:fillRect/>
                    </a:stretch>
                  </pic:blipFill>
                  <pic:spPr>
                    <a:xfrm>
                      <a:off x="0" y="0"/>
                      <a:ext cx="6120130" cy="2270952"/>
                    </a:xfrm>
                    <a:prstGeom prst="rect">
                      <a:avLst/>
                    </a:prstGeom>
                  </pic:spPr>
                </pic:pic>
              </a:graphicData>
            </a:graphic>
          </wp:inline>
        </w:drawing>
      </w:r>
      <w:r w:rsidR="003D1E52">
        <w:rPr>
          <w:rFonts w:ascii="Arial" w:hAnsi="Arial" w:cs="Arial"/>
          <w:noProof/>
          <w:lang w:val="en-GB"/>
        </w:rPr>
        <w:t xml:space="preserve">                                </w:t>
      </w:r>
      <w:r w:rsidR="00F76C0A">
        <w:rPr>
          <w:rFonts w:ascii="Arial" w:hAnsi="Arial" w:cs="Arial"/>
          <w:noProof/>
          <w:lang w:val="en-GB"/>
        </w:rPr>
        <w:t xml:space="preserve">   </w:t>
      </w:r>
      <w:r w:rsidR="00F76C0A" w:rsidRPr="00EC407B">
        <w:rPr>
          <w:rFonts w:ascii="Arial" w:hAnsi="Arial" w:cs="Arial"/>
          <w:noProof/>
          <w:sz w:val="16"/>
          <w:szCs w:val="16"/>
          <w:lang w:val="en-GB"/>
        </w:rPr>
        <w:t>(2022,LA)</w:t>
      </w:r>
    </w:p>
    <w:p w14:paraId="0534E9B1" w14:textId="7F5FF55E" w:rsidR="001B20E5" w:rsidRPr="00EC4B51" w:rsidRDefault="001B20E5" w:rsidP="004435FD">
      <w:pPr>
        <w:rPr>
          <w:rFonts w:ascii="Arial" w:hAnsi="Arial" w:cs="Arial"/>
          <w:lang w:val="en-GB"/>
        </w:rPr>
      </w:pPr>
    </w:p>
    <w:p w14:paraId="54164CEC" w14:textId="77777777" w:rsidR="001745CD" w:rsidRDefault="001745CD" w:rsidP="00775887">
      <w:pPr>
        <w:rPr>
          <w:rFonts w:ascii="Arial" w:hAnsi="Arial" w:cs="Arial"/>
          <w:b/>
          <w:bCs/>
          <w:sz w:val="32"/>
          <w:szCs w:val="32"/>
          <w:lang w:val="en-GB"/>
        </w:rPr>
      </w:pPr>
    </w:p>
    <w:p w14:paraId="57795184" w14:textId="77777777" w:rsidR="001745CD" w:rsidRDefault="001745CD" w:rsidP="00775887">
      <w:pPr>
        <w:rPr>
          <w:rFonts w:ascii="Arial" w:hAnsi="Arial" w:cs="Arial"/>
          <w:b/>
          <w:bCs/>
          <w:sz w:val="32"/>
          <w:szCs w:val="32"/>
          <w:lang w:val="en-GB"/>
        </w:rPr>
      </w:pPr>
    </w:p>
    <w:p w14:paraId="5BFE84BB" w14:textId="77777777" w:rsidR="00CF6430" w:rsidRDefault="00CF6430" w:rsidP="00775887">
      <w:pPr>
        <w:rPr>
          <w:rFonts w:ascii="Arial" w:hAnsi="Arial" w:cs="Arial"/>
          <w:b/>
          <w:bCs/>
          <w:sz w:val="32"/>
          <w:szCs w:val="32"/>
          <w:lang w:val="en-GB"/>
        </w:rPr>
      </w:pPr>
    </w:p>
    <w:p w14:paraId="2A7AECAE" w14:textId="77777777" w:rsidR="00CF6430" w:rsidRDefault="00CF6430" w:rsidP="00775887">
      <w:pPr>
        <w:rPr>
          <w:rFonts w:ascii="Arial" w:hAnsi="Arial" w:cs="Arial"/>
          <w:b/>
          <w:bCs/>
          <w:sz w:val="32"/>
          <w:szCs w:val="32"/>
          <w:lang w:val="en-GB"/>
        </w:rPr>
      </w:pPr>
    </w:p>
    <w:p w14:paraId="690A03FA" w14:textId="77777777" w:rsidR="00CF6430" w:rsidRDefault="00CF6430" w:rsidP="00775887">
      <w:pPr>
        <w:rPr>
          <w:rFonts w:ascii="Arial" w:hAnsi="Arial" w:cs="Arial"/>
          <w:b/>
          <w:bCs/>
          <w:sz w:val="32"/>
          <w:szCs w:val="32"/>
          <w:lang w:val="en-GB"/>
        </w:rPr>
      </w:pPr>
    </w:p>
    <w:p w14:paraId="121DC501" w14:textId="77777777" w:rsidR="00CF6430" w:rsidRDefault="00CF6430" w:rsidP="00775887">
      <w:pPr>
        <w:rPr>
          <w:rFonts w:ascii="Arial" w:hAnsi="Arial" w:cs="Arial"/>
          <w:b/>
          <w:bCs/>
          <w:sz w:val="32"/>
          <w:szCs w:val="32"/>
          <w:lang w:val="en-GB"/>
        </w:rPr>
      </w:pPr>
    </w:p>
    <w:p w14:paraId="071D9D6D" w14:textId="77777777" w:rsidR="00CF6430" w:rsidRDefault="00CF6430" w:rsidP="00775887">
      <w:pPr>
        <w:rPr>
          <w:rFonts w:ascii="Arial" w:hAnsi="Arial" w:cs="Arial"/>
          <w:b/>
          <w:bCs/>
          <w:sz w:val="32"/>
          <w:szCs w:val="32"/>
          <w:lang w:val="en-GB"/>
        </w:rPr>
      </w:pPr>
    </w:p>
    <w:p w14:paraId="38301E28" w14:textId="1B1B7329" w:rsidR="00FF052E" w:rsidRPr="00EC4B51" w:rsidRDefault="00FF052E" w:rsidP="00775887">
      <w:pPr>
        <w:rPr>
          <w:rFonts w:ascii="Arial" w:hAnsi="Arial" w:cs="Arial"/>
          <w:b/>
          <w:bCs/>
          <w:sz w:val="32"/>
          <w:szCs w:val="32"/>
          <w:lang w:val="en-GB"/>
        </w:rPr>
      </w:pPr>
      <w:r w:rsidRPr="00EC4B51">
        <w:rPr>
          <w:rFonts w:ascii="Arial" w:hAnsi="Arial" w:cs="Arial"/>
          <w:b/>
          <w:bCs/>
          <w:sz w:val="32"/>
          <w:szCs w:val="32"/>
          <w:lang w:val="en-GB"/>
        </w:rPr>
        <w:lastRenderedPageBreak/>
        <w:t>TASK 7</w:t>
      </w:r>
    </w:p>
    <w:p w14:paraId="4762F1A4" w14:textId="421B9BAD" w:rsidR="00775887" w:rsidRPr="00EC4B51" w:rsidRDefault="00775887" w:rsidP="00775887">
      <w:pPr>
        <w:rPr>
          <w:rFonts w:ascii="Arial" w:hAnsi="Arial" w:cs="Arial"/>
          <w:b/>
          <w:bCs/>
          <w:lang w:val="en-GB"/>
        </w:rPr>
      </w:pPr>
      <w:r w:rsidRPr="00EC4B51">
        <w:rPr>
          <w:rFonts w:ascii="Arial" w:hAnsi="Arial" w:cs="Arial"/>
          <w:b/>
          <w:bCs/>
          <w:lang w:val="en-GB"/>
        </w:rPr>
        <w:t>Leadership Behaviour: Inspiring Shared Purpose</w:t>
      </w:r>
    </w:p>
    <w:p w14:paraId="312D5F82" w14:textId="0672A500" w:rsidR="001745CD" w:rsidRDefault="00775887" w:rsidP="007D71C5">
      <w:pPr>
        <w:rPr>
          <w:rFonts w:ascii="Arial" w:hAnsi="Arial" w:cs="Arial"/>
          <w:lang w:val="en-GB"/>
        </w:rPr>
      </w:pPr>
      <w:r w:rsidRPr="00EC4B51">
        <w:rPr>
          <w:rFonts w:ascii="Arial" w:hAnsi="Arial" w:cs="Arial"/>
          <w:lang w:val="en-GB"/>
        </w:rPr>
        <w:t xml:space="preserve">A key leadership behaviour is inspiring shared purpose, which entails motivating staff to work toward a common objective. Leaders foster creativity by articulating a clear vision for enhancing patient care and encouraging team members to contribute ideas. For instance, managers in healthcare settings may involve staff in developing strategies to reduce waiting times. This approach is consistent with the work of Bernard Bass and Bruce Avolio (1994), who argue that transformational leaders promote innovation through encouragement and support. By valuing staff input, leaders cultivate an environment in which new ideas can enhance service </w:t>
      </w:r>
      <w:r w:rsidR="001745CD">
        <w:rPr>
          <w:rFonts w:ascii="Arial" w:hAnsi="Arial" w:cs="Arial"/>
          <w:lang w:val="en-GB"/>
        </w:rPr>
        <w:t>quality</w:t>
      </w:r>
    </w:p>
    <w:p w14:paraId="60A90365" w14:textId="77777777" w:rsidR="001745CD" w:rsidRPr="001745CD" w:rsidRDefault="001745CD" w:rsidP="007D71C5">
      <w:pPr>
        <w:rPr>
          <w:rFonts w:ascii="Arial" w:hAnsi="Arial" w:cs="Arial"/>
          <w:lang w:val="en-GB"/>
        </w:rPr>
      </w:pPr>
    </w:p>
    <w:p w14:paraId="5542B49D" w14:textId="77777777" w:rsidR="001745CD" w:rsidRDefault="001745CD" w:rsidP="007D71C5">
      <w:pPr>
        <w:rPr>
          <w:rFonts w:ascii="Arial" w:hAnsi="Arial" w:cs="Arial"/>
          <w:b/>
          <w:bCs/>
          <w:sz w:val="32"/>
          <w:szCs w:val="32"/>
          <w:lang w:val="en-GB"/>
        </w:rPr>
      </w:pPr>
    </w:p>
    <w:p w14:paraId="5B024A5F" w14:textId="77777777" w:rsidR="001745CD" w:rsidRDefault="001745CD" w:rsidP="007D71C5">
      <w:pPr>
        <w:rPr>
          <w:rFonts w:ascii="Arial" w:hAnsi="Arial" w:cs="Arial"/>
          <w:b/>
          <w:bCs/>
          <w:sz w:val="32"/>
          <w:szCs w:val="32"/>
          <w:lang w:val="en-GB"/>
        </w:rPr>
      </w:pPr>
    </w:p>
    <w:p w14:paraId="6CF9A145" w14:textId="7B17CC37" w:rsidR="00D0283C" w:rsidRPr="00EC4B51" w:rsidRDefault="00D0283C" w:rsidP="007D71C5">
      <w:pPr>
        <w:rPr>
          <w:rFonts w:ascii="Arial" w:hAnsi="Arial" w:cs="Arial"/>
          <w:b/>
          <w:bCs/>
          <w:sz w:val="32"/>
          <w:szCs w:val="32"/>
          <w:lang w:val="en-GB"/>
        </w:rPr>
      </w:pPr>
      <w:r w:rsidRPr="00EC4B51">
        <w:rPr>
          <w:rFonts w:ascii="Arial" w:hAnsi="Arial" w:cs="Arial"/>
          <w:b/>
          <w:bCs/>
          <w:sz w:val="32"/>
          <w:szCs w:val="32"/>
          <w:lang w:val="en-GB"/>
        </w:rPr>
        <w:t>TASK 8</w:t>
      </w:r>
    </w:p>
    <w:p w14:paraId="226D5211" w14:textId="5591C6E4" w:rsidR="00D0283C" w:rsidRPr="00D0283C" w:rsidRDefault="00D0283C" w:rsidP="00D0283C">
      <w:pPr>
        <w:spacing w:after="0" w:line="240" w:lineRule="auto"/>
        <w:rPr>
          <w:rFonts w:ascii="Arial" w:eastAsia="Times New Roman" w:hAnsi="Arial" w:cs="Arial"/>
          <w:kern w:val="0"/>
          <w:lang w:val="en-GB" w:eastAsia="it-IT"/>
          <w14:ligatures w14:val="none"/>
        </w:rPr>
      </w:pPr>
      <w:r w:rsidRPr="00D0283C">
        <w:rPr>
          <w:rFonts w:ascii="Arial" w:eastAsia="Times New Roman" w:hAnsi="Arial" w:cs="Arial"/>
          <w:kern w:val="0"/>
          <w:lang w:val="en-GB" w:eastAsia="it-IT"/>
          <w14:ligatures w14:val="none"/>
        </w:rPr>
        <w:t xml:space="preserve">Throughout this program, I began to appreciate creativity and innovation as systematic processes that add genuine value to health and social care, rather than as "new ideas." The task on the Technology Acceptance Model was crucial since it demonstrated to me that innovation is only effective when people embrace and utilize it. This altered my viewpoint since I now recognize that human </w:t>
      </w:r>
      <w:proofErr w:type="spellStart"/>
      <w:r w:rsidRPr="00D0283C">
        <w:rPr>
          <w:rFonts w:ascii="Arial" w:eastAsia="Times New Roman" w:hAnsi="Arial" w:cs="Arial"/>
          <w:kern w:val="0"/>
          <w:lang w:val="en-GB" w:eastAsia="it-IT"/>
          <w14:ligatures w14:val="none"/>
        </w:rPr>
        <w:t>behavior</w:t>
      </w:r>
      <w:proofErr w:type="spellEnd"/>
      <w:r w:rsidRPr="00D0283C">
        <w:rPr>
          <w:rFonts w:ascii="Arial" w:eastAsia="Times New Roman" w:hAnsi="Arial" w:cs="Arial"/>
          <w:kern w:val="0"/>
          <w:lang w:val="en-GB" w:eastAsia="it-IT"/>
          <w14:ligatures w14:val="none"/>
        </w:rPr>
        <w:t xml:space="preserve"> is just as significant as the concept </w:t>
      </w:r>
      <w:proofErr w:type="spellStart"/>
      <w:r w:rsidRPr="00D0283C">
        <w:rPr>
          <w:rFonts w:ascii="Arial" w:eastAsia="Times New Roman" w:hAnsi="Arial" w:cs="Arial"/>
          <w:kern w:val="0"/>
          <w:lang w:val="en-GB" w:eastAsia="it-IT"/>
          <w14:ligatures w14:val="none"/>
        </w:rPr>
        <w:t>itself.I</w:t>
      </w:r>
      <w:proofErr w:type="spellEnd"/>
      <w:r w:rsidRPr="00D0283C">
        <w:rPr>
          <w:rFonts w:ascii="Arial" w:eastAsia="Times New Roman" w:hAnsi="Arial" w:cs="Arial"/>
          <w:kern w:val="0"/>
          <w:lang w:val="en-GB" w:eastAsia="it-IT"/>
          <w14:ligatures w14:val="none"/>
        </w:rPr>
        <w:t xml:space="preserve"> considered how my thinking evolved through exercises like the mind map on actual care difficulties using Gibbs Reflective Cycle. I came to the realization that I need to adopt a more creative (divergent) approach because I tend to think practically (convergent thinking).</w:t>
      </w:r>
      <w:r w:rsidRPr="00EC4B51">
        <w:rPr>
          <w:rFonts w:ascii="Arial" w:eastAsia="Times New Roman" w:hAnsi="Arial" w:cs="Arial"/>
          <w:kern w:val="0"/>
          <w:lang w:val="en-GB" w:eastAsia="it-IT"/>
          <w14:ligatures w14:val="none"/>
        </w:rPr>
        <w:t xml:space="preserve"> </w:t>
      </w:r>
      <w:r w:rsidRPr="00D0283C">
        <w:rPr>
          <w:rFonts w:ascii="Arial" w:eastAsia="Times New Roman" w:hAnsi="Arial" w:cs="Arial"/>
          <w:kern w:val="0"/>
          <w:lang w:val="en-GB" w:eastAsia="it-IT"/>
          <w14:ligatures w14:val="none"/>
        </w:rPr>
        <w:t>I'll put this into practice in my next position by making minor, user-</w:t>
      </w:r>
      <w:proofErr w:type="spellStart"/>
      <w:r w:rsidRPr="00D0283C">
        <w:rPr>
          <w:rFonts w:ascii="Arial" w:eastAsia="Times New Roman" w:hAnsi="Arial" w:cs="Arial"/>
          <w:kern w:val="0"/>
          <w:lang w:val="en-GB" w:eastAsia="it-IT"/>
          <w14:ligatures w14:val="none"/>
        </w:rPr>
        <w:t>centered</w:t>
      </w:r>
      <w:proofErr w:type="spellEnd"/>
      <w:r w:rsidRPr="00D0283C">
        <w:rPr>
          <w:rFonts w:ascii="Arial" w:eastAsia="Times New Roman" w:hAnsi="Arial" w:cs="Arial"/>
          <w:kern w:val="0"/>
          <w:lang w:val="en-GB" w:eastAsia="it-IT"/>
          <w14:ligatures w14:val="none"/>
        </w:rPr>
        <w:t xml:space="preserve"> adjustments rather than significant ones. For instance, before recommending new procedures in placements, I will take staff and patient approval into account to make that innovation produces significant and long-lasting benefit.</w:t>
      </w:r>
    </w:p>
    <w:p w14:paraId="20B2C930" w14:textId="77777777" w:rsidR="00D0283C" w:rsidRPr="00EC4B51" w:rsidRDefault="00D0283C" w:rsidP="007D71C5">
      <w:pPr>
        <w:rPr>
          <w:rFonts w:ascii="Arial" w:hAnsi="Arial" w:cs="Arial"/>
          <w:lang w:val="en-GB"/>
        </w:rPr>
      </w:pPr>
    </w:p>
    <w:p w14:paraId="4635EF89" w14:textId="77777777" w:rsidR="00473413" w:rsidRPr="00EC4B51" w:rsidRDefault="00473413" w:rsidP="00473413">
      <w:pPr>
        <w:rPr>
          <w:rFonts w:ascii="Arial" w:hAnsi="Arial" w:cs="Arial"/>
          <w:b/>
          <w:bCs/>
          <w:lang w:val="en-GB"/>
        </w:rPr>
      </w:pPr>
      <w:r w:rsidRPr="00EC4B51">
        <w:rPr>
          <w:rFonts w:ascii="Arial" w:hAnsi="Arial" w:cs="Arial"/>
          <w:b/>
          <w:bCs/>
          <w:lang w:val="en-GB"/>
        </w:rPr>
        <w:t>Reflective Journal Entry</w:t>
      </w:r>
    </w:p>
    <w:p w14:paraId="1E33324A" w14:textId="77777777" w:rsidR="00473413" w:rsidRPr="00EC4B51" w:rsidRDefault="00473413" w:rsidP="00473413">
      <w:pPr>
        <w:rPr>
          <w:rFonts w:ascii="Arial" w:hAnsi="Arial" w:cs="Arial"/>
          <w:lang w:val="en-GB"/>
        </w:rPr>
      </w:pPr>
      <w:r w:rsidRPr="00EC4B51">
        <w:rPr>
          <w:rFonts w:ascii="Arial" w:hAnsi="Arial" w:cs="Arial"/>
          <w:lang w:val="en-GB"/>
        </w:rPr>
        <w:t>Throughout this module, my understanding of creativity within health and social care has deepened considerably. Initially, I associated creativity primarily with technological advancements. However, I now recognise that it also encompasses problem-solving and the enhancement of daily practice. Participating in group activities focused on convergent and divergent thinking highlighted the value of teamwork and diverse perspectives. I have learned that creativity can improve patient outcomes and increase service efficiency. Moving forward in my career, I intend to remain receptive to new ideas and actively seek opportunities to enhance care. This experience has encouraged me to think more critically and to appreciate the role of innovation in professional practice.</w:t>
      </w:r>
    </w:p>
    <w:p w14:paraId="57A48399" w14:textId="77777777" w:rsidR="00543C15" w:rsidRPr="00EC4B51" w:rsidRDefault="00543C15" w:rsidP="007D71C5">
      <w:pPr>
        <w:rPr>
          <w:rFonts w:ascii="Arial" w:hAnsi="Arial" w:cs="Arial"/>
          <w:lang w:val="en-GB"/>
        </w:rPr>
      </w:pPr>
    </w:p>
    <w:p w14:paraId="3A0C7323" w14:textId="77777777" w:rsidR="00F847D5" w:rsidRPr="00EC4B51" w:rsidRDefault="00F847D5" w:rsidP="007D71C5">
      <w:pPr>
        <w:rPr>
          <w:rFonts w:ascii="Arial" w:hAnsi="Arial" w:cs="Arial"/>
          <w:lang w:val="en-GB"/>
        </w:rPr>
      </w:pPr>
    </w:p>
    <w:p w14:paraId="307C6D12" w14:textId="77777777" w:rsidR="00F847D5" w:rsidRPr="00EC4B51" w:rsidRDefault="00F847D5" w:rsidP="007D71C5">
      <w:pPr>
        <w:rPr>
          <w:rFonts w:ascii="Arial" w:hAnsi="Arial" w:cs="Arial"/>
          <w:lang w:val="en-GB"/>
        </w:rPr>
      </w:pPr>
    </w:p>
    <w:p w14:paraId="3101A0C5" w14:textId="77777777" w:rsidR="00E41E9B" w:rsidRPr="00EC4B51" w:rsidRDefault="00E41E9B" w:rsidP="007D71C5">
      <w:pPr>
        <w:rPr>
          <w:rFonts w:ascii="Arial" w:hAnsi="Arial" w:cs="Arial"/>
          <w:lang w:val="en-GB"/>
        </w:rPr>
      </w:pPr>
    </w:p>
    <w:p w14:paraId="4D563718" w14:textId="77777777" w:rsidR="001745CD" w:rsidRDefault="001745CD" w:rsidP="007D71C5">
      <w:pPr>
        <w:rPr>
          <w:rFonts w:ascii="Arial" w:hAnsi="Arial" w:cs="Arial"/>
          <w:b/>
          <w:bCs/>
          <w:sz w:val="32"/>
          <w:szCs w:val="32"/>
          <w:lang w:val="en-GB"/>
        </w:rPr>
      </w:pPr>
    </w:p>
    <w:p w14:paraId="4AC0E832" w14:textId="77777777" w:rsidR="001745CD" w:rsidRDefault="001745CD" w:rsidP="007D71C5">
      <w:pPr>
        <w:rPr>
          <w:rFonts w:ascii="Arial" w:hAnsi="Arial" w:cs="Arial"/>
          <w:b/>
          <w:bCs/>
          <w:sz w:val="32"/>
          <w:szCs w:val="32"/>
          <w:lang w:val="en-GB"/>
        </w:rPr>
      </w:pPr>
    </w:p>
    <w:p w14:paraId="2D3EC104" w14:textId="77777777" w:rsidR="001745CD" w:rsidRDefault="001745CD" w:rsidP="007D71C5">
      <w:pPr>
        <w:rPr>
          <w:rFonts w:ascii="Arial" w:hAnsi="Arial" w:cs="Arial"/>
          <w:b/>
          <w:bCs/>
          <w:sz w:val="32"/>
          <w:szCs w:val="32"/>
          <w:lang w:val="en-GB"/>
        </w:rPr>
      </w:pPr>
    </w:p>
    <w:p w14:paraId="714439C9" w14:textId="77777777" w:rsidR="001745CD" w:rsidRDefault="001745CD" w:rsidP="007D71C5">
      <w:pPr>
        <w:rPr>
          <w:rFonts w:ascii="Arial" w:hAnsi="Arial" w:cs="Arial"/>
          <w:b/>
          <w:bCs/>
          <w:sz w:val="32"/>
          <w:szCs w:val="32"/>
          <w:lang w:val="en-GB"/>
        </w:rPr>
      </w:pPr>
    </w:p>
    <w:p w14:paraId="312B010C" w14:textId="77777777" w:rsidR="001745CD" w:rsidRDefault="001745CD" w:rsidP="007D71C5">
      <w:pPr>
        <w:rPr>
          <w:rFonts w:ascii="Arial" w:hAnsi="Arial" w:cs="Arial"/>
          <w:b/>
          <w:bCs/>
          <w:sz w:val="32"/>
          <w:szCs w:val="32"/>
          <w:lang w:val="en-GB"/>
        </w:rPr>
      </w:pPr>
    </w:p>
    <w:p w14:paraId="4B27689C" w14:textId="6169C157" w:rsidR="00543C15" w:rsidRPr="00EC4B51" w:rsidRDefault="00543C15" w:rsidP="007D71C5">
      <w:pPr>
        <w:rPr>
          <w:rFonts w:ascii="Arial" w:hAnsi="Arial" w:cs="Arial"/>
          <w:b/>
          <w:bCs/>
          <w:sz w:val="32"/>
          <w:szCs w:val="32"/>
          <w:lang w:val="en-GB"/>
        </w:rPr>
      </w:pPr>
      <w:r w:rsidRPr="00EC4B51">
        <w:rPr>
          <w:rFonts w:ascii="Arial" w:hAnsi="Arial" w:cs="Arial"/>
          <w:b/>
          <w:bCs/>
          <w:sz w:val="32"/>
          <w:szCs w:val="32"/>
          <w:lang w:val="en-GB"/>
        </w:rPr>
        <w:t xml:space="preserve">Reference List </w:t>
      </w:r>
    </w:p>
    <w:p w14:paraId="64690306" w14:textId="77777777" w:rsidR="00F847D5" w:rsidRPr="00EC4B51" w:rsidRDefault="00F847D5" w:rsidP="00F847D5">
      <w:pPr>
        <w:rPr>
          <w:rFonts w:ascii="Arial" w:hAnsi="Arial" w:cs="Arial"/>
          <w:lang w:val="en-GB"/>
        </w:rPr>
      </w:pPr>
    </w:p>
    <w:p w14:paraId="2BA5DD9D" w14:textId="77777777" w:rsidR="00F847D5" w:rsidRPr="00EC4B51" w:rsidRDefault="00F847D5" w:rsidP="00F847D5">
      <w:pPr>
        <w:rPr>
          <w:rFonts w:ascii="Arial" w:hAnsi="Arial" w:cs="Arial"/>
          <w:lang w:val="en-GB"/>
        </w:rPr>
      </w:pPr>
      <w:r w:rsidRPr="00EC4B51">
        <w:rPr>
          <w:rFonts w:ascii="Arial" w:hAnsi="Arial" w:cs="Arial"/>
          <w:lang w:val="en-GB"/>
        </w:rPr>
        <w:t>Action4Youth (n.d.) The Breakout Programme. Available at: https://www.action4youth.org/the-breakout-programme/</w:t>
      </w:r>
    </w:p>
    <w:p w14:paraId="1533A11C" w14:textId="77777777" w:rsidR="00F847D5" w:rsidRPr="00EC4B51" w:rsidRDefault="00F847D5" w:rsidP="00F847D5">
      <w:pPr>
        <w:rPr>
          <w:rFonts w:ascii="Arial" w:hAnsi="Arial" w:cs="Arial"/>
          <w:lang w:val="en-GB"/>
        </w:rPr>
      </w:pPr>
      <w:r w:rsidRPr="00EC4B51">
        <w:rPr>
          <w:rFonts w:ascii="Arial" w:hAnsi="Arial" w:cs="Arial"/>
          <w:lang w:val="en-GB"/>
        </w:rPr>
        <w:t xml:space="preserve"> (Accessed: 20 March 2026).</w:t>
      </w:r>
    </w:p>
    <w:p w14:paraId="78B8772D" w14:textId="77777777" w:rsidR="00F847D5" w:rsidRPr="00EC4B51" w:rsidRDefault="00F847D5" w:rsidP="00F847D5">
      <w:pPr>
        <w:rPr>
          <w:rFonts w:ascii="Arial" w:hAnsi="Arial" w:cs="Arial"/>
          <w:lang w:val="en-GB"/>
        </w:rPr>
      </w:pPr>
    </w:p>
    <w:p w14:paraId="57C0E88A" w14:textId="77777777" w:rsidR="00F847D5" w:rsidRPr="00EC4B51" w:rsidRDefault="00F847D5" w:rsidP="00F847D5">
      <w:pPr>
        <w:rPr>
          <w:rFonts w:ascii="Arial" w:hAnsi="Arial" w:cs="Arial"/>
          <w:lang w:val="en-GB"/>
        </w:rPr>
      </w:pPr>
      <w:r w:rsidRPr="00EC4B51">
        <w:rPr>
          <w:rFonts w:ascii="Arial" w:hAnsi="Arial" w:cs="Arial"/>
          <w:lang w:val="en-GB"/>
        </w:rPr>
        <w:t>Meadows, D. (2008) Thinking in Systems: A Primer. White River Junction: Chelsea Green Publishing.</w:t>
      </w:r>
    </w:p>
    <w:p w14:paraId="1EA5E541" w14:textId="77777777" w:rsidR="00F847D5" w:rsidRPr="00EC4B51" w:rsidRDefault="00F847D5" w:rsidP="00F847D5">
      <w:pPr>
        <w:rPr>
          <w:rFonts w:ascii="Arial" w:hAnsi="Arial" w:cs="Arial"/>
          <w:lang w:val="en-GB"/>
        </w:rPr>
      </w:pPr>
    </w:p>
    <w:p w14:paraId="5D58B066" w14:textId="77777777" w:rsidR="00F847D5" w:rsidRPr="00EC4B51" w:rsidRDefault="00F847D5" w:rsidP="00F847D5">
      <w:pPr>
        <w:rPr>
          <w:rFonts w:ascii="Arial" w:hAnsi="Arial" w:cs="Arial"/>
          <w:lang w:val="en-GB"/>
        </w:rPr>
      </w:pPr>
      <w:r w:rsidRPr="00EC4B51">
        <w:rPr>
          <w:rFonts w:ascii="Arial" w:hAnsi="Arial" w:cs="Arial"/>
          <w:lang w:val="en-GB"/>
        </w:rPr>
        <w:t>National Crime Agency (2023) County lines drug trafficking. Available at: https://www.nationalcrimeagency.gov.uk/what-we-do/crime-threats/drug-trafficking/county-lines</w:t>
      </w:r>
    </w:p>
    <w:p w14:paraId="2E742554" w14:textId="77777777" w:rsidR="00F847D5" w:rsidRPr="00EC4B51" w:rsidRDefault="00F847D5" w:rsidP="00F847D5">
      <w:pPr>
        <w:rPr>
          <w:rFonts w:ascii="Arial" w:hAnsi="Arial" w:cs="Arial"/>
          <w:lang w:val="en-GB"/>
        </w:rPr>
      </w:pPr>
      <w:r w:rsidRPr="00EC4B51">
        <w:rPr>
          <w:rFonts w:ascii="Arial" w:hAnsi="Arial" w:cs="Arial"/>
          <w:lang w:val="en-GB"/>
        </w:rPr>
        <w:t xml:space="preserve"> (Accessed: 20 March 2026).</w:t>
      </w:r>
    </w:p>
    <w:p w14:paraId="38C8CD0D" w14:textId="77777777" w:rsidR="00F847D5" w:rsidRPr="00EC4B51" w:rsidRDefault="00F847D5" w:rsidP="00F847D5">
      <w:pPr>
        <w:rPr>
          <w:rFonts w:ascii="Arial" w:hAnsi="Arial" w:cs="Arial"/>
          <w:lang w:val="en-GB"/>
        </w:rPr>
      </w:pPr>
    </w:p>
    <w:p w14:paraId="0A6F34C8" w14:textId="77777777" w:rsidR="00F847D5" w:rsidRPr="00EC4B51" w:rsidRDefault="00F847D5" w:rsidP="00F847D5">
      <w:pPr>
        <w:rPr>
          <w:rFonts w:ascii="Arial" w:hAnsi="Arial" w:cs="Arial"/>
          <w:lang w:val="en-GB"/>
        </w:rPr>
      </w:pPr>
      <w:r w:rsidRPr="00EC4B51">
        <w:rPr>
          <w:rFonts w:ascii="Arial" w:hAnsi="Arial" w:cs="Arial"/>
          <w:lang w:val="en-GB"/>
        </w:rPr>
        <w:t>NHS England (2019) The NHS Long Term Plan. Available at: https://www.longtermplan.nhs.uk/</w:t>
      </w:r>
    </w:p>
    <w:p w14:paraId="674893F4" w14:textId="77777777" w:rsidR="00F847D5" w:rsidRPr="00EC4B51" w:rsidRDefault="00F847D5" w:rsidP="00F847D5">
      <w:pPr>
        <w:rPr>
          <w:rFonts w:ascii="Arial" w:hAnsi="Arial" w:cs="Arial"/>
          <w:lang w:val="en-GB"/>
        </w:rPr>
      </w:pPr>
      <w:r w:rsidRPr="00EC4B51">
        <w:rPr>
          <w:rFonts w:ascii="Arial" w:hAnsi="Arial" w:cs="Arial"/>
          <w:lang w:val="en-GB"/>
        </w:rPr>
        <w:t xml:space="preserve"> (Accessed: 20 March 2026).</w:t>
      </w:r>
    </w:p>
    <w:p w14:paraId="6660D36D" w14:textId="77777777" w:rsidR="00F847D5" w:rsidRPr="00EC4B51" w:rsidRDefault="00F847D5" w:rsidP="00F847D5">
      <w:pPr>
        <w:rPr>
          <w:rFonts w:ascii="Arial" w:hAnsi="Arial" w:cs="Arial"/>
          <w:lang w:val="en-GB"/>
        </w:rPr>
      </w:pPr>
    </w:p>
    <w:p w14:paraId="2B9BE9FF" w14:textId="77777777" w:rsidR="00F847D5" w:rsidRPr="00EC4B51" w:rsidRDefault="00F847D5" w:rsidP="00F847D5">
      <w:pPr>
        <w:rPr>
          <w:rFonts w:ascii="Arial" w:hAnsi="Arial" w:cs="Arial"/>
          <w:lang w:val="en-GB"/>
        </w:rPr>
      </w:pPr>
      <w:r w:rsidRPr="00EC4B51">
        <w:rPr>
          <w:rFonts w:ascii="Arial" w:hAnsi="Arial" w:cs="Arial"/>
          <w:lang w:val="en-GB"/>
        </w:rPr>
        <w:t>UK Government (2023) Criminal exploitation of children and vulnerable adults: County lines. Available at: https://www.gov.uk/government/publications/criminal-exploitation-of-children-and-vulnerable-adults-county-lines</w:t>
      </w:r>
    </w:p>
    <w:p w14:paraId="176C969C" w14:textId="77777777" w:rsidR="00F847D5" w:rsidRPr="00EC4B51" w:rsidRDefault="00F847D5" w:rsidP="00F847D5">
      <w:pPr>
        <w:rPr>
          <w:rFonts w:ascii="Arial" w:hAnsi="Arial" w:cs="Arial"/>
          <w:lang w:val="en-GB"/>
        </w:rPr>
      </w:pPr>
      <w:r w:rsidRPr="00EC4B51">
        <w:rPr>
          <w:rFonts w:ascii="Arial" w:hAnsi="Arial" w:cs="Arial"/>
          <w:lang w:val="en-GB"/>
        </w:rPr>
        <w:t xml:space="preserve"> (Accessed: 20 March 2026).</w:t>
      </w:r>
    </w:p>
    <w:p w14:paraId="3BDA9046" w14:textId="77777777" w:rsidR="00F847D5" w:rsidRPr="00EC4B51" w:rsidRDefault="00F847D5" w:rsidP="00F847D5">
      <w:pPr>
        <w:rPr>
          <w:rFonts w:ascii="Arial" w:hAnsi="Arial" w:cs="Arial"/>
          <w:lang w:val="en-GB"/>
        </w:rPr>
      </w:pPr>
    </w:p>
    <w:p w14:paraId="4ADDB0B6" w14:textId="77777777" w:rsidR="00F847D5" w:rsidRPr="00EC4B51" w:rsidRDefault="00F847D5" w:rsidP="00F847D5">
      <w:pPr>
        <w:rPr>
          <w:rFonts w:ascii="Arial" w:hAnsi="Arial" w:cs="Arial"/>
          <w:lang w:val="en-GB"/>
        </w:rPr>
      </w:pPr>
      <w:r w:rsidRPr="00EC4B51">
        <w:rPr>
          <w:rFonts w:ascii="Arial" w:hAnsi="Arial" w:cs="Arial"/>
          <w:lang w:val="en-GB"/>
        </w:rPr>
        <w:lastRenderedPageBreak/>
        <w:t xml:space="preserve">Who.int. (2025). </w:t>
      </w:r>
      <w:proofErr w:type="spellStart"/>
      <w:r w:rsidRPr="00EC4B51">
        <w:rPr>
          <w:rFonts w:ascii="Arial" w:hAnsi="Arial" w:cs="Arial"/>
          <w:lang w:val="en-GB"/>
        </w:rPr>
        <w:t>DSpace</w:t>
      </w:r>
      <w:proofErr w:type="spellEnd"/>
      <w:r w:rsidRPr="00EC4B51">
        <w:rPr>
          <w:rFonts w:ascii="Arial" w:hAnsi="Arial" w:cs="Arial"/>
          <w:lang w:val="en-GB"/>
        </w:rPr>
        <w:t>. Available at: https://iris.who.int/items/2fe72743-1e71-42de-8487-32e3694328e8.  (Accessed: 20 March 2026).</w:t>
      </w:r>
    </w:p>
    <w:p w14:paraId="35D10372" w14:textId="77777777" w:rsidR="00F847D5" w:rsidRPr="00EC4B51" w:rsidRDefault="00F847D5" w:rsidP="00F847D5">
      <w:pPr>
        <w:rPr>
          <w:rFonts w:ascii="Arial" w:hAnsi="Arial" w:cs="Arial"/>
          <w:lang w:val="en-GB"/>
        </w:rPr>
      </w:pPr>
    </w:p>
    <w:p w14:paraId="2E7DF146" w14:textId="77777777" w:rsidR="00F847D5" w:rsidRPr="00EC4B51" w:rsidRDefault="00F847D5" w:rsidP="00F847D5">
      <w:pPr>
        <w:rPr>
          <w:rFonts w:ascii="Arial" w:hAnsi="Arial" w:cs="Arial"/>
          <w:lang w:val="en-GB"/>
        </w:rPr>
      </w:pPr>
      <w:r w:rsidRPr="00EC4B51">
        <w:rPr>
          <w:rFonts w:ascii="Arial" w:hAnsi="Arial" w:cs="Arial"/>
          <w:lang w:val="en-GB"/>
        </w:rPr>
        <w:t>Gibbs, G. (1988). Learning by doing, a guide to teaching and learning methods. Oxford Brookes University. Available at: https://thoughtsmostlyaboutlearning.wordpress.com/wp-content/uploads/2015/12/learning-by-doing-graham-gibbs.pdf. (Accessed: 20 March 2026).</w:t>
      </w:r>
    </w:p>
    <w:p w14:paraId="309DE17F" w14:textId="77777777" w:rsidR="00F847D5" w:rsidRPr="00EC4B51" w:rsidRDefault="00F847D5" w:rsidP="00F847D5">
      <w:pPr>
        <w:rPr>
          <w:rFonts w:ascii="Arial" w:hAnsi="Arial" w:cs="Arial"/>
          <w:lang w:val="en-GB"/>
        </w:rPr>
      </w:pPr>
    </w:p>
    <w:p w14:paraId="33E0A186" w14:textId="77777777" w:rsidR="00F847D5" w:rsidRPr="00EC4B51" w:rsidRDefault="00F847D5" w:rsidP="00F847D5">
      <w:pPr>
        <w:rPr>
          <w:rFonts w:ascii="Arial" w:hAnsi="Arial" w:cs="Arial"/>
          <w:lang w:val="en-GB"/>
        </w:rPr>
      </w:pPr>
      <w:r w:rsidRPr="00EC4B51">
        <w:rPr>
          <w:rFonts w:ascii="Arial" w:hAnsi="Arial" w:cs="Arial"/>
          <w:lang w:val="en-GB"/>
        </w:rPr>
        <w:t>NHS England (2022) Virtual wards including hospital at home. Available at: https://www.england.nhs.uk</w:t>
      </w:r>
    </w:p>
    <w:p w14:paraId="4BA16A18" w14:textId="77777777" w:rsidR="00F847D5" w:rsidRPr="00EC4B51" w:rsidRDefault="00F847D5" w:rsidP="00F847D5">
      <w:pPr>
        <w:rPr>
          <w:rFonts w:ascii="Arial" w:hAnsi="Arial" w:cs="Arial"/>
          <w:lang w:val="en-GB"/>
        </w:rPr>
      </w:pPr>
      <w:r w:rsidRPr="00EC4B51">
        <w:rPr>
          <w:rFonts w:ascii="Arial" w:hAnsi="Arial" w:cs="Arial"/>
          <w:lang w:val="en-GB"/>
        </w:rPr>
        <w:t xml:space="preserve"> (Accessed: 20 March 2026).</w:t>
      </w:r>
    </w:p>
    <w:p w14:paraId="0A700173" w14:textId="77777777" w:rsidR="00F847D5" w:rsidRPr="00EC4B51" w:rsidRDefault="00F847D5" w:rsidP="00F847D5">
      <w:pPr>
        <w:rPr>
          <w:rFonts w:ascii="Arial" w:hAnsi="Arial" w:cs="Arial"/>
          <w:lang w:val="en-GB"/>
        </w:rPr>
      </w:pPr>
    </w:p>
    <w:p w14:paraId="05F44D62" w14:textId="77777777" w:rsidR="00F847D5" w:rsidRPr="00EC4B51" w:rsidRDefault="00F847D5" w:rsidP="00F847D5">
      <w:pPr>
        <w:rPr>
          <w:rFonts w:ascii="Arial" w:hAnsi="Arial" w:cs="Arial"/>
          <w:lang w:val="en-GB"/>
        </w:rPr>
      </w:pPr>
      <w:r w:rsidRPr="00EC4B51">
        <w:rPr>
          <w:rFonts w:ascii="Arial" w:hAnsi="Arial" w:cs="Arial"/>
          <w:lang w:val="en-GB"/>
        </w:rPr>
        <w:t>Scirp.org. (2023). Rogers, E.M. (2003) Diffusion of Innovations. 5th Edition, Free Press, New York. - References - Scientific Research Publishing. Available at: https://www.scirp.org/reference/referencespapers?referenceid=3487382.  (Accessed: 20 March 2026).</w:t>
      </w:r>
    </w:p>
    <w:p w14:paraId="08494959" w14:textId="77777777" w:rsidR="00F847D5" w:rsidRPr="00EC4B51" w:rsidRDefault="00F847D5" w:rsidP="00F847D5">
      <w:pPr>
        <w:rPr>
          <w:rFonts w:ascii="Arial" w:hAnsi="Arial" w:cs="Arial"/>
          <w:lang w:val="en-GB"/>
        </w:rPr>
      </w:pPr>
    </w:p>
    <w:p w14:paraId="7E8F9D44" w14:textId="77777777" w:rsidR="00F847D5" w:rsidRPr="00EC4B51" w:rsidRDefault="00F847D5" w:rsidP="00F847D5">
      <w:pPr>
        <w:rPr>
          <w:rFonts w:ascii="Arial" w:hAnsi="Arial" w:cs="Arial"/>
          <w:lang w:val="en-GB"/>
        </w:rPr>
      </w:pPr>
      <w:r w:rsidRPr="00EC4B51">
        <w:rPr>
          <w:rFonts w:ascii="Arial" w:hAnsi="Arial" w:cs="Arial"/>
          <w:lang w:val="en-GB"/>
        </w:rPr>
        <w:t>Bakker, A. and Demerouti, E. (2007). Journal of Managerial Psychology The Job Demands-Resources model: state of the art Article information. Journal of Managerial Psychology,22(3), pp.309–328. Available at: https://peopleful.io/Job-Demands-Resource-Model-research.pdf.  (Accessed: 29 March 2026).</w:t>
      </w:r>
    </w:p>
    <w:p w14:paraId="669133E9" w14:textId="77777777" w:rsidR="00F847D5" w:rsidRPr="00EC4B51" w:rsidRDefault="00F847D5" w:rsidP="00F847D5">
      <w:pPr>
        <w:rPr>
          <w:rFonts w:ascii="Arial" w:hAnsi="Arial" w:cs="Arial"/>
          <w:lang w:val="en-GB"/>
        </w:rPr>
      </w:pPr>
    </w:p>
    <w:p w14:paraId="6B81555F" w14:textId="77777777" w:rsidR="00F847D5" w:rsidRPr="00EC4B51" w:rsidRDefault="00F847D5" w:rsidP="00F847D5">
      <w:pPr>
        <w:rPr>
          <w:rFonts w:ascii="Arial" w:hAnsi="Arial" w:cs="Arial"/>
          <w:lang w:val="en-GB"/>
        </w:rPr>
      </w:pPr>
      <w:r w:rsidRPr="00EC4B51">
        <w:rPr>
          <w:rFonts w:ascii="Arial" w:hAnsi="Arial" w:cs="Arial"/>
          <w:lang w:val="en-GB"/>
        </w:rPr>
        <w:t>Maslach, C. and Leiter, M.P. (2016). Understanding the Burnout experience: Recent Research and Its Implications for Psychiatry. World Psychiatry, 15(2), pp.103–111. available at :https://doi.org/10.1002/wps.20311.  (Accessed: 29 March 2026).</w:t>
      </w:r>
    </w:p>
    <w:p w14:paraId="5BB514A5" w14:textId="77777777" w:rsidR="00F847D5" w:rsidRPr="00EC4B51" w:rsidRDefault="00F847D5" w:rsidP="00F847D5">
      <w:pPr>
        <w:rPr>
          <w:rFonts w:ascii="Arial" w:hAnsi="Arial" w:cs="Arial"/>
          <w:lang w:val="en-GB"/>
        </w:rPr>
      </w:pPr>
    </w:p>
    <w:p w14:paraId="4CE5F6F3" w14:textId="77777777" w:rsidR="00F847D5" w:rsidRPr="00EC4B51" w:rsidRDefault="00F847D5" w:rsidP="00F847D5">
      <w:pPr>
        <w:rPr>
          <w:rFonts w:ascii="Arial" w:hAnsi="Arial" w:cs="Arial"/>
          <w:lang w:val="en-GB"/>
        </w:rPr>
      </w:pPr>
      <w:r w:rsidRPr="00EC4B51">
        <w:rPr>
          <w:rFonts w:ascii="Arial" w:hAnsi="Arial" w:cs="Arial"/>
          <w:lang w:val="en-GB"/>
        </w:rPr>
        <w:t>Davis, F. (1989). Perceived Usefulness, Perceived Ease of Use, and User Acceptance of Information Technology. ResearchGate. available at :https://doi.org/10.2307/249008.  (Accessed: 20 March 2026).</w:t>
      </w:r>
    </w:p>
    <w:p w14:paraId="2D3FAF88" w14:textId="77777777" w:rsidR="00F847D5" w:rsidRPr="00EC4B51" w:rsidRDefault="00F847D5" w:rsidP="00F847D5">
      <w:pPr>
        <w:rPr>
          <w:rFonts w:ascii="Arial" w:hAnsi="Arial" w:cs="Arial"/>
          <w:lang w:val="en-GB"/>
        </w:rPr>
      </w:pPr>
    </w:p>
    <w:p w14:paraId="7F3DB36B" w14:textId="77777777" w:rsidR="00F847D5" w:rsidRPr="00EC4B51" w:rsidRDefault="00F847D5" w:rsidP="00F847D5">
      <w:pPr>
        <w:rPr>
          <w:rFonts w:ascii="Arial" w:hAnsi="Arial" w:cs="Arial"/>
          <w:lang w:val="en-GB"/>
        </w:rPr>
      </w:pPr>
      <w:r w:rsidRPr="00EC4B51">
        <w:rPr>
          <w:rFonts w:ascii="Arial" w:hAnsi="Arial" w:cs="Arial"/>
          <w:lang w:val="en-GB"/>
        </w:rPr>
        <w:t>Health Education England (2020) The Topol Review: Preparing the healthcare workforce to deliver the digital future. Available at:https://www.hee.nhs.uk/sites/default/files/documents/Topol%20Review%20interim%20report_0.pdf  (Accessed: 29 March 2026).</w:t>
      </w:r>
    </w:p>
    <w:p w14:paraId="7D1906DB" w14:textId="77777777" w:rsidR="00F847D5" w:rsidRPr="00EC4B51" w:rsidRDefault="00F847D5" w:rsidP="00F847D5">
      <w:pPr>
        <w:rPr>
          <w:rFonts w:ascii="Arial" w:hAnsi="Arial" w:cs="Arial"/>
          <w:lang w:val="en-GB"/>
        </w:rPr>
      </w:pPr>
    </w:p>
    <w:p w14:paraId="4428EA7B" w14:textId="77777777" w:rsidR="00F847D5" w:rsidRPr="00EC4B51" w:rsidRDefault="00F847D5" w:rsidP="00F847D5">
      <w:pPr>
        <w:rPr>
          <w:rFonts w:ascii="Arial" w:hAnsi="Arial" w:cs="Arial"/>
          <w:lang w:val="en-GB"/>
        </w:rPr>
      </w:pPr>
      <w:r w:rsidRPr="00EC4B51">
        <w:rPr>
          <w:rFonts w:ascii="Arial" w:hAnsi="Arial" w:cs="Arial"/>
          <w:lang w:val="en-GB"/>
        </w:rPr>
        <w:t>NHS England (2023) Digital health and care. Available at: https://www.england.nhs.uk</w:t>
      </w:r>
    </w:p>
    <w:p w14:paraId="70B85250" w14:textId="77777777" w:rsidR="00F847D5" w:rsidRPr="00EC4B51" w:rsidRDefault="00F847D5" w:rsidP="00F847D5">
      <w:pPr>
        <w:rPr>
          <w:rFonts w:ascii="Arial" w:hAnsi="Arial" w:cs="Arial"/>
          <w:lang w:val="en-GB"/>
        </w:rPr>
      </w:pPr>
      <w:r w:rsidRPr="00EC4B51">
        <w:rPr>
          <w:rFonts w:ascii="Arial" w:hAnsi="Arial" w:cs="Arial"/>
          <w:lang w:val="en-GB"/>
        </w:rPr>
        <w:lastRenderedPageBreak/>
        <w:t xml:space="preserve"> (Accessed: 29 March 2026).</w:t>
      </w:r>
    </w:p>
    <w:p w14:paraId="6A3ABAE6" w14:textId="77777777" w:rsidR="00F847D5" w:rsidRPr="00EC4B51" w:rsidRDefault="00F847D5" w:rsidP="00F847D5">
      <w:pPr>
        <w:rPr>
          <w:rFonts w:ascii="Arial" w:hAnsi="Arial" w:cs="Arial"/>
          <w:lang w:val="en-GB"/>
        </w:rPr>
      </w:pPr>
    </w:p>
    <w:p w14:paraId="6A2102DD" w14:textId="77777777" w:rsidR="00F847D5" w:rsidRDefault="00F847D5" w:rsidP="00F847D5">
      <w:pPr>
        <w:rPr>
          <w:rFonts w:ascii="Arial" w:hAnsi="Arial" w:cs="Arial"/>
          <w:lang w:val="en-GB"/>
        </w:rPr>
      </w:pPr>
      <w:r w:rsidRPr="00EC4B51">
        <w:rPr>
          <w:rFonts w:ascii="Arial" w:hAnsi="Arial" w:cs="Arial"/>
          <w:lang w:val="en-GB"/>
        </w:rPr>
        <w:t>World Health Organization (2021) Global strategy on digital health 2020–2025. Geneva: WHO. available at: https://www.who.int/docs/default-source/documents/gs4dhdaa2a9f352b0445bafbc79ca799dce4d.pdf  (Accessed: 29 March 2026).</w:t>
      </w:r>
    </w:p>
    <w:p w14:paraId="4BBA6618" w14:textId="4446E668" w:rsidR="00EC407B" w:rsidRPr="00EC4B51" w:rsidRDefault="00EC407B" w:rsidP="00F847D5">
      <w:pPr>
        <w:rPr>
          <w:rFonts w:ascii="Arial" w:hAnsi="Arial" w:cs="Arial"/>
          <w:lang w:val="en-GB"/>
        </w:rPr>
      </w:pPr>
      <w:r w:rsidRPr="00EC407B">
        <w:rPr>
          <w:rFonts w:ascii="Arial" w:hAnsi="Arial" w:cs="Arial"/>
          <w:lang w:val="en-GB"/>
        </w:rPr>
        <w:t xml:space="preserve">LA. (2022). Digital Transformation in European Healthcare. Available at: https://www.ilabour.eu/blog/digital-transformation-in-european-healthcare/.(Accessed: </w:t>
      </w:r>
      <w:r w:rsidR="001745CD">
        <w:rPr>
          <w:rFonts w:ascii="Arial" w:hAnsi="Arial" w:cs="Arial"/>
          <w:lang w:val="en-GB"/>
        </w:rPr>
        <w:t xml:space="preserve">12 </w:t>
      </w:r>
      <w:r w:rsidRPr="00EC407B">
        <w:rPr>
          <w:rFonts w:ascii="Arial" w:hAnsi="Arial" w:cs="Arial"/>
          <w:lang w:val="en-GB"/>
        </w:rPr>
        <w:t>March 2026).</w:t>
      </w:r>
    </w:p>
    <w:p w14:paraId="0F77B50D" w14:textId="77777777" w:rsidR="00F847D5" w:rsidRPr="00EC4B51" w:rsidRDefault="00F847D5" w:rsidP="00F847D5">
      <w:pPr>
        <w:rPr>
          <w:rFonts w:ascii="Arial" w:hAnsi="Arial" w:cs="Arial"/>
          <w:lang w:val="en-GB"/>
        </w:rPr>
      </w:pPr>
    </w:p>
    <w:p w14:paraId="7E696240" w14:textId="77777777" w:rsidR="00F847D5" w:rsidRPr="00EC4B51" w:rsidRDefault="00F847D5" w:rsidP="00F847D5">
      <w:pPr>
        <w:rPr>
          <w:rFonts w:ascii="Arial" w:hAnsi="Arial" w:cs="Arial"/>
          <w:lang w:val="en-GB"/>
        </w:rPr>
      </w:pPr>
      <w:r w:rsidRPr="00EC4B51">
        <w:rPr>
          <w:rFonts w:ascii="Arial" w:hAnsi="Arial" w:cs="Arial"/>
          <w:lang w:val="en-GB"/>
        </w:rPr>
        <w:t>Bass, B. and Avolio, B. (1994) Improving Organizational Effectiveness through Transformational Leadership. Thousand Oaks: Sage. available at:https://www.scirp.org/reference/referencespapers?referenceid=895080  (Accessed: 29 March 2026).</w:t>
      </w:r>
    </w:p>
    <w:p w14:paraId="2BEB29BC" w14:textId="77777777" w:rsidR="00F847D5" w:rsidRPr="00E41E9B" w:rsidRDefault="00F847D5" w:rsidP="00F847D5">
      <w:pPr>
        <w:rPr>
          <w:rFonts w:ascii="Arial" w:hAnsi="Arial" w:cs="Arial"/>
          <w:lang w:val="en-GB"/>
        </w:rPr>
      </w:pPr>
    </w:p>
    <w:p w14:paraId="77ACEE21" w14:textId="77777777" w:rsidR="00F847D5" w:rsidRPr="00E41E9B" w:rsidRDefault="00F847D5" w:rsidP="00F847D5">
      <w:pPr>
        <w:rPr>
          <w:rFonts w:ascii="Arial" w:hAnsi="Arial" w:cs="Arial"/>
          <w:lang w:val="en-GB"/>
        </w:rPr>
      </w:pPr>
      <w:r w:rsidRPr="00E41E9B">
        <w:rPr>
          <w:rFonts w:ascii="Arial" w:hAnsi="Arial" w:cs="Arial"/>
          <w:lang w:val="en-GB"/>
        </w:rPr>
        <w:t>NHS Leadership Academy (2013) Healthcare Leadership Model. Available at: https://www.leadershipacademy.nhs.uk</w:t>
      </w:r>
    </w:p>
    <w:p w14:paraId="5C660371" w14:textId="40386A37" w:rsidR="00F847D5" w:rsidRPr="00E41E9B" w:rsidRDefault="00F847D5" w:rsidP="00F847D5">
      <w:pPr>
        <w:rPr>
          <w:rFonts w:ascii="Arial" w:hAnsi="Arial" w:cs="Arial"/>
          <w:lang w:val="en-GB"/>
        </w:rPr>
      </w:pPr>
      <w:r w:rsidRPr="00E41E9B">
        <w:rPr>
          <w:rFonts w:ascii="Arial" w:hAnsi="Arial" w:cs="Arial"/>
          <w:lang w:val="en-GB"/>
        </w:rPr>
        <w:t xml:space="preserve"> (Accessed: 29 March 2026).</w:t>
      </w:r>
    </w:p>
    <w:sectPr w:rsidR="00F847D5" w:rsidRPr="00E41E9B">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4E035" w14:textId="77777777" w:rsidR="00697256" w:rsidRDefault="00697256" w:rsidP="00106972">
      <w:pPr>
        <w:spacing w:after="0" w:line="240" w:lineRule="auto"/>
      </w:pPr>
      <w:r>
        <w:separator/>
      </w:r>
    </w:p>
  </w:endnote>
  <w:endnote w:type="continuationSeparator" w:id="0">
    <w:p w14:paraId="40D584AE" w14:textId="77777777" w:rsidR="00697256" w:rsidRDefault="00697256" w:rsidP="00106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0AFE1" w14:textId="77777777" w:rsidR="00697256" w:rsidRDefault="00697256" w:rsidP="00106972">
      <w:pPr>
        <w:spacing w:after="0" w:line="240" w:lineRule="auto"/>
      </w:pPr>
      <w:r>
        <w:separator/>
      </w:r>
    </w:p>
  </w:footnote>
  <w:footnote w:type="continuationSeparator" w:id="0">
    <w:p w14:paraId="789ADC60" w14:textId="77777777" w:rsidR="00697256" w:rsidRDefault="00697256" w:rsidP="001069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398"/>
    <w:rsid w:val="00097FBC"/>
    <w:rsid w:val="000B6591"/>
    <w:rsid w:val="000E7BE2"/>
    <w:rsid w:val="00101595"/>
    <w:rsid w:val="00106972"/>
    <w:rsid w:val="0011778E"/>
    <w:rsid w:val="001250B6"/>
    <w:rsid w:val="00170EB7"/>
    <w:rsid w:val="001745CD"/>
    <w:rsid w:val="00187A71"/>
    <w:rsid w:val="001B20E5"/>
    <w:rsid w:val="001E2555"/>
    <w:rsid w:val="00220CD3"/>
    <w:rsid w:val="002325EF"/>
    <w:rsid w:val="002461E7"/>
    <w:rsid w:val="002470A9"/>
    <w:rsid w:val="002577F2"/>
    <w:rsid w:val="002B798A"/>
    <w:rsid w:val="002D389B"/>
    <w:rsid w:val="002E5C2D"/>
    <w:rsid w:val="0034308A"/>
    <w:rsid w:val="003513A7"/>
    <w:rsid w:val="003B4807"/>
    <w:rsid w:val="003C36E3"/>
    <w:rsid w:val="003C5BE8"/>
    <w:rsid w:val="003D1E52"/>
    <w:rsid w:val="00427A48"/>
    <w:rsid w:val="004435FD"/>
    <w:rsid w:val="00453612"/>
    <w:rsid w:val="00453A1E"/>
    <w:rsid w:val="00473413"/>
    <w:rsid w:val="00483868"/>
    <w:rsid w:val="004D06E9"/>
    <w:rsid w:val="004D249E"/>
    <w:rsid w:val="00543C15"/>
    <w:rsid w:val="0055740D"/>
    <w:rsid w:val="00561731"/>
    <w:rsid w:val="005E1266"/>
    <w:rsid w:val="005F3231"/>
    <w:rsid w:val="00665AB0"/>
    <w:rsid w:val="00677E36"/>
    <w:rsid w:val="00697256"/>
    <w:rsid w:val="006A0F3A"/>
    <w:rsid w:val="006A7196"/>
    <w:rsid w:val="006A76E7"/>
    <w:rsid w:val="006F1137"/>
    <w:rsid w:val="007452D7"/>
    <w:rsid w:val="00775887"/>
    <w:rsid w:val="007A2F76"/>
    <w:rsid w:val="007C2046"/>
    <w:rsid w:val="007D71C5"/>
    <w:rsid w:val="00805C9B"/>
    <w:rsid w:val="008207ED"/>
    <w:rsid w:val="008A3F75"/>
    <w:rsid w:val="00925746"/>
    <w:rsid w:val="00926E63"/>
    <w:rsid w:val="00932CCF"/>
    <w:rsid w:val="00993DC8"/>
    <w:rsid w:val="0099706C"/>
    <w:rsid w:val="009C770D"/>
    <w:rsid w:val="00A24356"/>
    <w:rsid w:val="00AA14D2"/>
    <w:rsid w:val="00AA239A"/>
    <w:rsid w:val="00AD1EA3"/>
    <w:rsid w:val="00B4316F"/>
    <w:rsid w:val="00B60F56"/>
    <w:rsid w:val="00BB1398"/>
    <w:rsid w:val="00BB400B"/>
    <w:rsid w:val="00BB562F"/>
    <w:rsid w:val="00C053C4"/>
    <w:rsid w:val="00C079E7"/>
    <w:rsid w:val="00C22712"/>
    <w:rsid w:val="00C6528C"/>
    <w:rsid w:val="00C94696"/>
    <w:rsid w:val="00CA0D98"/>
    <w:rsid w:val="00CF6430"/>
    <w:rsid w:val="00D0283C"/>
    <w:rsid w:val="00DB5456"/>
    <w:rsid w:val="00DB68F0"/>
    <w:rsid w:val="00E1687D"/>
    <w:rsid w:val="00E41E9B"/>
    <w:rsid w:val="00E81C17"/>
    <w:rsid w:val="00EB67B8"/>
    <w:rsid w:val="00EC407B"/>
    <w:rsid w:val="00EC4B51"/>
    <w:rsid w:val="00EF7319"/>
    <w:rsid w:val="00F76C0A"/>
    <w:rsid w:val="00F847D5"/>
    <w:rsid w:val="00FE7DA2"/>
    <w:rsid w:val="00FF052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93BBE"/>
  <w15:chartTrackingRefBased/>
  <w15:docId w15:val="{2085D8F2-A0BD-4C92-A463-4E7EB67E0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BB1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BB1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BB1398"/>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BB1398"/>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BB1398"/>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BB1398"/>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BB1398"/>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BB1398"/>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BB1398"/>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BB1398"/>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BB1398"/>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BB1398"/>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BB1398"/>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BB1398"/>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BB1398"/>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BB1398"/>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BB1398"/>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BB1398"/>
    <w:rPr>
      <w:rFonts w:eastAsiaTheme="majorEastAsia" w:cstheme="majorBidi"/>
      <w:color w:val="272727" w:themeColor="text1" w:themeTint="D8"/>
    </w:rPr>
  </w:style>
  <w:style w:type="paragraph" w:styleId="Titolo">
    <w:name w:val="Title"/>
    <w:basedOn w:val="Normale"/>
    <w:next w:val="Normale"/>
    <w:link w:val="TitoloCarattere"/>
    <w:uiPriority w:val="10"/>
    <w:qFormat/>
    <w:rsid w:val="00BB1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BB1398"/>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BB1398"/>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BB1398"/>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BB1398"/>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BB1398"/>
    <w:rPr>
      <w:i/>
      <w:iCs/>
      <w:color w:val="404040" w:themeColor="text1" w:themeTint="BF"/>
    </w:rPr>
  </w:style>
  <w:style w:type="paragraph" w:styleId="Paragrafoelenco">
    <w:name w:val="List Paragraph"/>
    <w:basedOn w:val="Normale"/>
    <w:uiPriority w:val="34"/>
    <w:qFormat/>
    <w:rsid w:val="00BB1398"/>
    <w:pPr>
      <w:ind w:left="720"/>
      <w:contextualSpacing/>
    </w:pPr>
  </w:style>
  <w:style w:type="character" w:styleId="Enfasiintensa">
    <w:name w:val="Intense Emphasis"/>
    <w:basedOn w:val="Carpredefinitoparagrafo"/>
    <w:uiPriority w:val="21"/>
    <w:qFormat/>
    <w:rsid w:val="00BB1398"/>
    <w:rPr>
      <w:i/>
      <w:iCs/>
      <w:color w:val="0F4761" w:themeColor="accent1" w:themeShade="BF"/>
    </w:rPr>
  </w:style>
  <w:style w:type="paragraph" w:styleId="Citazioneintensa">
    <w:name w:val="Intense Quote"/>
    <w:basedOn w:val="Normale"/>
    <w:next w:val="Normale"/>
    <w:link w:val="CitazioneintensaCarattere"/>
    <w:uiPriority w:val="30"/>
    <w:qFormat/>
    <w:rsid w:val="00BB1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BB1398"/>
    <w:rPr>
      <w:i/>
      <w:iCs/>
      <w:color w:val="0F4761" w:themeColor="accent1" w:themeShade="BF"/>
    </w:rPr>
  </w:style>
  <w:style w:type="character" w:styleId="Riferimentointenso">
    <w:name w:val="Intense Reference"/>
    <w:basedOn w:val="Carpredefinitoparagrafo"/>
    <w:uiPriority w:val="32"/>
    <w:qFormat/>
    <w:rsid w:val="00BB1398"/>
    <w:rPr>
      <w:b/>
      <w:bCs/>
      <w:smallCaps/>
      <w:color w:val="0F4761" w:themeColor="accent1" w:themeShade="BF"/>
      <w:spacing w:val="5"/>
    </w:rPr>
  </w:style>
  <w:style w:type="paragraph" w:styleId="Intestazione">
    <w:name w:val="header"/>
    <w:basedOn w:val="Normale"/>
    <w:link w:val="IntestazioneCarattere"/>
    <w:uiPriority w:val="99"/>
    <w:unhideWhenUsed/>
    <w:rsid w:val="0010697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06972"/>
  </w:style>
  <w:style w:type="paragraph" w:styleId="Pidipagina">
    <w:name w:val="footer"/>
    <w:basedOn w:val="Normale"/>
    <w:link w:val="PidipaginaCarattere"/>
    <w:uiPriority w:val="99"/>
    <w:unhideWhenUsed/>
    <w:rsid w:val="0010697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06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5c7afc1b834fe55a8db0411beb1fe861">
  <xsd:schema xmlns:xsd="http://www.w3.org/2001/XMLSchema" xmlns:xs="http://www.w3.org/2001/XMLSchema" xmlns:p="http://schemas.microsoft.com/office/2006/metadata/properties" xmlns:ns3="16ed1538-4377-4da7-81fa-9a477e54b5f1" targetNamespace="http://schemas.microsoft.com/office/2006/metadata/properties" ma:root="true" ma:fieldsID="d78014939adb8c559c50a18ca8c9cb92"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Props1.xml><?xml version="1.0" encoding="utf-8"?>
<ds:datastoreItem xmlns:ds="http://schemas.openxmlformats.org/officeDocument/2006/customXml" ds:itemID="{A141A19D-2E7C-419E-AC01-C64CFAA49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12A19E-A58D-49FC-893C-9A9FBA2149EB}">
  <ds:schemaRefs>
    <ds:schemaRef ds:uri="http://schemas.microsoft.com/sharepoint/v3/contenttype/forms"/>
  </ds:schemaRefs>
</ds:datastoreItem>
</file>

<file path=customXml/itemProps3.xml><?xml version="1.0" encoding="utf-8"?>
<ds:datastoreItem xmlns:ds="http://schemas.openxmlformats.org/officeDocument/2006/customXml" ds:itemID="{2F0B8CAE-EB90-42B4-945B-08BD85277C6C}">
  <ds:schemaRefs>
    <ds:schemaRef ds:uri="http://schemas.microsoft.com/office/2006/metadata/properties"/>
    <ds:schemaRef ds:uri="http://schemas.microsoft.com/office/infopath/2007/PartnerControls"/>
    <ds:schemaRef ds:uri="16ed1538-4377-4da7-81fa-9a477e54b5f1"/>
  </ds:schemaRefs>
</ds:datastoreItem>
</file>

<file path=docProps/app.xml><?xml version="1.0" encoding="utf-8"?>
<Properties xmlns="http://schemas.openxmlformats.org/officeDocument/2006/extended-properties" xmlns:vt="http://schemas.openxmlformats.org/officeDocument/2006/docPropsVTypes">
  <Template>Normal</Template>
  <TotalTime>7995</TotalTime>
  <Pages>13</Pages>
  <Words>2565</Words>
  <Characters>16316</Characters>
  <Application>Microsoft Office Word</Application>
  <DocSecurity>0</DocSecurity>
  <Lines>397</Lines>
  <Paragraphs>101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Marcela Bakos (2325464)</dc:creator>
  <cp:keywords/>
  <dc:description/>
  <cp:lastModifiedBy>Mihaela Marcela Bakos (2325464)</cp:lastModifiedBy>
  <cp:revision>76</cp:revision>
  <dcterms:created xsi:type="dcterms:W3CDTF">2026-03-20T14:25:00Z</dcterms:created>
  <dcterms:modified xsi:type="dcterms:W3CDTF">2026-04-15T08:57:00Z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