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F21F16" w14:textId="0FEA5683" w:rsidR="005D5995" w:rsidRDefault="005D5995" w:rsidP="005D5995">
      <w:r>
        <w:t>I</w:t>
      </w:r>
      <w:r w:rsidRPr="005D5995">
        <w:t>ntroduction</w:t>
      </w:r>
      <w:r w:rsidRPr="005D5995">
        <w:t xml:space="preserve"> </w:t>
      </w:r>
    </w:p>
    <w:p w14:paraId="6EB3929C" w14:textId="5D751D4E" w:rsidR="005D5995" w:rsidRPr="005D5995" w:rsidRDefault="005D5995" w:rsidP="005D5995">
      <w:r w:rsidRPr="005D5995">
        <w:t>The proposed project focuses on the development of a vibrant and interactive school garden for 7–11-year-old learners, integrating the cultivation of vegetables, herbs, and flowers into the curriculum. The central objective is to create a cross-curricular, hands-on learning environment embedded in science, literacy, numeracy, expressive arts, humanities, and personal, social, and health education (PSHE). This concept was inspired by my teaching placement experience, where I observed firsthand how gardening projects engage pupils in meaningful, active learning that supports their overall development. In the current climate of curriculum reform and rising mental health concerns among children, outdoor learning projects offer an effective strategy to support wellbeing, enhance academic understanding, and foster a deeper connection to nature and local culture.</w:t>
      </w:r>
    </w:p>
    <w:p w14:paraId="7A0C6AA5" w14:textId="77777777" w:rsidR="005D5995" w:rsidRPr="005D5995" w:rsidRDefault="005D5995" w:rsidP="005D5995">
      <w:r w:rsidRPr="005D5995">
        <w:t>As a Key Stage 2 practitioner, I have consistently found that learning in an outdoor environment increases student engagement and motivation, particularly for those who find traditional classroom settings challenging. Waite (2011) affirms that outdoor learning cultivates collaboration, independent thinking, and real-world problem-solving skills in primary-aged learners. This proposal draws on my professional experiences, relevant research, and contextual factors such as the linguistic, cultural, and ecological characteristics of West Wales. It considers the strong agricultural heritage of the region and aims to create a sustainable, inclusive outdoor classroom that supports wellbeing, ecological literacy, and community connections.</w:t>
      </w:r>
    </w:p>
    <w:p w14:paraId="4964456F" w14:textId="77777777" w:rsidR="005D5995" w:rsidRPr="005D5995" w:rsidRDefault="005D5995" w:rsidP="005D5995">
      <w:r w:rsidRPr="005D5995">
        <w:t>Gardening not only promotes responsibility and patience but has also been shown to improve emotional regulation and mental health. This is particularly beneficial for children experiencing social, emotional, or behavioural challenges. According to Passy (2014), engaging with nature through gardening leads to improved focus, reduced anxiety, and increased emotional wellbeing in young learners. The purpose of this essay is to provide a robust justification for selecting gardening as a curriculum focus, supported by current academic research and practical classroom insights. The project proposal also outlines a comprehensive plan for implementation and impact evaluation.</w:t>
      </w:r>
    </w:p>
    <w:p w14:paraId="695C98E5" w14:textId="77777777" w:rsidR="005D5995" w:rsidRDefault="005D5995" w:rsidP="005D5995">
      <w:r w:rsidRPr="005D5995">
        <w:t>Literature Review</w:t>
      </w:r>
    </w:p>
    <w:p w14:paraId="26C89927" w14:textId="139F8276" w:rsidR="005D5995" w:rsidRPr="005D5995" w:rsidRDefault="005D5995" w:rsidP="005D5995">
      <w:r w:rsidRPr="005D5995">
        <w:t xml:space="preserve"> Experiential learning theory underpins many educational garden initiatives. Kolb (1984) emphasised that knowledge is created through active participation and reflection, which aligns with practical gardening tasks such as planting, composting, and tracking plant growth. </w:t>
      </w:r>
      <w:proofErr w:type="spellStart"/>
      <w:r w:rsidRPr="005D5995">
        <w:t>Beames</w:t>
      </w:r>
      <w:proofErr w:type="spellEnd"/>
      <w:r w:rsidRPr="005D5995">
        <w:t>, Higgins, and Nicol (2012) highlight that outdoor learning strengthens conceptual understanding and encourages independence and intrinsic motivation among primary learners. This aligns with the four purposes of the Curriculum for Wales, which promotes the development of ambitious, capable learners; enterprising, creative contributors; ethical, informed citizens; and healthy, confident individuals (Welsh Government, 2023).</w:t>
      </w:r>
    </w:p>
    <w:p w14:paraId="78A8413C" w14:textId="77777777" w:rsidR="005D5995" w:rsidRPr="005D5995" w:rsidRDefault="005D5995" w:rsidP="005D5995">
      <w:r w:rsidRPr="005D5995">
        <w:t xml:space="preserve">Marchant et al. (2019) demonstrated how gardening contributes to these four purposes. For instance, gardening encourages learners to adopt healthy lifestyles through physical activity and better dietary choices while fostering empathy and environmental responsibility. Children who grow their own food are more likely to try new fruits and vegetables and gain a deeper understanding of where their food comes from. These habits, in turn, contribute to improved academic performance and wellbeing. As a </w:t>
      </w:r>
      <w:r w:rsidRPr="005D5995">
        <w:lastRenderedPageBreak/>
        <w:t>future educator, placing pupil wellbeing at the centre of practice is crucial, and gardening offers a powerful, integrated approach to health and education.</w:t>
      </w:r>
    </w:p>
    <w:p w14:paraId="69DB935B" w14:textId="77777777" w:rsidR="005D5995" w:rsidRPr="005D5995" w:rsidRDefault="005D5995" w:rsidP="005D5995">
      <w:proofErr w:type="spellStart"/>
      <w:r w:rsidRPr="005D5995">
        <w:t>Grufford</w:t>
      </w:r>
      <w:proofErr w:type="spellEnd"/>
      <w:r w:rsidRPr="005D5995">
        <w:t xml:space="preserve"> (2018) explored the significance of incorporating local culture into environmental education. The garden project will reflect seasonal changes and local traditions, allowing learners to develop emotional connections to the landscape. Learners will observe life cycles, track seasonal changes, and study native plants and pollinators. These activities reinforce biological science concepts while embedding a sense of place and belonging. A secondary aim is to foster meaningful community engagement by inviting families and local farmers to share their expertise, creating intergenerational learning opportunities.</w:t>
      </w:r>
    </w:p>
    <w:p w14:paraId="27B0EDF1" w14:textId="77777777" w:rsidR="005D5995" w:rsidRPr="005D5995" w:rsidRDefault="005D5995" w:rsidP="005D5995">
      <w:r w:rsidRPr="005D5995">
        <w:t>Putnam’s (2000) theory of social capital supports the idea that strong community networks promote youth development and civic engagement. In rural areas such as Ceredigion, where socio-economic disadvantage and geographic isolation are prevalent (Welsh Government, 2020), school-based community initiatives are especially valuable. A school garden can stimulate curiosity about local traditions, support sustainability, and increase pride in place. Estyn (2020) highlights the importance of contextualised learning experiences that respond to community needs and strengths. In this context, the proposed school garden supports inclusive, community-led educational innovation.</w:t>
      </w:r>
    </w:p>
    <w:p w14:paraId="49A4EEE6" w14:textId="77777777" w:rsidR="005D5995" w:rsidRPr="005D5995" w:rsidRDefault="005D5995" w:rsidP="005D5995">
      <w:r w:rsidRPr="005D5995">
        <w:t xml:space="preserve">The Well-being of Future Generations (Wales) Act (2015) supports inclusive, sustainable, and cohesive learning environments. Similarly, the Welsh Assembly Government (2006) advocates for a whole-school approach to wellbeing. Gardening, by its very nature, supports physical health, emotional balance, and social cooperation. </w:t>
      </w:r>
      <w:proofErr w:type="spellStart"/>
      <w:r w:rsidRPr="005D5995">
        <w:t>Rickinson</w:t>
      </w:r>
      <w:proofErr w:type="spellEnd"/>
      <w:r w:rsidRPr="005D5995">
        <w:t xml:space="preserve"> et al. (2004) found that outdoor education significantly improves learner engagement and comprehension. Sobel (2005) emphasised the value of place-based education, arguing that learning rooted in local environments fosters deeper meaning and relevance for children.</w:t>
      </w:r>
    </w:p>
    <w:p w14:paraId="576DB7CF" w14:textId="77777777" w:rsidR="005D5995" w:rsidRPr="005D5995" w:rsidRDefault="005D5995" w:rsidP="005D5995">
      <w:r w:rsidRPr="005D5995">
        <w:t xml:space="preserve">Importantly, gardening is inclusive of pupils with additional learning needs and neurodivergence. Robinson and </w:t>
      </w:r>
      <w:proofErr w:type="spellStart"/>
      <w:r w:rsidRPr="005D5995">
        <w:t>Aronica</w:t>
      </w:r>
      <w:proofErr w:type="spellEnd"/>
      <w:r w:rsidRPr="005D5995">
        <w:t xml:space="preserve"> (2015) highlighted that sensory-rich activities like gardening can help improve attention span, emotional regulation, and cooperation. This is especially relevant for pupils who experience overstimulation or benefit from structured, predictable routines. A garden can be a calming, therapeutic space that accommodates varied learning styles, providing opportunities for kinaesthetic and visual learning. Gardening also supports social-emotional learning, as pupils must collaborate, resolve problems, and celebrate successes together.</w:t>
      </w:r>
    </w:p>
    <w:p w14:paraId="27315A44" w14:textId="77777777" w:rsidR="005D5995" w:rsidRPr="005D5995" w:rsidRDefault="005D5995" w:rsidP="005D5995">
      <w:r w:rsidRPr="005D5995">
        <w:t>Implementation Plan The implementation of the school garden project will take place over the course of three academic terms and follow a phased, collaborative approach. During Term 1, the planning phase will involve site selection, soil testing, and the co-design of garden features with pupils. Engaging students in the design process fosters ownership and enthusiasm, a strategy supported by Waite (2011). Pupils will conduct site surveys, research local plant species, and use drawings and models to present their ideas. Staff and community volunteers will support logistical aspects such as fencing, raised beds, and path construction.</w:t>
      </w:r>
    </w:p>
    <w:p w14:paraId="2B60A2EB" w14:textId="77777777" w:rsidR="005D5995" w:rsidRPr="005D5995" w:rsidRDefault="005D5995" w:rsidP="005D5995">
      <w:r w:rsidRPr="005D5995">
        <w:t xml:space="preserve">Term 2 will focus on planting and structured integration of gardening into the curriculum. Each year group will be allocated specific garden plots and linked topics. Science lessons will cover plant anatomy, life cycles, ecosystems, and climate impacts. Literacy tasks will include plant journals, persuasive writing for funding proposals, and storytelling based on nature experiences. Numeracy lessons will involve </w:t>
      </w:r>
      <w:r w:rsidRPr="005D5995">
        <w:lastRenderedPageBreak/>
        <w:t>measurements, graphing plant growth, estimating yields, and calculating costs. Garden logs, digital photography, and video documentation will serve as both learning tools and assessment evidence.</w:t>
      </w:r>
    </w:p>
    <w:p w14:paraId="3556DE66" w14:textId="77777777" w:rsidR="005D5995" w:rsidRPr="005D5995" w:rsidRDefault="005D5995" w:rsidP="005D5995">
      <w:r w:rsidRPr="005D5995">
        <w:t>Term 3 will culminate in a harvest celebration, reflecting and showcasing learning through school open days, exhibitions, and community feasts using garden produce. These events will promote community cohesion and provide authentic audiences for pupils' work. There will also be peer mentoring between older and younger pupils to reinforce learning and support leadership skills.</w:t>
      </w:r>
    </w:p>
    <w:p w14:paraId="609EBE67" w14:textId="77777777" w:rsidR="005D5995" w:rsidRPr="005D5995" w:rsidRDefault="005D5995" w:rsidP="005D5995">
      <w:r w:rsidRPr="005D5995">
        <w:t>Resources needed include gardening tools, compost, seeds, gloves, watering cans, and raised beds. These can be sourced through school funds, environmental education grants, local business sponsorship, and community donations. Staff development workshops will ensure that educators are confident in embedding outdoor learning into their planning and practice. Harris et al. (2010) found that staff training is essential for the sustainability and success of garden-based initiatives.</w:t>
      </w:r>
    </w:p>
    <w:p w14:paraId="44FB5CF8" w14:textId="77777777" w:rsidR="005D5995" w:rsidRPr="005D5995" w:rsidRDefault="005D5995" w:rsidP="005D5995">
      <w:r w:rsidRPr="005D5995">
        <w:t>Curriculum Links This school garden project is designed to align with the six Areas of Learning and Experience (</w:t>
      </w:r>
      <w:proofErr w:type="spellStart"/>
      <w:r w:rsidRPr="005D5995">
        <w:t>AoLE</w:t>
      </w:r>
      <w:proofErr w:type="spellEnd"/>
      <w:r w:rsidRPr="005D5995">
        <w:t>) identified in the Curriculum for Wales. In Science and Technology, learners will study germination, photosynthesis, weather patterns, sustainability, and biodiversity. They will conduct simple investigations, make predictions, and analyse changes in plant development. In Health and Wellbeing, pupils will learn about the benefits of physical activity, mental health, and the importance of a balanced diet. Discussions will include food provenance, food waste, and hygiene.</w:t>
      </w:r>
    </w:p>
    <w:p w14:paraId="7A2A70FB" w14:textId="77777777" w:rsidR="005D5995" w:rsidRPr="005D5995" w:rsidRDefault="005D5995" w:rsidP="005D5995">
      <w:r w:rsidRPr="005D5995">
        <w:t xml:space="preserve">The Languages, Literacy, and Communication </w:t>
      </w:r>
      <w:proofErr w:type="spellStart"/>
      <w:r w:rsidRPr="005D5995">
        <w:t>AoLE</w:t>
      </w:r>
      <w:proofErr w:type="spellEnd"/>
      <w:r w:rsidRPr="005D5995">
        <w:t xml:space="preserve"> will be addressed through a variety of reading and writing activities including planting instructions, diaries, nonfiction reports, creative narratives, and bilingual vocabulary development. Pupils will engage in oral presentations and collaborative discussions. Mathematics and Numeracy will be applied through practical measurement, data handling, and budgeting tasks. Pupils will work on perimeter and area, recording growth in centimetres, estimating harvest weights, and tracking expenditures.</w:t>
      </w:r>
    </w:p>
    <w:p w14:paraId="493D33AF" w14:textId="77777777" w:rsidR="005D5995" w:rsidRPr="005D5995" w:rsidRDefault="005D5995" w:rsidP="005D5995">
      <w:r w:rsidRPr="005D5995">
        <w:t>Expressive Arts will be integrated through observational drawing, leaf printing, botanical illustrations, and sculpture using natural materials. Learners may also choreograph dance inspired by seasonal changes or compose poems about the sensory experience of gardening. Humanities links include the study of Welsh agricultural traditions, food production, weather systems, and the impact of climate change. Pupils will also explore the ethical and cultural dimensions of land use and sustainability.</w:t>
      </w:r>
    </w:p>
    <w:p w14:paraId="4BF4ACFF" w14:textId="77777777" w:rsidR="005D5995" w:rsidRPr="005D5995" w:rsidRDefault="005D5995" w:rsidP="005D5995">
      <w:r w:rsidRPr="005D5995">
        <w:t>Inclusivity and Accessibility The project has been carefully designed to ensure access and participation for all learners, regardless of ability or background. Adopting universal design principles, the garden will include raised beds for wheelchair users, wide pathways for accessibility, and shaded seating for those needing rest or sensory breaks. Visual aids such as pictorial instructions, colour-coded tools, and step-by-step task lists will support learners with communication difficulties.</w:t>
      </w:r>
    </w:p>
    <w:p w14:paraId="049D861C" w14:textId="77777777" w:rsidR="005D5995" w:rsidRPr="005D5995" w:rsidRDefault="005D5995" w:rsidP="005D5995">
      <w:r w:rsidRPr="005D5995">
        <w:t xml:space="preserve">Activities will be differentiated to include sensory experiences, structured routines, and options for collaborative or independent work. Pupils with additional learning needs will be offered personalised support plans to ensure success. For neurodiverse children, the predictable rhythm of gardening and exposure to nature has been shown to reduce stress and support concentration (Robinson &amp; </w:t>
      </w:r>
      <w:proofErr w:type="spellStart"/>
      <w:r w:rsidRPr="005D5995">
        <w:t>Aronica</w:t>
      </w:r>
      <w:proofErr w:type="spellEnd"/>
      <w:r w:rsidRPr="005D5995">
        <w:t xml:space="preserve">, 2015). Pupil voice will be a key component, with regular class councils and feedback sessions shaping the direction of </w:t>
      </w:r>
      <w:r w:rsidRPr="005D5995">
        <w:lastRenderedPageBreak/>
        <w:t>activities. Learners will vote on crops to grow, take responsibility for specific tasks, and reflect on their own contributions to the project.</w:t>
      </w:r>
    </w:p>
    <w:p w14:paraId="2A2EA0FD" w14:textId="77777777" w:rsidR="005D5995" w:rsidRPr="005D5995" w:rsidRDefault="005D5995" w:rsidP="005D5995">
      <w:r w:rsidRPr="005D5995">
        <w:t>Evaluation To assess the impact and success of the garden project, a rigorous and holistic evaluation framework will be used. Both formative and summative assessment methods will be employed to capture learning outcomes, behavioural changes, and community engagement. Baseline data will be collected at the project outset through pupil questionnaires, teacher interviews, and wellbeing assessments. These will be repeated at key milestones to measure change.</w:t>
      </w:r>
    </w:p>
    <w:p w14:paraId="59E2C1F5" w14:textId="77777777" w:rsidR="005D5995" w:rsidRPr="005D5995" w:rsidRDefault="005D5995" w:rsidP="005D5995">
      <w:r w:rsidRPr="005D5995">
        <w:t>Pupils will complete reflective journals, plant growth charts, and photo diaries to document their learning journeys. Teachers will keep weekly logs detailing engagement, social interactions, and emerging skills. These will be triangulated with work samples, observations, and checklists aligned with curriculum objectives. Digital portfolios will include videos, voice notes, and annotated photographs, ensuring accessibility for all learners.</w:t>
      </w:r>
    </w:p>
    <w:p w14:paraId="6B37A8BF" w14:textId="77777777" w:rsidR="005D5995" w:rsidRPr="005D5995" w:rsidRDefault="005D5995" w:rsidP="005D5995">
      <w:r w:rsidRPr="005D5995">
        <w:t>Focus groups will be conducted with pupils, staff, and parents to explore perceptions of impact and gather suggestions for improvement. Community engagement will be evaluated through attendance at open days, volunteer hours, and partnership records. Social media updates and school newsletters will track project milestones and community responses. The data collected will inform annual reviews, ensuring the project evolves in response to stakeholder feedback.</w:t>
      </w:r>
    </w:p>
    <w:p w14:paraId="515191EF" w14:textId="7BF93EFE" w:rsidR="005D5995" w:rsidRPr="005D5995" w:rsidRDefault="005D5995" w:rsidP="005D5995">
      <w:r w:rsidRPr="005D5995">
        <w:t xml:space="preserve">SWOT Analysis A SWOT analysis offers insight into the project’s feasibility and </w:t>
      </w:r>
      <w:r w:rsidRPr="005D5995">
        <w:t>prospects</w:t>
      </w:r>
      <w:r w:rsidRPr="005D5995">
        <w:t>:</w:t>
      </w:r>
    </w:p>
    <w:p w14:paraId="4158630D" w14:textId="77777777" w:rsidR="005D5995" w:rsidRPr="005D5995" w:rsidRDefault="005D5995" w:rsidP="005D5995">
      <w:r w:rsidRPr="005D5995">
        <w:t>Strengths:</w:t>
      </w:r>
    </w:p>
    <w:p w14:paraId="76DCD2C5" w14:textId="77777777" w:rsidR="005D5995" w:rsidRPr="005D5995" w:rsidRDefault="005D5995" w:rsidP="005D5995">
      <w:pPr>
        <w:numPr>
          <w:ilvl w:val="0"/>
          <w:numId w:val="1"/>
        </w:numPr>
      </w:pPr>
      <w:r w:rsidRPr="005D5995">
        <w:t>Strong alignment with educational policy, including the Curriculum for Wales and Well-being of Future Generations Act.</w:t>
      </w:r>
    </w:p>
    <w:p w14:paraId="108EC2BC" w14:textId="77777777" w:rsidR="005D5995" w:rsidRPr="005D5995" w:rsidRDefault="005D5995" w:rsidP="005D5995">
      <w:pPr>
        <w:numPr>
          <w:ilvl w:val="0"/>
          <w:numId w:val="1"/>
        </w:numPr>
      </w:pPr>
      <w:r w:rsidRPr="005D5995">
        <w:t>Demonstrated benefits for engagement, health, and cross-curricular learning.</w:t>
      </w:r>
    </w:p>
    <w:p w14:paraId="4FD160D1" w14:textId="77777777" w:rsidR="005D5995" w:rsidRPr="005D5995" w:rsidRDefault="005D5995" w:rsidP="005D5995">
      <w:pPr>
        <w:numPr>
          <w:ilvl w:val="0"/>
          <w:numId w:val="1"/>
        </w:numPr>
      </w:pPr>
      <w:r w:rsidRPr="005D5995">
        <w:t>Inclusive design with differentiated activities for all learners.</w:t>
      </w:r>
    </w:p>
    <w:p w14:paraId="2E7C0672" w14:textId="77777777" w:rsidR="005D5995" w:rsidRPr="005D5995" w:rsidRDefault="005D5995" w:rsidP="005D5995">
      <w:r w:rsidRPr="005D5995">
        <w:t>Weaknesses:</w:t>
      </w:r>
    </w:p>
    <w:p w14:paraId="6710190E" w14:textId="77777777" w:rsidR="005D5995" w:rsidRPr="005D5995" w:rsidRDefault="005D5995" w:rsidP="005D5995">
      <w:pPr>
        <w:numPr>
          <w:ilvl w:val="0"/>
          <w:numId w:val="2"/>
        </w:numPr>
      </w:pPr>
      <w:r w:rsidRPr="005D5995">
        <w:t>Initial funding and ongoing maintenance costs.</w:t>
      </w:r>
    </w:p>
    <w:p w14:paraId="6F9E1F86" w14:textId="77777777" w:rsidR="005D5995" w:rsidRPr="005D5995" w:rsidRDefault="005D5995" w:rsidP="005D5995">
      <w:pPr>
        <w:numPr>
          <w:ilvl w:val="0"/>
          <w:numId w:val="2"/>
        </w:numPr>
      </w:pPr>
      <w:r w:rsidRPr="005D5995">
        <w:t>Time and workload pressures for staff, particularly in the first year.</w:t>
      </w:r>
    </w:p>
    <w:p w14:paraId="202C5809" w14:textId="77777777" w:rsidR="005D5995" w:rsidRPr="005D5995" w:rsidRDefault="005D5995" w:rsidP="005D5995">
      <w:r w:rsidRPr="005D5995">
        <w:t>Opportunities:</w:t>
      </w:r>
    </w:p>
    <w:p w14:paraId="603A0A97" w14:textId="77777777" w:rsidR="005D5995" w:rsidRPr="005D5995" w:rsidRDefault="005D5995" w:rsidP="005D5995">
      <w:pPr>
        <w:numPr>
          <w:ilvl w:val="0"/>
          <w:numId w:val="3"/>
        </w:numPr>
      </w:pPr>
      <w:r w:rsidRPr="005D5995">
        <w:t>Potential for external funding and partnerships with local businesses, farms, and organisations.</w:t>
      </w:r>
    </w:p>
    <w:p w14:paraId="2DB51AF9" w14:textId="77777777" w:rsidR="005D5995" w:rsidRPr="005D5995" w:rsidRDefault="005D5995" w:rsidP="005D5995">
      <w:pPr>
        <w:numPr>
          <w:ilvl w:val="0"/>
          <w:numId w:val="3"/>
        </w:numPr>
      </w:pPr>
      <w:r w:rsidRPr="005D5995">
        <w:t>Capacity to expand into wider sustainability education, including composting and rainwater harvesting.</w:t>
      </w:r>
    </w:p>
    <w:p w14:paraId="17D88D50" w14:textId="77777777" w:rsidR="005D5995" w:rsidRPr="005D5995" w:rsidRDefault="005D5995" w:rsidP="005D5995">
      <w:pPr>
        <w:numPr>
          <w:ilvl w:val="0"/>
          <w:numId w:val="3"/>
        </w:numPr>
      </w:pPr>
      <w:r w:rsidRPr="005D5995">
        <w:t>Opportunity to model best practices for outdoor learning across the region.</w:t>
      </w:r>
    </w:p>
    <w:p w14:paraId="69B1FB25" w14:textId="77777777" w:rsidR="005D5995" w:rsidRPr="005D5995" w:rsidRDefault="005D5995" w:rsidP="005D5995">
      <w:r w:rsidRPr="005D5995">
        <w:t>Threats:</w:t>
      </w:r>
    </w:p>
    <w:p w14:paraId="6BFCA669" w14:textId="77777777" w:rsidR="005D5995" w:rsidRPr="005D5995" w:rsidRDefault="005D5995" w:rsidP="005D5995">
      <w:pPr>
        <w:numPr>
          <w:ilvl w:val="0"/>
          <w:numId w:val="4"/>
        </w:numPr>
      </w:pPr>
      <w:r w:rsidRPr="005D5995">
        <w:t>Vulnerability to environmental factors such as drought, pests, or extreme weather.</w:t>
      </w:r>
    </w:p>
    <w:p w14:paraId="56890088" w14:textId="77777777" w:rsidR="005D5995" w:rsidRDefault="005D5995" w:rsidP="005D5995">
      <w:pPr>
        <w:numPr>
          <w:ilvl w:val="0"/>
          <w:numId w:val="4"/>
        </w:numPr>
      </w:pPr>
      <w:r w:rsidRPr="005D5995">
        <w:t>Risk of reduced momentum without sustained community and staff engagement.</w:t>
      </w:r>
    </w:p>
    <w:p w14:paraId="2DF0A7B8" w14:textId="77777777" w:rsidR="005D5995" w:rsidRPr="005D5995" w:rsidRDefault="005D5995" w:rsidP="005D5995">
      <w:pPr>
        <w:ind w:left="360"/>
      </w:pPr>
    </w:p>
    <w:p w14:paraId="60E63AF2" w14:textId="77777777" w:rsidR="005D5995" w:rsidRPr="005D5995" w:rsidRDefault="005D5995" w:rsidP="005D5995">
      <w:r w:rsidRPr="005D5995">
        <w:t xml:space="preserve">Conclusion The school garden project provides a culturally grounded, inclusive, and educationally dynamic opportunity for learners in West Wales. It is deeply aligned with the values of the Curriculum for Wales and responds to the holistic goals of the Well-being of Future Generations Act. By embedding experiential learning in everyday </w:t>
      </w:r>
      <w:r w:rsidRPr="005D5995">
        <w:lastRenderedPageBreak/>
        <w:t>teaching, this project fosters ecological literacy, personal development, and strong community ties.</w:t>
      </w:r>
    </w:p>
    <w:p w14:paraId="7B703213" w14:textId="77777777" w:rsidR="005D5995" w:rsidRPr="005D5995" w:rsidRDefault="005D5995" w:rsidP="005D5995">
      <w:r w:rsidRPr="005D5995">
        <w:t>Through its emphasis on pupil voice, curriculum integration, and inclusive design, the garden project has the potential to transform how learners connect with nature, their community, and their own learning processes. The structured implementation plan and robust evaluation framework ensure the project is both sustainable and impactful. In a time of educational and environmental urgency, investing in school gardens is a timely and meaningful way to nurture healthier, more engaged, and future-ready learners.</w:t>
      </w:r>
    </w:p>
    <w:p w14:paraId="7504E72B" w14:textId="77777777" w:rsidR="00C508D1" w:rsidRDefault="00C508D1"/>
    <w:p w14:paraId="4F818BC3" w14:textId="77777777" w:rsidR="005D5995" w:rsidRDefault="005D5995" w:rsidP="005D5995">
      <w:r w:rsidRPr="005D5995">
        <w:t xml:space="preserve">References </w:t>
      </w:r>
    </w:p>
    <w:p w14:paraId="3CC9ACF4" w14:textId="41CF79D4" w:rsidR="005D5995" w:rsidRPr="005D5995" w:rsidRDefault="005D5995" w:rsidP="005D5995">
      <w:proofErr w:type="spellStart"/>
      <w:r w:rsidRPr="005D5995">
        <w:t>Beames</w:t>
      </w:r>
      <w:proofErr w:type="spellEnd"/>
      <w:r w:rsidRPr="005D5995">
        <w:t xml:space="preserve">, S., Higgins, P. and Nicol, R. (2012). </w:t>
      </w:r>
      <w:r w:rsidRPr="005D5995">
        <w:rPr>
          <w:i/>
          <w:iCs/>
        </w:rPr>
        <w:t>Learning outside the classroom: Theory and guidelines for practice</w:t>
      </w:r>
      <w:r w:rsidRPr="005D5995">
        <w:t xml:space="preserve">. Routledge. Estyn. (2020). </w:t>
      </w:r>
      <w:r w:rsidRPr="005D5995">
        <w:rPr>
          <w:i/>
          <w:iCs/>
        </w:rPr>
        <w:t>The impact of disadvantage on education in Wales</w:t>
      </w:r>
      <w:r w:rsidRPr="005D5995">
        <w:t xml:space="preserve">. [online] Available at: https://www.estyn.gov.wales [Accessed 10 May 2025]. </w:t>
      </w:r>
      <w:proofErr w:type="spellStart"/>
      <w:r w:rsidRPr="005D5995">
        <w:t>Grufford</w:t>
      </w:r>
      <w:proofErr w:type="spellEnd"/>
      <w:r w:rsidRPr="005D5995">
        <w:t xml:space="preserve">, M. (2018). </w:t>
      </w:r>
      <w:r w:rsidRPr="005D5995">
        <w:rPr>
          <w:i/>
          <w:iCs/>
        </w:rPr>
        <w:t>Cultural connections in environmental education</w:t>
      </w:r>
      <w:r w:rsidRPr="005D5995">
        <w:t xml:space="preserve">. Environmental Education Research, 24(6), pp.789–804. Harris, F., Kim, S. and Kwon, S. (2010). </w:t>
      </w:r>
      <w:r w:rsidRPr="005D5995">
        <w:rPr>
          <w:i/>
          <w:iCs/>
        </w:rPr>
        <w:t>Sustaining School Gardening Programs: Teachers’ Perspectives</w:t>
      </w:r>
      <w:r w:rsidRPr="005D5995">
        <w:t xml:space="preserve">. Childhood Education, 86(3), pp.172–177. Kolb, D. A. (1984). </w:t>
      </w:r>
      <w:r w:rsidRPr="005D5995">
        <w:rPr>
          <w:i/>
          <w:iCs/>
        </w:rPr>
        <w:t>Experiential learning: Experience as the source of learning and development</w:t>
      </w:r>
      <w:r w:rsidRPr="005D5995">
        <w:t xml:space="preserve">. Englewood Cliffs: Prentice Hall. Marchant, E., Todd, C., Cooksey, R., Dredge, S., Jones, H., Reynolds, D., &amp; Brophy, S. (2019). Curriculum-based outdoor learning for children aged 9–11: A qualitative analysis of pupils’ and teachers’ views. </w:t>
      </w:r>
      <w:r w:rsidRPr="005D5995">
        <w:rPr>
          <w:i/>
          <w:iCs/>
        </w:rPr>
        <w:t>PLOS ONE</w:t>
      </w:r>
      <w:r w:rsidRPr="005D5995">
        <w:t xml:space="preserve">, 14(5). Passy, R. (2014). </w:t>
      </w:r>
      <w:r w:rsidRPr="005D5995">
        <w:rPr>
          <w:i/>
          <w:iCs/>
        </w:rPr>
        <w:t>School gardens: Teaching and learning outside the front door</w:t>
      </w:r>
      <w:r w:rsidRPr="005D5995">
        <w:t xml:space="preserve">. Education 3–13, 42(1), pp.23–38. Public Health Wales. (2019). </w:t>
      </w:r>
      <w:r w:rsidRPr="005D5995">
        <w:rPr>
          <w:i/>
          <w:iCs/>
        </w:rPr>
        <w:t>Childhood health in Wales: A public health approach</w:t>
      </w:r>
      <w:r w:rsidRPr="005D5995">
        <w:t xml:space="preserve">. [online] Available at: https://phw.nhs.wales [Accessed 10 May 2025]. Putnam, R. D. (2000). </w:t>
      </w:r>
      <w:r w:rsidRPr="005D5995">
        <w:rPr>
          <w:i/>
          <w:iCs/>
        </w:rPr>
        <w:t>Bowling alone: The collapse and revival of American community</w:t>
      </w:r>
      <w:r w:rsidRPr="005D5995">
        <w:t xml:space="preserve">. New York: Simon &amp; Schuster. </w:t>
      </w:r>
      <w:proofErr w:type="spellStart"/>
      <w:r w:rsidRPr="005D5995">
        <w:t>Rickinson</w:t>
      </w:r>
      <w:proofErr w:type="spellEnd"/>
      <w:r w:rsidRPr="005D5995">
        <w:t xml:space="preserve">, M., Dillon, J., </w:t>
      </w:r>
      <w:proofErr w:type="spellStart"/>
      <w:r w:rsidRPr="005D5995">
        <w:t>Teamey</w:t>
      </w:r>
      <w:proofErr w:type="spellEnd"/>
      <w:r w:rsidRPr="005D5995">
        <w:t xml:space="preserve">, K., Morris, M., Choi, M.Y., Sanders, D., and Benefield, P. (2004). </w:t>
      </w:r>
      <w:r w:rsidRPr="005D5995">
        <w:rPr>
          <w:i/>
          <w:iCs/>
        </w:rPr>
        <w:t>A review of research on outdoor learning</w:t>
      </w:r>
      <w:r w:rsidRPr="005D5995">
        <w:t xml:space="preserve">. Shrewsbury: Field Studies Council. Robinson, K. and </w:t>
      </w:r>
      <w:proofErr w:type="spellStart"/>
      <w:r w:rsidRPr="005D5995">
        <w:t>Aronica</w:t>
      </w:r>
      <w:proofErr w:type="spellEnd"/>
      <w:r w:rsidRPr="005D5995">
        <w:t xml:space="preserve">, L. (2015). </w:t>
      </w:r>
      <w:r w:rsidRPr="005D5995">
        <w:rPr>
          <w:i/>
          <w:iCs/>
        </w:rPr>
        <w:t>Creative schools: The grassroots revolution that's transforming education</w:t>
      </w:r>
      <w:r w:rsidRPr="005D5995">
        <w:t xml:space="preserve">. Penguin UK. Sobel, D. (2005). </w:t>
      </w:r>
      <w:r w:rsidRPr="005D5995">
        <w:rPr>
          <w:i/>
          <w:iCs/>
        </w:rPr>
        <w:t>Place-based education: Connecting classrooms and communities</w:t>
      </w:r>
      <w:r w:rsidRPr="005D5995">
        <w:t xml:space="preserve">. Great Barrington: Orion Society. Turner, L. (2015). </w:t>
      </w:r>
      <w:r w:rsidRPr="005D5995">
        <w:rPr>
          <w:i/>
          <w:iCs/>
        </w:rPr>
        <w:t>Evaluation of Project Learning Garden</w:t>
      </w:r>
      <w:r w:rsidRPr="005D5995">
        <w:t xml:space="preserve">. Healthy Kids Research Report. Waite, S. (2011). </w:t>
      </w:r>
      <w:r w:rsidRPr="005D5995">
        <w:rPr>
          <w:i/>
          <w:iCs/>
        </w:rPr>
        <w:t>Teaching and learning outside the classroom: Personal values, alternative pedagogies and standards</w:t>
      </w:r>
      <w:r w:rsidRPr="005D5995">
        <w:t xml:space="preserve">. Education 3–13, 39(1), pp.65–82. Welsh Assembly Government. (2006). </w:t>
      </w:r>
      <w:r w:rsidRPr="005D5995">
        <w:rPr>
          <w:i/>
          <w:iCs/>
        </w:rPr>
        <w:t>Healthy Schools Scheme</w:t>
      </w:r>
      <w:r w:rsidRPr="005D5995">
        <w:t xml:space="preserve">. Cardiff: Welsh Assembly. Welsh Government. (2020). </w:t>
      </w:r>
      <w:r w:rsidRPr="005D5995">
        <w:rPr>
          <w:i/>
          <w:iCs/>
        </w:rPr>
        <w:t>Child Poverty Strategy for Wales</w:t>
      </w:r>
      <w:r w:rsidRPr="005D5995">
        <w:t xml:space="preserve">. Cardiff: Welsh Government. Welsh Government. (2023). </w:t>
      </w:r>
      <w:r w:rsidRPr="005D5995">
        <w:rPr>
          <w:i/>
          <w:iCs/>
        </w:rPr>
        <w:t>Curriculum for Wales Guidance</w:t>
      </w:r>
      <w:r w:rsidRPr="005D5995">
        <w:t>. Cardiff: Welsh Government. Well-being of Future Generations (Wales) Act 2015. (2015). Cardiff: Welsh Government.</w:t>
      </w:r>
    </w:p>
    <w:p w14:paraId="6B0A9A50" w14:textId="77777777" w:rsidR="005D5995" w:rsidRDefault="005D5995"/>
    <w:sectPr w:rsidR="005D59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985DF4"/>
    <w:multiLevelType w:val="multilevel"/>
    <w:tmpl w:val="3F9EE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256B39"/>
    <w:multiLevelType w:val="multilevel"/>
    <w:tmpl w:val="963E5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AE1A3E"/>
    <w:multiLevelType w:val="multilevel"/>
    <w:tmpl w:val="FF669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436E93"/>
    <w:multiLevelType w:val="multilevel"/>
    <w:tmpl w:val="8EFAB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3204093">
    <w:abstractNumId w:val="2"/>
  </w:num>
  <w:num w:numId="2" w16cid:durableId="576593414">
    <w:abstractNumId w:val="1"/>
  </w:num>
  <w:num w:numId="3" w16cid:durableId="444547016">
    <w:abstractNumId w:val="3"/>
  </w:num>
  <w:num w:numId="4" w16cid:durableId="531651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995"/>
    <w:rsid w:val="001065DD"/>
    <w:rsid w:val="003D1171"/>
    <w:rsid w:val="0050073C"/>
    <w:rsid w:val="005D1AF3"/>
    <w:rsid w:val="005D5995"/>
    <w:rsid w:val="0071450D"/>
    <w:rsid w:val="00753BDC"/>
    <w:rsid w:val="00A37C3D"/>
    <w:rsid w:val="00C508D1"/>
    <w:rsid w:val="00EC3853"/>
    <w:rsid w:val="00FA2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529A4"/>
  <w15:chartTrackingRefBased/>
  <w15:docId w15:val="{A999E6F3-6DBD-F946-B391-BEA22293A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9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59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59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59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59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599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599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599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599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9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59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59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59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59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59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59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59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5995"/>
    <w:rPr>
      <w:rFonts w:eastAsiaTheme="majorEastAsia" w:cstheme="majorBidi"/>
      <w:color w:val="272727" w:themeColor="text1" w:themeTint="D8"/>
    </w:rPr>
  </w:style>
  <w:style w:type="paragraph" w:styleId="Title">
    <w:name w:val="Title"/>
    <w:basedOn w:val="Normal"/>
    <w:next w:val="Normal"/>
    <w:link w:val="TitleChar"/>
    <w:uiPriority w:val="10"/>
    <w:qFormat/>
    <w:rsid w:val="005D599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59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599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59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599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D5995"/>
    <w:rPr>
      <w:i/>
      <w:iCs/>
      <w:color w:val="404040" w:themeColor="text1" w:themeTint="BF"/>
    </w:rPr>
  </w:style>
  <w:style w:type="paragraph" w:styleId="ListParagraph">
    <w:name w:val="List Paragraph"/>
    <w:basedOn w:val="Normal"/>
    <w:uiPriority w:val="34"/>
    <w:qFormat/>
    <w:rsid w:val="005D5995"/>
    <w:pPr>
      <w:ind w:left="720"/>
      <w:contextualSpacing/>
    </w:pPr>
  </w:style>
  <w:style w:type="character" w:styleId="IntenseEmphasis">
    <w:name w:val="Intense Emphasis"/>
    <w:basedOn w:val="DefaultParagraphFont"/>
    <w:uiPriority w:val="21"/>
    <w:qFormat/>
    <w:rsid w:val="005D5995"/>
    <w:rPr>
      <w:i/>
      <w:iCs/>
      <w:color w:val="0F4761" w:themeColor="accent1" w:themeShade="BF"/>
    </w:rPr>
  </w:style>
  <w:style w:type="paragraph" w:styleId="IntenseQuote">
    <w:name w:val="Intense Quote"/>
    <w:basedOn w:val="Normal"/>
    <w:next w:val="Normal"/>
    <w:link w:val="IntenseQuoteChar"/>
    <w:uiPriority w:val="30"/>
    <w:qFormat/>
    <w:rsid w:val="005D59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5995"/>
    <w:rPr>
      <w:i/>
      <w:iCs/>
      <w:color w:val="0F4761" w:themeColor="accent1" w:themeShade="BF"/>
    </w:rPr>
  </w:style>
  <w:style w:type="character" w:styleId="IntenseReference">
    <w:name w:val="Intense Reference"/>
    <w:basedOn w:val="DefaultParagraphFont"/>
    <w:uiPriority w:val="32"/>
    <w:qFormat/>
    <w:rsid w:val="005D599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098314">
      <w:bodyDiv w:val="1"/>
      <w:marLeft w:val="0"/>
      <w:marRight w:val="0"/>
      <w:marTop w:val="0"/>
      <w:marBottom w:val="0"/>
      <w:divBdr>
        <w:top w:val="none" w:sz="0" w:space="0" w:color="auto"/>
        <w:left w:val="none" w:sz="0" w:space="0" w:color="auto"/>
        <w:bottom w:val="none" w:sz="0" w:space="0" w:color="auto"/>
        <w:right w:val="none" w:sz="0" w:space="0" w:color="auto"/>
      </w:divBdr>
    </w:div>
    <w:div w:id="90470666">
      <w:bodyDiv w:val="1"/>
      <w:marLeft w:val="0"/>
      <w:marRight w:val="0"/>
      <w:marTop w:val="0"/>
      <w:marBottom w:val="0"/>
      <w:divBdr>
        <w:top w:val="none" w:sz="0" w:space="0" w:color="auto"/>
        <w:left w:val="none" w:sz="0" w:space="0" w:color="auto"/>
        <w:bottom w:val="none" w:sz="0" w:space="0" w:color="auto"/>
        <w:right w:val="none" w:sz="0" w:space="0" w:color="auto"/>
      </w:divBdr>
    </w:div>
    <w:div w:id="422847336">
      <w:bodyDiv w:val="1"/>
      <w:marLeft w:val="0"/>
      <w:marRight w:val="0"/>
      <w:marTop w:val="0"/>
      <w:marBottom w:val="0"/>
      <w:divBdr>
        <w:top w:val="none" w:sz="0" w:space="0" w:color="auto"/>
        <w:left w:val="none" w:sz="0" w:space="0" w:color="auto"/>
        <w:bottom w:val="none" w:sz="0" w:space="0" w:color="auto"/>
        <w:right w:val="none" w:sz="0" w:space="0" w:color="auto"/>
      </w:divBdr>
    </w:div>
    <w:div w:id="562832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2254</Words>
  <Characters>14457</Characters>
  <Application>Microsoft Office Word</Application>
  <DocSecurity>0</DocSecurity>
  <Lines>223</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16674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Khadiza Mosabbir (2417359)</dc:creator>
  <cp:keywords/>
  <dc:description/>
  <cp:lastModifiedBy>Khadiza Mosabbir (2417359)</cp:lastModifiedBy>
  <cp:revision>1</cp:revision>
  <dcterms:created xsi:type="dcterms:W3CDTF">2025-05-13T17:11:00Z</dcterms:created>
  <dcterms:modified xsi:type="dcterms:W3CDTF">2025-05-13T17:14:00Z</dcterms:modified>
  <cp:category/>
</cp:coreProperties>
</file>