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811BC" w14:textId="77777777" w:rsidR="00FD0F7F" w:rsidRDefault="00FD0F7F" w:rsidP="00BF5D16">
      <w:pPr>
        <w:jc w:val="center"/>
      </w:pPr>
    </w:p>
    <w:p w14:paraId="6378D20A" w14:textId="77777777" w:rsidR="00BF5D16" w:rsidRDefault="00BF5D16" w:rsidP="00BF5D16">
      <w:pPr>
        <w:jc w:val="center"/>
      </w:pPr>
    </w:p>
    <w:p w14:paraId="10407348" w14:textId="77777777" w:rsidR="00BF5D16" w:rsidRDefault="00BF5D16" w:rsidP="00BF5D16">
      <w:pPr>
        <w:jc w:val="center"/>
      </w:pPr>
    </w:p>
    <w:p w14:paraId="13CE0BC0" w14:textId="77777777" w:rsidR="00BF5D16" w:rsidRDefault="00BF5D16" w:rsidP="00BF5D16">
      <w:pPr>
        <w:jc w:val="center"/>
      </w:pPr>
    </w:p>
    <w:p w14:paraId="02FC03FC" w14:textId="77777777" w:rsidR="00BF5D16" w:rsidRDefault="00BF5D16" w:rsidP="00BF5D16">
      <w:pPr>
        <w:jc w:val="center"/>
      </w:pPr>
    </w:p>
    <w:p w14:paraId="1D9B086D" w14:textId="77777777" w:rsidR="00BF5D16" w:rsidRDefault="00BF5D16" w:rsidP="00BF5D16">
      <w:pPr>
        <w:jc w:val="center"/>
      </w:pPr>
    </w:p>
    <w:p w14:paraId="70035287" w14:textId="77777777" w:rsidR="00BF5D16" w:rsidRDefault="00BF5D16" w:rsidP="00BF5D16">
      <w:pPr>
        <w:jc w:val="center"/>
      </w:pPr>
    </w:p>
    <w:p w14:paraId="77E800E0" w14:textId="77777777" w:rsidR="00BF5D16" w:rsidRPr="00BF5D16" w:rsidRDefault="00BF5D16" w:rsidP="00BF5D16">
      <w:pPr>
        <w:jc w:val="center"/>
      </w:pPr>
    </w:p>
    <w:p w14:paraId="520948F2" w14:textId="5AE7A6B7" w:rsidR="00BF5D16" w:rsidRPr="00BF5D16" w:rsidRDefault="00BF5D16" w:rsidP="00BF5D16">
      <w:pPr>
        <w:jc w:val="center"/>
      </w:pPr>
      <w:r w:rsidRPr="00BF5D16">
        <w:t>Maddison Morgan McCarthy</w:t>
      </w:r>
    </w:p>
    <w:p w14:paraId="35BE3ABC" w14:textId="783D7AC7" w:rsidR="00BF5D16" w:rsidRPr="00BF5D16" w:rsidRDefault="00BF5D16" w:rsidP="00BF5D16">
      <w:pPr>
        <w:jc w:val="center"/>
      </w:pPr>
      <w:r w:rsidRPr="00BF5D16">
        <w:t>2500781</w:t>
      </w:r>
    </w:p>
    <w:p w14:paraId="2561F732" w14:textId="2F47F242" w:rsidR="00BF5D16" w:rsidRPr="00BF5D16" w:rsidRDefault="00BF5D16" w:rsidP="00BF5D16">
      <w:pPr>
        <w:jc w:val="center"/>
      </w:pPr>
      <w:r w:rsidRPr="00BF5D16">
        <w:t>BMLC4010</w:t>
      </w:r>
    </w:p>
    <w:p w14:paraId="6FB9EE08" w14:textId="34AAA26F" w:rsidR="00BF5D16" w:rsidRDefault="00BF5D16" w:rsidP="00BF5D16">
      <w:pPr>
        <w:jc w:val="center"/>
      </w:pPr>
      <w:r w:rsidRPr="00BF5D16">
        <w:t>Discuss to what extent did moral panics in the 1950s and 1960s shape public perceptions of youth crime</w:t>
      </w:r>
      <w:r>
        <w:t>.</w:t>
      </w:r>
    </w:p>
    <w:p w14:paraId="062C0D4A" w14:textId="77777777" w:rsidR="00BF5D16" w:rsidRDefault="00BF5D16" w:rsidP="00BF5D16">
      <w:pPr>
        <w:jc w:val="center"/>
      </w:pPr>
    </w:p>
    <w:p w14:paraId="0C479DE5" w14:textId="77777777" w:rsidR="00BF5D16" w:rsidRDefault="00BF5D16" w:rsidP="00BF5D16">
      <w:pPr>
        <w:jc w:val="center"/>
      </w:pPr>
    </w:p>
    <w:p w14:paraId="1BF34AED" w14:textId="77777777" w:rsidR="00BF5D16" w:rsidRDefault="00BF5D16" w:rsidP="00BF5D16">
      <w:pPr>
        <w:jc w:val="center"/>
      </w:pPr>
    </w:p>
    <w:p w14:paraId="6A04C7BC" w14:textId="77777777" w:rsidR="00BF5D16" w:rsidRDefault="00BF5D16" w:rsidP="00BF5D16">
      <w:pPr>
        <w:jc w:val="center"/>
      </w:pPr>
    </w:p>
    <w:p w14:paraId="51B2ED68" w14:textId="77777777" w:rsidR="00BF5D16" w:rsidRDefault="00BF5D16" w:rsidP="00BF5D16">
      <w:pPr>
        <w:jc w:val="center"/>
      </w:pPr>
    </w:p>
    <w:p w14:paraId="3F2E6483" w14:textId="77777777" w:rsidR="00BF5D16" w:rsidRDefault="00BF5D16" w:rsidP="00BF5D16">
      <w:pPr>
        <w:jc w:val="center"/>
      </w:pPr>
    </w:p>
    <w:p w14:paraId="3CFCBCB2" w14:textId="77777777" w:rsidR="00BF5D16" w:rsidRDefault="00BF5D16" w:rsidP="00BF5D16">
      <w:pPr>
        <w:jc w:val="center"/>
      </w:pPr>
    </w:p>
    <w:p w14:paraId="15561C9F" w14:textId="77777777" w:rsidR="00BF5D16" w:rsidRDefault="00BF5D16" w:rsidP="00BF5D16">
      <w:pPr>
        <w:jc w:val="center"/>
      </w:pPr>
    </w:p>
    <w:p w14:paraId="1D3C5F59" w14:textId="77777777" w:rsidR="00BF5D16" w:rsidRDefault="00BF5D16" w:rsidP="00BF5D16">
      <w:pPr>
        <w:jc w:val="center"/>
      </w:pPr>
    </w:p>
    <w:p w14:paraId="3B5AD206" w14:textId="77777777" w:rsidR="00BF5D16" w:rsidRDefault="00BF5D16" w:rsidP="00BF5D16">
      <w:pPr>
        <w:jc w:val="center"/>
      </w:pPr>
    </w:p>
    <w:p w14:paraId="4D304725" w14:textId="77777777" w:rsidR="00BF5D16" w:rsidRDefault="00BF5D16" w:rsidP="00BF5D16">
      <w:pPr>
        <w:jc w:val="center"/>
      </w:pPr>
    </w:p>
    <w:p w14:paraId="65E8B6E0" w14:textId="77777777" w:rsidR="00BF5D16" w:rsidRDefault="00BF5D16" w:rsidP="00BF5D16">
      <w:pPr>
        <w:jc w:val="center"/>
      </w:pPr>
    </w:p>
    <w:p w14:paraId="7E472DDA" w14:textId="77777777" w:rsidR="00BF5D16" w:rsidRDefault="00BF5D16" w:rsidP="00BF5D16">
      <w:pPr>
        <w:jc w:val="center"/>
      </w:pPr>
    </w:p>
    <w:p w14:paraId="05D1DE95" w14:textId="77777777" w:rsidR="00BF5D16" w:rsidRDefault="00BF5D16" w:rsidP="00BF5D16">
      <w:pPr>
        <w:jc w:val="center"/>
      </w:pPr>
    </w:p>
    <w:p w14:paraId="502A32BF" w14:textId="77777777" w:rsidR="00BF5D16" w:rsidRDefault="00BF5D16" w:rsidP="00BF5D16">
      <w:pPr>
        <w:jc w:val="center"/>
      </w:pPr>
    </w:p>
    <w:p w14:paraId="063EE439" w14:textId="77777777" w:rsidR="00BF5D16" w:rsidRDefault="00BF5D16" w:rsidP="00BF5D16">
      <w:pPr>
        <w:jc w:val="center"/>
      </w:pPr>
    </w:p>
    <w:p w14:paraId="08EE3B2F" w14:textId="77777777" w:rsidR="00BF5D16" w:rsidRDefault="00BF5D16" w:rsidP="00BF5D16">
      <w:pPr>
        <w:jc w:val="center"/>
      </w:pPr>
    </w:p>
    <w:p w14:paraId="48E3CE7B" w14:textId="77777777" w:rsidR="00BF5D16" w:rsidRDefault="00BF5D16" w:rsidP="00BF5D16">
      <w:pPr>
        <w:jc w:val="center"/>
      </w:pPr>
    </w:p>
    <w:p w14:paraId="36EA034D" w14:textId="77777777" w:rsidR="00BF5D16" w:rsidRDefault="00BF5D16" w:rsidP="00BF5D16">
      <w:pPr>
        <w:jc w:val="center"/>
      </w:pPr>
    </w:p>
    <w:p w14:paraId="2D9F726A" w14:textId="77777777" w:rsidR="00BF5D16" w:rsidRDefault="00BF5D16" w:rsidP="00BF5D16">
      <w:pPr>
        <w:jc w:val="center"/>
      </w:pPr>
    </w:p>
    <w:p w14:paraId="4B3DEA83" w14:textId="77777777" w:rsidR="00BF5D16" w:rsidRDefault="00BF5D16" w:rsidP="00BF5D16">
      <w:pPr>
        <w:jc w:val="center"/>
      </w:pPr>
    </w:p>
    <w:p w14:paraId="25405104" w14:textId="77777777" w:rsidR="00BF5D16" w:rsidRDefault="00BF5D16" w:rsidP="00BF5D16">
      <w:pPr>
        <w:jc w:val="center"/>
      </w:pPr>
    </w:p>
    <w:p w14:paraId="17C9B563" w14:textId="77777777" w:rsidR="00BF5D16" w:rsidRDefault="00BF5D16" w:rsidP="00BF5D16">
      <w:pPr>
        <w:jc w:val="center"/>
      </w:pPr>
    </w:p>
    <w:p w14:paraId="2F858AEE" w14:textId="77777777" w:rsidR="00BF5D16" w:rsidRDefault="00BF5D16" w:rsidP="00BF5D16">
      <w:pPr>
        <w:jc w:val="center"/>
      </w:pPr>
    </w:p>
    <w:p w14:paraId="07939D1F" w14:textId="77777777" w:rsidR="00BF5D16" w:rsidRDefault="00BF5D16" w:rsidP="00BF5D16">
      <w:pPr>
        <w:jc w:val="center"/>
      </w:pPr>
    </w:p>
    <w:p w14:paraId="12D9F268" w14:textId="77777777" w:rsidR="00BF5D16" w:rsidRDefault="00BF5D16" w:rsidP="00BF5D16">
      <w:pPr>
        <w:jc w:val="center"/>
      </w:pPr>
    </w:p>
    <w:p w14:paraId="6AF37186" w14:textId="77777777" w:rsidR="00BF5D16" w:rsidRDefault="00BF5D16" w:rsidP="00BF5D16">
      <w:pPr>
        <w:jc w:val="center"/>
      </w:pPr>
    </w:p>
    <w:p w14:paraId="604BBD67" w14:textId="77777777" w:rsidR="00BF5D16" w:rsidRDefault="00BF5D16" w:rsidP="00BF5D16">
      <w:pPr>
        <w:jc w:val="center"/>
      </w:pPr>
    </w:p>
    <w:p w14:paraId="2FBDC4F4" w14:textId="77777777" w:rsidR="00BF5D16" w:rsidRDefault="00BF5D16" w:rsidP="00BF5D16">
      <w:pPr>
        <w:jc w:val="center"/>
      </w:pPr>
    </w:p>
    <w:p w14:paraId="2003AE94" w14:textId="77777777" w:rsidR="00BF5D16" w:rsidRDefault="00BF5D16" w:rsidP="00BF5D16">
      <w:pPr>
        <w:jc w:val="center"/>
      </w:pPr>
    </w:p>
    <w:p w14:paraId="52C8FCF1" w14:textId="77777777" w:rsidR="00BF5D16" w:rsidRDefault="00BF5D16" w:rsidP="00BF5D16">
      <w:pPr>
        <w:jc w:val="center"/>
      </w:pPr>
    </w:p>
    <w:p w14:paraId="2774B8F9" w14:textId="77777777" w:rsidR="00BF5D16" w:rsidRDefault="00BF5D16" w:rsidP="00BF5D16">
      <w:pPr>
        <w:jc w:val="center"/>
      </w:pPr>
    </w:p>
    <w:p w14:paraId="5D070F69" w14:textId="77777777" w:rsidR="00BF5D16" w:rsidRDefault="00BF5D16" w:rsidP="00BF5D16">
      <w:pPr>
        <w:jc w:val="center"/>
      </w:pPr>
    </w:p>
    <w:p w14:paraId="24DD56E2" w14:textId="77777777" w:rsidR="00BF5D16" w:rsidRDefault="00BF5D16" w:rsidP="00BF5D16">
      <w:pPr>
        <w:jc w:val="center"/>
      </w:pPr>
    </w:p>
    <w:p w14:paraId="6D078253" w14:textId="77777777" w:rsidR="00BF5D16" w:rsidRDefault="00BF5D16" w:rsidP="00BF5D16">
      <w:pPr>
        <w:jc w:val="center"/>
      </w:pPr>
    </w:p>
    <w:p w14:paraId="25D1572F" w14:textId="77777777" w:rsidR="00086495" w:rsidRDefault="00086495" w:rsidP="00086495">
      <w:r>
        <w:t>In the 1950s and 1960s, young people in Britain and the United States became more than just a demographic, they became symbols of anxiety, rebellion, and social change. Subcultures such as Teddy Boys, rock ’n’ roll fans and the Mods and Rockers were in the spotlight and their distinctive fashions, music and leisure practices were portrayed by the media as evidence of a growing moral crisis. Sociologists later conceptualised the reactions as “moral panics,” a term created by Stanley Cohen (1972), which described how minor incidents of youth disorder could be amplified into symbolic crises through reporting, labelling and the construction of “</w:t>
      </w:r>
      <w:r w:rsidRPr="000661E4">
        <w:rPr>
          <w:i/>
          <w:iCs/>
        </w:rPr>
        <w:t>folk devils</w:t>
      </w:r>
      <w:r>
        <w:t xml:space="preserve">.” This essay argues that moral panics that followed World War II, shaped public perceptions of youth crime, not by directly generating delinquency, but by magnifying social anxieties about class, </w:t>
      </w:r>
      <w:proofErr w:type="gramStart"/>
      <w:r>
        <w:t>race</w:t>
      </w:r>
      <w:proofErr w:type="gramEnd"/>
      <w:r>
        <w:t xml:space="preserve"> and generational change. Integrating Cohen’s framework with strain theory, labelling theory and contemporary research on adverse childhood experiences, the analysis places these panics within the broader context of post-war economic growth, rising youth leisure and shifting generational identities. While these moral panics intensified public concern and influenced the interpretive climate of youth justice, their impact was primarily cultural rather than causal, highlighting how societies construct deviance in times of rapid social transformation, a dynamic that continues to shape contemporary debates over youth crime and justice policy (Goode &amp; Ben-Yehuda, 1994; Thompson &amp; Williams, 2012).</w:t>
      </w:r>
    </w:p>
    <w:p w14:paraId="6B0A5C9F" w14:textId="77777777" w:rsidR="00086495" w:rsidRDefault="00086495" w:rsidP="00086495"/>
    <w:p w14:paraId="07902299" w14:textId="77777777" w:rsidR="00086495" w:rsidRDefault="00086495" w:rsidP="00086495">
      <w:r>
        <w:t xml:space="preserve">Stanley Cohen developed the concept of moral panic in his seminal work </w:t>
      </w:r>
      <w:r>
        <w:rPr>
          <w:i/>
          <w:iCs/>
        </w:rPr>
        <w:t>Folk Devils and Moral Panics in 1972</w:t>
      </w:r>
      <w:r>
        <w:t>. Cohen defined a moral panic as a situation in which “</w:t>
      </w:r>
      <w:r>
        <w:rPr>
          <w:i/>
          <w:iCs/>
        </w:rPr>
        <w:t>a condition, episode, person or group of persons emerges to become defined as a threat to societal values and interests</w:t>
      </w:r>
      <w:r>
        <w:t>” (Cohen, 1972, p.9). Central to the process was the creation of “</w:t>
      </w:r>
      <w:r w:rsidRPr="000661E4">
        <w:rPr>
          <w:i/>
          <w:iCs/>
        </w:rPr>
        <w:t>folk devils</w:t>
      </w:r>
      <w:r>
        <w:t xml:space="preserve">”- individuals or groups who come to symbolise broader social anxieties. Through his analysis of clashes between Mods and Rockers at English seaside resorts in 1964, Cohen demonstrated how small disturbances could be transformed into a national crisis through media exaggeration and symbolic labelling. In this process, youth style including clothing, </w:t>
      </w:r>
      <w:proofErr w:type="gramStart"/>
      <w:r>
        <w:t>music</w:t>
      </w:r>
      <w:proofErr w:type="gramEnd"/>
      <w:r>
        <w:t xml:space="preserve"> and leisure activities, became shorthand indicators of deviance (The Open University, 2018). </w:t>
      </w:r>
    </w:p>
    <w:p w14:paraId="3F8BEB2C" w14:textId="77777777" w:rsidR="00086495" w:rsidRDefault="00086495" w:rsidP="00086495"/>
    <w:p w14:paraId="75C9DB89" w14:textId="77777777" w:rsidR="00086495" w:rsidRDefault="00086495" w:rsidP="00086495">
      <w:r>
        <w:t xml:space="preserve">There is no doubt that media institutions played an important role in constructing these narratives at the time. Sensationalist headlines, dramatic imagery, and selective reporting amplified isolated incidents and presented them as evidence of a wider social problem. As Marsh and Melville (2011) note, this process of “deviancy amplification” can create a feedback loop in which media coverage increases public concern, prompting stronger responses from police and political institutions. These reactions may then reinforce the perception that the behaviour represents a serious threat to social order. Scholars such as Goode and Ben-Yehuda (1994) expanded Cohen’s framework by suggesting that moral panics involve elements such as hostility towards the group involved, widespread consensus that the threat is real, and reactions that appear disproportionate to the actual harm caused. Critics argue that this expanded definition risks making the concept too broad. </w:t>
      </w:r>
    </w:p>
    <w:p w14:paraId="5BF80DD4" w14:textId="77777777" w:rsidR="00086495" w:rsidRDefault="00086495" w:rsidP="00086495"/>
    <w:p w14:paraId="56376FFB" w14:textId="77777777" w:rsidR="00086495" w:rsidRDefault="00086495" w:rsidP="00086495">
      <w:r>
        <w:t xml:space="preserve">The earliest major post-war youth panic in Britain centred on the emergence of Teddy Boys during the early 1950s. Teddy Boys were mainly working-class young men who </w:t>
      </w:r>
      <w:r>
        <w:lastRenderedPageBreak/>
        <w:t xml:space="preserve">adopted distinctive Edwardian-inspired clothing, including long drape jackets, narrow </w:t>
      </w:r>
      <w:proofErr w:type="gramStart"/>
      <w:r>
        <w:t>trousers</w:t>
      </w:r>
      <w:proofErr w:type="gramEnd"/>
      <w:r>
        <w:t xml:space="preserve"> and elaborate hairstyles. Influenced by American rock ’n’ roll culture, they represented one of the first recognisable youth subcultures in post-war Britain. Their distinctive appearance made them visible in public and therefore particularly susceptible to media attention. Media reporting played a central role in transforming the Teddy Boy phenomenon into a national concern. Newspapers frequently portrayed Teddy Boys as violent gangs responsible for increasing levels of juvenile delinquency and social disorder (Williamson, 2014). A well-known example occurred during screenings of the film </w:t>
      </w:r>
      <w:r>
        <w:rPr>
          <w:i/>
          <w:iCs/>
        </w:rPr>
        <w:t>Blackboard Jungle</w:t>
      </w:r>
      <w:r>
        <w:t xml:space="preserve"> in 1956. Although disturbances occurred in only a small number of cinemas showing the film, newspaper reports described the incidents as widespread “rock ’n’ roll riots.” The coverage reinforced the perception that youth culture was generating widespread disorder. As a result, the label “Teddy Boy” became a form of social categorisation, linking distinctive fashion and music tastes to assumptions about criminal behaviour. </w:t>
      </w:r>
    </w:p>
    <w:p w14:paraId="27CFD497" w14:textId="77777777" w:rsidR="00086495" w:rsidRDefault="00086495" w:rsidP="00086495"/>
    <w:p w14:paraId="6B1B679D" w14:textId="77777777" w:rsidR="00086495" w:rsidRDefault="00086495" w:rsidP="00086495">
      <w:r>
        <w:t>Cross (1964) argues that the figure of the Teddy Boy was a convenient scapegoat for wider anxieties about declining discipline and changing social values in post-war Britain. Sociological theories such as strain theory, provide an alternative explanation for youth delinquency by suggesting that deviant behaviour can emerge when individuals are unable to achieve socially valued goals through legitimate means. Where opportunities are restricted, young people may seek alternative ways of achieving status and recognition. From this perspective, strain theory suggests that youth subcultures such as the Teddy Boys can be understood as attempts to construct alternative identities in response to structural inequality rather than simply expressions of moral decline (Merton, 1938; Cloward &amp; Ohlin, 1960).</w:t>
      </w:r>
    </w:p>
    <w:p w14:paraId="1562EC2C" w14:textId="77777777" w:rsidR="00086495" w:rsidRDefault="00086495" w:rsidP="00086495"/>
    <w:p w14:paraId="0F0B0A50" w14:textId="77777777" w:rsidR="00086495" w:rsidRDefault="00086495" w:rsidP="00086495">
      <w:r>
        <w:t xml:space="preserve">Moral panics surrounding youth culture were not limited to Britain. Similar anxieties developed in the United States during the same period. Rock ’n’ roll music, which drew heavily from African American traditions, were associated with fears about juvenile delinquency and moral corruption. Critics argued that the music encouraged rebellion and undermined authority. However, these concerns were also closely connected to racial tensions. The popularity of African American music among white teenagers challenged established racial boundaries, raising anxieties about cultural integration and social change (University of Southern Indiana, 2017). In this context, youth culture was often portrayed as morally dangerous because of its perceived link to crime and because it disrupted existing racial hierarchies. Another well-known American example involved the controversy surrounding comic books during the 1950s. Psychiatrist Fredric </w:t>
      </w:r>
      <w:proofErr w:type="spellStart"/>
      <w:r>
        <w:t>Wertham</w:t>
      </w:r>
      <w:proofErr w:type="spellEnd"/>
      <w:r>
        <w:t xml:space="preserve"> argued in his book </w:t>
      </w:r>
      <w:r>
        <w:rPr>
          <w:i/>
          <w:iCs/>
        </w:rPr>
        <w:t>Seduction of the Innocent</w:t>
      </w:r>
      <w:r>
        <w:t xml:space="preserve"> that crime and horror comics encouraged violent behaviour among young readers. Although the evidence supporting his claims was weak, the book generated widespread concern among parents and politicians. Congressional hearings were organised to investigate the alleged relationship between comic books and juvenile delinquency, eventually leading to the creation of the Comics Code Authority to regulate content (Finnan, 2015). This episode demonstrates how moralised narratives about youth vulnerability can generate institutional responses even when the underlying threat is uncertain.</w:t>
      </w:r>
    </w:p>
    <w:p w14:paraId="359746A0" w14:textId="77777777" w:rsidR="00086495" w:rsidRDefault="00086495" w:rsidP="00086495"/>
    <w:p w14:paraId="077D3E5F" w14:textId="77777777" w:rsidR="00086495" w:rsidRDefault="00086495" w:rsidP="00086495">
      <w:r>
        <w:lastRenderedPageBreak/>
        <w:t xml:space="preserve">Cohen’s analysis of the clashes between Mods and Rockers remains one of the clearest examples of how moral panics shaped public perceptions of youth crime. Media coverage of seaside disturbances used dramatic language and imagery, describing “invasions” of coastal </w:t>
      </w:r>
      <w:proofErr w:type="gramStart"/>
      <w:r>
        <w:t>towns</w:t>
      </w:r>
      <w:proofErr w:type="gramEnd"/>
      <w:r>
        <w:t xml:space="preserve"> and showing deckchairs being used as weapons. Reports presented youth subcultures as organised and threatening groups. According to Cohen, the first stage of a moral panic involves exaggeration and prediction of further disorder. The second stage involves the development of a public consensus that a serious social problem exists. Later scholars caution against exaggerating the novelty of these reactions. Thompson and Williams (2012) suggest that concerns about youth disorder were already present before the publicised clashes between Mods and Rockers. They note that parliamentary discussions about youth disorder and football hooliganism had already taken place. From this perspective, media reporting may have intensified existing anxieties rather than creating them from nothing. Also, determining whether reactions were genuinely “disproportionate” is difficult because reliable crime statistics from the period are limited. Moral panic theory is therefore most convincing when used to analyse the cultural construction of deviance rather than as a complete explanation of youth crime itself. </w:t>
      </w:r>
    </w:p>
    <w:p w14:paraId="6ACE789C" w14:textId="77777777" w:rsidR="00086495" w:rsidRDefault="00086495" w:rsidP="00086495"/>
    <w:p w14:paraId="0DF5D80F" w14:textId="77777777" w:rsidR="00086495" w:rsidRDefault="00086495" w:rsidP="00086495">
      <w:r>
        <w:t>Structural changes within post-war society also played an important role. Britain experienced rapid social transformation during the 1950s, including urban redevelopment, housing shortages and limited employment opportunities for many young working-class people. Moral panics also influenced the broader cultural and institutional context of youth justice. Although the youth justice system in England and Wales remained mostly welfare-oriented during the post-war period under the Children and Young Persons Act 1933, heightened concern about youth disorder contributed to growing tensions between rehabilitation and punishment. Cohen argued that moral panics could produce what he described as a “deviancy amplification spiral,” in which increased surveillance and policing reinforce deviant identities rather than reducing offending. Media portrayals of youth subcultures as dangerous groups contributed to intensified policing of leisure spaces such as cinemas, dance halls, and seaside resorts. While these developments did not produce immediate large-scale legal change, they helped shape the climate of opinion within which youth justice policies were debated. As Muncie (2018) argues, youth justice policy has historically alternated between welfare and control, with periods of heightened moral concern often shifting the balance towards enforcement.</w:t>
      </w:r>
    </w:p>
    <w:p w14:paraId="2B6E73C5" w14:textId="77777777" w:rsidR="00086495" w:rsidRDefault="00086495" w:rsidP="00086495"/>
    <w:p w14:paraId="475C0882" w14:textId="77777777" w:rsidR="00086495" w:rsidRDefault="00086495" w:rsidP="00086495">
      <w:r>
        <w:t>Contemporary research also highlights the limitations of moralised explanations of youth crime. Studies examining youth offending have identified strong links between adverse childhood experiences, trauma, and later involvement in violence and/or crime (</w:t>
      </w:r>
      <w:proofErr w:type="spellStart"/>
      <w:r>
        <w:t>Malvaso</w:t>
      </w:r>
      <w:proofErr w:type="spellEnd"/>
      <w:r>
        <w:t xml:space="preserve"> et al., 2022). These findings suggest that youth crime is frequently linked to structural disadvantage and personal adversity rather than cultural rebellion alone. Moral panics may therefore miss the deeper causes of offending by focusing attention on visible subcultures rather than underlying inequalities.</w:t>
      </w:r>
    </w:p>
    <w:p w14:paraId="30BF490E" w14:textId="77777777" w:rsidR="00086495" w:rsidRDefault="00086495" w:rsidP="00086495"/>
    <w:p w14:paraId="35627228" w14:textId="77777777" w:rsidR="00086495" w:rsidRDefault="00086495" w:rsidP="00086495">
      <w:r>
        <w:t xml:space="preserve">In conclusion, moral panics during the 1950s and 1960s played an important role in shaping public perceptions of youth crime in both Britain and the United States. Through processes of media amplification, symbolic labelling, and the construction of </w:t>
      </w:r>
      <w:r>
        <w:lastRenderedPageBreak/>
        <w:t>“folk devils,” youth subcultures such as Teddy Boys, rock ’n’ roll fans, Mods, and Rockers became associated with wider fears about generational change, social disorder, and declining moral values. However, their influence was primarily cultural rather than causal. While moral panics intensified public anxieties and shaped media narratives, they did not fundamentally determine patterns of youth offending or produce major transformations in youth justice policy. Instead, they reflected deeper structural tensions within changing post-war societies. Their enduring significance lies in illustrating how societies construct and interpret deviance during periods of social change, a process that continues to shape contemporary debates about youth crime.</w:t>
      </w:r>
    </w:p>
    <w:p w14:paraId="5DFF74FE" w14:textId="77777777" w:rsidR="00BF5D16" w:rsidRPr="00BF5D16" w:rsidRDefault="00BF5D16" w:rsidP="00BF5D16"/>
    <w:p w14:paraId="1AAA10DF" w14:textId="383394F9" w:rsidR="00BF5D16" w:rsidRDefault="00086495" w:rsidP="00086495">
      <w:r>
        <w:t>Word count-1600</w:t>
      </w:r>
    </w:p>
    <w:p w14:paraId="0FF763C9" w14:textId="77777777" w:rsidR="00086495" w:rsidRDefault="00086495" w:rsidP="00086495"/>
    <w:p w14:paraId="5DC96ED8" w14:textId="77777777" w:rsidR="00086495" w:rsidRDefault="00086495" w:rsidP="00086495"/>
    <w:p w14:paraId="3E8B5891" w14:textId="77777777" w:rsidR="00081A18" w:rsidRDefault="00081A18" w:rsidP="00086495"/>
    <w:p w14:paraId="38ACFC4B" w14:textId="77777777" w:rsidR="00081A18" w:rsidRDefault="00081A18" w:rsidP="00086495"/>
    <w:p w14:paraId="40B6848E" w14:textId="77777777" w:rsidR="00081A18" w:rsidRDefault="00081A18" w:rsidP="00086495"/>
    <w:p w14:paraId="1144D29E" w14:textId="77777777" w:rsidR="00081A18" w:rsidRDefault="00081A18" w:rsidP="00086495"/>
    <w:p w14:paraId="6D10BE81" w14:textId="77777777" w:rsidR="00081A18" w:rsidRDefault="00081A18" w:rsidP="00086495"/>
    <w:p w14:paraId="02B4EE7B" w14:textId="77777777" w:rsidR="00081A18" w:rsidRDefault="00081A18" w:rsidP="00086495"/>
    <w:p w14:paraId="5716F264" w14:textId="77777777" w:rsidR="00081A18" w:rsidRDefault="00081A18" w:rsidP="00086495"/>
    <w:p w14:paraId="779BEC87" w14:textId="77777777" w:rsidR="00081A18" w:rsidRDefault="00081A18" w:rsidP="00086495"/>
    <w:p w14:paraId="000BB835" w14:textId="77777777" w:rsidR="00081A18" w:rsidRDefault="00081A18" w:rsidP="00086495"/>
    <w:p w14:paraId="7814DA3C" w14:textId="77777777" w:rsidR="00081A18" w:rsidRDefault="00081A18" w:rsidP="00086495"/>
    <w:p w14:paraId="09E1183C" w14:textId="77777777" w:rsidR="00081A18" w:rsidRDefault="00081A18" w:rsidP="00086495"/>
    <w:p w14:paraId="038A0A68" w14:textId="77777777" w:rsidR="00081A18" w:rsidRDefault="00081A18" w:rsidP="00086495"/>
    <w:p w14:paraId="4D92792D" w14:textId="77777777" w:rsidR="00081A18" w:rsidRDefault="00081A18" w:rsidP="00086495"/>
    <w:p w14:paraId="2AA56CCB" w14:textId="77777777" w:rsidR="00081A18" w:rsidRDefault="00081A18" w:rsidP="00086495"/>
    <w:p w14:paraId="15D41362" w14:textId="77777777" w:rsidR="00081A18" w:rsidRDefault="00081A18" w:rsidP="00086495"/>
    <w:p w14:paraId="69F93382" w14:textId="77777777" w:rsidR="00081A18" w:rsidRDefault="00081A18" w:rsidP="00086495"/>
    <w:p w14:paraId="03D26F44" w14:textId="77777777" w:rsidR="00081A18" w:rsidRDefault="00081A18" w:rsidP="00086495"/>
    <w:p w14:paraId="0748BBCA" w14:textId="77777777" w:rsidR="00081A18" w:rsidRDefault="00081A18" w:rsidP="00086495"/>
    <w:p w14:paraId="4A0B915C" w14:textId="77777777" w:rsidR="00081A18" w:rsidRDefault="00081A18" w:rsidP="00086495"/>
    <w:p w14:paraId="45D577F7" w14:textId="77777777" w:rsidR="00081A18" w:rsidRDefault="00081A18" w:rsidP="00086495"/>
    <w:p w14:paraId="1B74B457" w14:textId="77777777" w:rsidR="00081A18" w:rsidRDefault="00081A18" w:rsidP="00086495"/>
    <w:p w14:paraId="4B4FF988" w14:textId="77777777" w:rsidR="00081A18" w:rsidRDefault="00081A18" w:rsidP="00086495"/>
    <w:p w14:paraId="571D22FB" w14:textId="77777777" w:rsidR="00081A18" w:rsidRDefault="00081A18" w:rsidP="00086495"/>
    <w:p w14:paraId="43A71B14" w14:textId="77777777" w:rsidR="00081A18" w:rsidRDefault="00081A18" w:rsidP="00086495"/>
    <w:p w14:paraId="6DD83235" w14:textId="77777777" w:rsidR="00081A18" w:rsidRDefault="00081A18" w:rsidP="00086495"/>
    <w:p w14:paraId="37122A49" w14:textId="77777777" w:rsidR="00081A18" w:rsidRDefault="00081A18" w:rsidP="00086495"/>
    <w:p w14:paraId="772B1527" w14:textId="77777777" w:rsidR="00081A18" w:rsidRDefault="00081A18" w:rsidP="00086495"/>
    <w:p w14:paraId="43C30C70" w14:textId="77777777" w:rsidR="00081A18" w:rsidRDefault="00081A18" w:rsidP="00086495"/>
    <w:p w14:paraId="0469E1C7" w14:textId="77777777" w:rsidR="00081A18" w:rsidRDefault="00081A18" w:rsidP="00086495"/>
    <w:p w14:paraId="4A1DB6CD" w14:textId="77777777" w:rsidR="00081A18" w:rsidRDefault="00081A18" w:rsidP="00086495"/>
    <w:p w14:paraId="5A0BD899" w14:textId="77777777" w:rsidR="00081A18" w:rsidRDefault="00081A18" w:rsidP="00086495"/>
    <w:p w14:paraId="6322849C" w14:textId="77777777" w:rsidR="00081A18" w:rsidRDefault="00081A18" w:rsidP="00086495"/>
    <w:p w14:paraId="2567A9C8" w14:textId="77777777" w:rsidR="00081A18" w:rsidRDefault="00081A18" w:rsidP="00086495"/>
    <w:p w14:paraId="4EAA3B59" w14:textId="77777777" w:rsidR="00081A18" w:rsidRDefault="00081A18" w:rsidP="00086495"/>
    <w:p w14:paraId="4CEE2CA8" w14:textId="77777777" w:rsidR="00081A18" w:rsidRDefault="00081A18" w:rsidP="00086495"/>
    <w:p w14:paraId="1DF989F1" w14:textId="77777777" w:rsidR="00086495" w:rsidRDefault="00086495" w:rsidP="00086495"/>
    <w:p w14:paraId="4432ED2B" w14:textId="77777777" w:rsidR="00081A18" w:rsidRDefault="00081A18" w:rsidP="00081A18">
      <w:pPr>
        <w:jc w:val="center"/>
      </w:pPr>
      <w:r>
        <w:rPr>
          <w:b/>
          <w:bCs/>
        </w:rPr>
        <w:t>References</w:t>
      </w:r>
    </w:p>
    <w:p w14:paraId="70C16488" w14:textId="77777777" w:rsidR="00081A18" w:rsidRDefault="00081A18" w:rsidP="00081A18">
      <w:r>
        <w:t xml:space="preserve">Cohen, S. (1972) </w:t>
      </w:r>
      <w:r>
        <w:rPr>
          <w:i/>
          <w:iCs/>
        </w:rPr>
        <w:t>Folk Devils and Moral Panics: The Creation of the Mods and Rockers</w:t>
      </w:r>
      <w:r>
        <w:t>. London: MacGibbon &amp; Kee.</w:t>
      </w:r>
    </w:p>
    <w:p w14:paraId="463AB469" w14:textId="77777777" w:rsidR="00081A18" w:rsidRDefault="00081A18" w:rsidP="00081A18"/>
    <w:p w14:paraId="5527F57D" w14:textId="77777777" w:rsidR="00081A18" w:rsidRDefault="00081A18" w:rsidP="00081A18">
      <w:r>
        <w:t xml:space="preserve">Cloward, R. &amp; Ohlin, L. (1960) </w:t>
      </w:r>
      <w:r>
        <w:rPr>
          <w:i/>
          <w:iCs/>
        </w:rPr>
        <w:t>Delinquency and Opportunity: A Study of Delinquent Gangs</w:t>
      </w:r>
      <w:r>
        <w:t>. New York: Free Press.</w:t>
      </w:r>
    </w:p>
    <w:p w14:paraId="790191FA" w14:textId="77777777" w:rsidR="00081A18" w:rsidRDefault="00081A18" w:rsidP="00081A18"/>
    <w:p w14:paraId="4C4A0E4B" w14:textId="77777777" w:rsidR="00081A18" w:rsidRDefault="00081A18" w:rsidP="00081A18">
      <w:r>
        <w:t xml:space="preserve">Cross, C. (1964) </w:t>
      </w:r>
      <w:r>
        <w:rPr>
          <w:i/>
          <w:iCs/>
        </w:rPr>
        <w:t>The Teddy Boy as Scapegoat</w:t>
      </w:r>
      <w:r>
        <w:t>. London: Routledge &amp; Kegan Paul.</w:t>
      </w:r>
    </w:p>
    <w:p w14:paraId="5013316E" w14:textId="77777777" w:rsidR="00081A18" w:rsidRDefault="00081A18" w:rsidP="00081A18"/>
    <w:p w14:paraId="0B5C2F2B" w14:textId="77777777" w:rsidR="00081A18" w:rsidRDefault="00081A18" w:rsidP="00081A18">
      <w:proofErr w:type="spellStart"/>
      <w:r>
        <w:t>Finan</w:t>
      </w:r>
      <w:proofErr w:type="spellEnd"/>
      <w:r>
        <w:t xml:space="preserve">, C. (2015) </w:t>
      </w:r>
      <w:r>
        <w:rPr>
          <w:i/>
          <w:iCs/>
        </w:rPr>
        <w:t xml:space="preserve">Comic Book Censorship 1948-1955. </w:t>
      </w:r>
      <w:r>
        <w:t xml:space="preserve">Available at: </w:t>
      </w:r>
      <w:hyperlink r:id="rId5" w:history="1">
        <w:r>
          <w:rPr>
            <w:rStyle w:val="Hyperlink"/>
          </w:rPr>
          <w:t>https://firstamendment.mtsu.edu/article/comic-book-ce</w:t>
        </w:r>
        <w:bookmarkStart w:id="0" w:name="_Hlt223721545"/>
        <w:bookmarkStart w:id="1" w:name="_Hlt223721546"/>
        <w:r>
          <w:rPr>
            <w:rStyle w:val="Hyperlink"/>
          </w:rPr>
          <w:t>n</w:t>
        </w:r>
        <w:bookmarkEnd w:id="0"/>
        <w:bookmarkEnd w:id="1"/>
        <w:r>
          <w:rPr>
            <w:rStyle w:val="Hyperlink"/>
          </w:rPr>
          <w:t>sorship-1948-1955/</w:t>
        </w:r>
      </w:hyperlink>
      <w:r>
        <w:t xml:space="preserve">  (Accessed: 1 March 2026)</w:t>
      </w:r>
    </w:p>
    <w:p w14:paraId="6A8A2ECE" w14:textId="77777777" w:rsidR="00081A18" w:rsidRDefault="00081A18" w:rsidP="00081A18"/>
    <w:p w14:paraId="523278CA" w14:textId="77777777" w:rsidR="00081A18" w:rsidRDefault="00081A18" w:rsidP="00081A18">
      <w:r>
        <w:t xml:space="preserve">Goode, E. &amp; Ben-Yehuda, N. (1994) </w:t>
      </w:r>
      <w:r>
        <w:rPr>
          <w:i/>
          <w:iCs/>
        </w:rPr>
        <w:t>Moral Panics: The Social Construction of Deviance</w:t>
      </w:r>
      <w:r>
        <w:t>. Oxford: Blackwell.</w:t>
      </w:r>
    </w:p>
    <w:p w14:paraId="7550C30F" w14:textId="77777777" w:rsidR="00081A18" w:rsidRDefault="00081A18" w:rsidP="00081A18"/>
    <w:p w14:paraId="365802F2" w14:textId="77777777" w:rsidR="00081A18" w:rsidRDefault="00081A18" w:rsidP="00081A18">
      <w:proofErr w:type="spellStart"/>
      <w:r>
        <w:t>Malvaso</w:t>
      </w:r>
      <w:proofErr w:type="spellEnd"/>
      <w:r>
        <w:t xml:space="preserve">, C., </w:t>
      </w:r>
      <w:proofErr w:type="spellStart"/>
      <w:r>
        <w:t>Delfabbro</w:t>
      </w:r>
      <w:proofErr w:type="spellEnd"/>
      <w:r>
        <w:t xml:space="preserve">, P. &amp; Day, A. (2022) </w:t>
      </w:r>
      <w:r>
        <w:rPr>
          <w:i/>
          <w:iCs/>
        </w:rPr>
        <w:t>Adverse Childhood Experiences and Trauma Among Young People in the Youth Justice System</w:t>
      </w:r>
      <w:r>
        <w:t xml:space="preserve">. Available at: </w:t>
      </w:r>
      <w:hyperlink r:id="rId6" w:history="1">
        <w:r>
          <w:rPr>
            <w:rStyle w:val="Hyperlink"/>
          </w:rPr>
          <w:t>(PDF) Adverse childhood experiences and trauma among young people in the youth justice system</w:t>
        </w:r>
      </w:hyperlink>
      <w:r>
        <w:t xml:space="preserve"> (Accessed: 20 February 2026)</w:t>
      </w:r>
    </w:p>
    <w:p w14:paraId="6975D85A" w14:textId="77777777" w:rsidR="00081A18" w:rsidRDefault="00081A18" w:rsidP="00081A18"/>
    <w:p w14:paraId="68F9D7C0" w14:textId="77777777" w:rsidR="00081A18" w:rsidRDefault="00081A18" w:rsidP="00081A18">
      <w:r>
        <w:t xml:space="preserve">Marsh, P. &amp; Melville, G. (2011) </w:t>
      </w:r>
      <w:r>
        <w:rPr>
          <w:i/>
          <w:iCs/>
        </w:rPr>
        <w:t>Media, Crime and Society</w:t>
      </w:r>
      <w:r>
        <w:t>. London: Sage.</w:t>
      </w:r>
    </w:p>
    <w:p w14:paraId="53D6BF89" w14:textId="77777777" w:rsidR="00081A18" w:rsidRDefault="00081A18" w:rsidP="00081A18"/>
    <w:p w14:paraId="707EBBFD" w14:textId="77777777" w:rsidR="00081A18" w:rsidRDefault="00081A18" w:rsidP="00081A18">
      <w:r>
        <w:t xml:space="preserve">Merton, R. (1938) Social structure and anomie. </w:t>
      </w:r>
      <w:r>
        <w:rPr>
          <w:i/>
          <w:iCs/>
        </w:rPr>
        <w:t>American Sociological Review</w:t>
      </w:r>
      <w:r>
        <w:t xml:space="preserve">, 3(5), pp.672–682. </w:t>
      </w:r>
      <w:hyperlink r:id="rId7" w:history="1">
        <w:r>
          <w:rPr>
            <w:rStyle w:val="Hyperlink"/>
          </w:rPr>
          <w:t>https://doi.org/10.2307/2084686</w:t>
        </w:r>
      </w:hyperlink>
    </w:p>
    <w:p w14:paraId="48FED537" w14:textId="77777777" w:rsidR="00081A18" w:rsidRDefault="00081A18" w:rsidP="00081A18"/>
    <w:p w14:paraId="73468601" w14:textId="77777777" w:rsidR="00081A18" w:rsidRDefault="00081A18" w:rsidP="00081A18">
      <w:r>
        <w:t xml:space="preserve">Muncie, J. (2018) </w:t>
      </w:r>
      <w:r>
        <w:rPr>
          <w:i/>
          <w:iCs/>
        </w:rPr>
        <w:t>Youth and Crime</w:t>
      </w:r>
      <w:r>
        <w:t>. 5th ed. London: Sage.</w:t>
      </w:r>
    </w:p>
    <w:p w14:paraId="738FCB32" w14:textId="77777777" w:rsidR="00081A18" w:rsidRDefault="00081A18" w:rsidP="00081A18"/>
    <w:p w14:paraId="6E734083" w14:textId="77777777" w:rsidR="00081A18" w:rsidRDefault="00081A18" w:rsidP="00081A18">
      <w:r>
        <w:t xml:space="preserve">The Open University (2018) </w:t>
      </w:r>
      <w:r>
        <w:rPr>
          <w:i/>
          <w:iCs/>
        </w:rPr>
        <w:t>Discovering Disorder: Young People and Delinquency</w:t>
      </w:r>
      <w:r>
        <w:t xml:space="preserve">. Open Learn. Available at: </w:t>
      </w:r>
      <w:hyperlink r:id="rId8" w:history="1">
        <w:r>
          <w:rPr>
            <w:rStyle w:val="Hyperlink"/>
          </w:rPr>
          <w:t>https://www.open.edu/openlearn/society-politics-law/discovering-disorder-young-people-and-deliquency/content-section-3.4</w:t>
        </w:r>
      </w:hyperlink>
      <w:r>
        <w:t xml:space="preserve">  (Accessed 4 March 2026).</w:t>
      </w:r>
    </w:p>
    <w:p w14:paraId="567ECB76" w14:textId="77777777" w:rsidR="00081A18" w:rsidRDefault="00081A18" w:rsidP="00081A18"/>
    <w:p w14:paraId="59506108" w14:textId="77777777" w:rsidR="00081A18" w:rsidRDefault="00081A18" w:rsidP="00081A18"/>
    <w:p w14:paraId="7BA750B6" w14:textId="77777777" w:rsidR="00081A18" w:rsidRDefault="00081A18" w:rsidP="00081A18">
      <w:r>
        <w:t xml:space="preserve">Thompson, S. &amp; Williams, K. (2012) ‘Media, moral panic and youth disorder: Reassessing Clacton’. </w:t>
      </w:r>
      <w:r>
        <w:rPr>
          <w:i/>
          <w:iCs/>
        </w:rPr>
        <w:t>British Journal of Criminology</w:t>
      </w:r>
      <w:r>
        <w:t>, 52(5), pp.1024–1045. Available at: https://doi.org/10.1093/bjc/azs014</w:t>
      </w:r>
    </w:p>
    <w:p w14:paraId="5CD04A08" w14:textId="77777777" w:rsidR="00081A18" w:rsidRDefault="00081A18" w:rsidP="00081A18"/>
    <w:p w14:paraId="3DB4EEBF" w14:textId="77777777" w:rsidR="00081A18" w:rsidRDefault="00081A18" w:rsidP="00081A18">
      <w:r>
        <w:t xml:space="preserve">University of Southern Indiana (2017) </w:t>
      </w:r>
      <w:r>
        <w:rPr>
          <w:i/>
          <w:iCs/>
        </w:rPr>
        <w:t>Rock ’n’ roll and moral panic in the US</w:t>
      </w:r>
      <w:r>
        <w:t>.  Available at: https://www.usi.edu/rock-n-roll-moral-panic (Accessed: 2 March 2026)</w:t>
      </w:r>
    </w:p>
    <w:p w14:paraId="6137E70F" w14:textId="77777777" w:rsidR="00081A18" w:rsidRDefault="00081A18" w:rsidP="00081A18"/>
    <w:p w14:paraId="38A803D7" w14:textId="77777777" w:rsidR="00081A18" w:rsidRDefault="00081A18" w:rsidP="00081A18">
      <w:r>
        <w:t xml:space="preserve">Williamson, C. (2014) </w:t>
      </w:r>
      <w:r>
        <w:rPr>
          <w:i/>
          <w:iCs/>
        </w:rPr>
        <w:t xml:space="preserve">The Ted Scare. </w:t>
      </w:r>
      <w:r>
        <w:t xml:space="preserve">Available at: </w:t>
      </w:r>
      <w:hyperlink r:id="rId9" w:history="1">
        <w:r>
          <w:rPr>
            <w:rStyle w:val="Hyperlink"/>
          </w:rPr>
          <w:t>https://researchspace.bathspa.ac.uk/4888/1/4888.pdf</w:t>
        </w:r>
      </w:hyperlink>
      <w:r>
        <w:t xml:space="preserve"> (Accessed: 26 February 2026)</w:t>
      </w:r>
    </w:p>
    <w:p w14:paraId="20A81D55" w14:textId="77777777" w:rsidR="00081A18" w:rsidRDefault="00081A18" w:rsidP="00081A18"/>
    <w:p w14:paraId="6C7A11A1" w14:textId="77777777" w:rsidR="00081A18" w:rsidRDefault="00081A18" w:rsidP="00081A18"/>
    <w:p w14:paraId="113DBE63" w14:textId="77777777" w:rsidR="00CA6A9A" w:rsidRPr="00BE1FA6" w:rsidRDefault="00CA6A9A" w:rsidP="00CA6A9A">
      <w:pPr>
        <w:rPr>
          <w:rFonts w:ascii="Arial" w:hAnsi="Arial" w:cs="Arial"/>
        </w:rPr>
      </w:pPr>
      <w:r w:rsidRPr="00BE1FA6">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2033FD5" w14:textId="77777777" w:rsidR="00081A18" w:rsidRDefault="00081A18" w:rsidP="00081A18"/>
    <w:p w14:paraId="34F85B2E" w14:textId="77777777" w:rsidR="00086495" w:rsidRDefault="00086495" w:rsidP="00086495"/>
    <w:sectPr w:rsidR="00086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827B12"/>
    <w:multiLevelType w:val="multilevel"/>
    <w:tmpl w:val="7E888C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205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16"/>
    <w:rsid w:val="00081A18"/>
    <w:rsid w:val="00086495"/>
    <w:rsid w:val="001745DC"/>
    <w:rsid w:val="001F5BD0"/>
    <w:rsid w:val="00254B9B"/>
    <w:rsid w:val="004A19F5"/>
    <w:rsid w:val="0057704B"/>
    <w:rsid w:val="00BF5D16"/>
    <w:rsid w:val="00C35154"/>
    <w:rsid w:val="00C70C2D"/>
    <w:rsid w:val="00CA6A9A"/>
    <w:rsid w:val="00D914E5"/>
    <w:rsid w:val="00D92624"/>
    <w:rsid w:val="00E12C6A"/>
    <w:rsid w:val="00F24849"/>
    <w:rsid w:val="00F65DAF"/>
    <w:rsid w:val="00F7401E"/>
    <w:rsid w:val="00FD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AC810A"/>
  <w15:chartTrackingRefBased/>
  <w15:docId w15:val="{0084A12B-9F47-7743-B193-4D3EDED8C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D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5D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D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D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D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D1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D1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D1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D1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D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5D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D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D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D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D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D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D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D16"/>
    <w:rPr>
      <w:rFonts w:eastAsiaTheme="majorEastAsia" w:cstheme="majorBidi"/>
      <w:color w:val="272727" w:themeColor="text1" w:themeTint="D8"/>
    </w:rPr>
  </w:style>
  <w:style w:type="paragraph" w:styleId="Title">
    <w:name w:val="Title"/>
    <w:basedOn w:val="Normal"/>
    <w:next w:val="Normal"/>
    <w:link w:val="TitleChar"/>
    <w:uiPriority w:val="10"/>
    <w:qFormat/>
    <w:rsid w:val="00BF5D1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D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D1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D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D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5D16"/>
    <w:rPr>
      <w:i/>
      <w:iCs/>
      <w:color w:val="404040" w:themeColor="text1" w:themeTint="BF"/>
    </w:rPr>
  </w:style>
  <w:style w:type="paragraph" w:styleId="ListParagraph">
    <w:name w:val="List Paragraph"/>
    <w:basedOn w:val="Normal"/>
    <w:uiPriority w:val="34"/>
    <w:qFormat/>
    <w:rsid w:val="00BF5D16"/>
    <w:pPr>
      <w:ind w:left="720"/>
      <w:contextualSpacing/>
    </w:pPr>
  </w:style>
  <w:style w:type="character" w:styleId="IntenseEmphasis">
    <w:name w:val="Intense Emphasis"/>
    <w:basedOn w:val="DefaultParagraphFont"/>
    <w:uiPriority w:val="21"/>
    <w:qFormat/>
    <w:rsid w:val="00BF5D16"/>
    <w:rPr>
      <w:i/>
      <w:iCs/>
      <w:color w:val="0F4761" w:themeColor="accent1" w:themeShade="BF"/>
    </w:rPr>
  </w:style>
  <w:style w:type="paragraph" w:styleId="IntenseQuote">
    <w:name w:val="Intense Quote"/>
    <w:basedOn w:val="Normal"/>
    <w:next w:val="Normal"/>
    <w:link w:val="IntenseQuoteChar"/>
    <w:uiPriority w:val="30"/>
    <w:qFormat/>
    <w:rsid w:val="00BF5D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D16"/>
    <w:rPr>
      <w:i/>
      <w:iCs/>
      <w:color w:val="0F4761" w:themeColor="accent1" w:themeShade="BF"/>
    </w:rPr>
  </w:style>
  <w:style w:type="character" w:styleId="IntenseReference">
    <w:name w:val="Intense Reference"/>
    <w:basedOn w:val="DefaultParagraphFont"/>
    <w:uiPriority w:val="32"/>
    <w:qFormat/>
    <w:rsid w:val="00BF5D16"/>
    <w:rPr>
      <w:b/>
      <w:bCs/>
      <w:smallCaps/>
      <w:color w:val="0F4761" w:themeColor="accent1" w:themeShade="BF"/>
      <w:spacing w:val="5"/>
    </w:rPr>
  </w:style>
  <w:style w:type="character" w:styleId="Hyperlink">
    <w:name w:val="Hyperlink"/>
    <w:basedOn w:val="DefaultParagraphFont"/>
    <w:rsid w:val="00081A1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society-politics-law/discovering-disorder-young-people-and-deliquency/content-section-3.4" TargetMode="External"/><Relationship Id="rId3" Type="http://schemas.openxmlformats.org/officeDocument/2006/relationships/settings" Target="settings.xml"/><Relationship Id="rId7" Type="http://schemas.openxmlformats.org/officeDocument/2006/relationships/hyperlink" Target="https://doi.org/10.2307/208468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361286091_Adverse_childhood_experiences_and_trauma_among_young_people_in_the_youth_justice_system" TargetMode="External"/><Relationship Id="rId11" Type="http://schemas.openxmlformats.org/officeDocument/2006/relationships/theme" Target="theme/theme1.xml"/><Relationship Id="rId5" Type="http://schemas.openxmlformats.org/officeDocument/2006/relationships/hyperlink" Target="https://firstamendment.mtsu.edu/article/comic-book-censorship-1948-1955/"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searchspace.bathspa.ac.uk/4888/1/488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7</Pages>
  <Words>2126</Words>
  <Characters>12122</Characters>
  <Application>Microsoft Office Word</Application>
  <DocSecurity>0</DocSecurity>
  <Lines>101</Lines>
  <Paragraphs>28</Paragraphs>
  <ScaleCrop>false</ScaleCrop>
  <Company/>
  <LinksUpToDate>false</LinksUpToDate>
  <CharactersWithSpaces>14220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7</cp:revision>
  <dcterms:created xsi:type="dcterms:W3CDTF">2026-03-06T20:44:00Z</dcterms:created>
  <dcterms:modified xsi:type="dcterms:W3CDTF">2026-03-06T22:27:00Z</dcterms:modified>
</cp:coreProperties>
</file>