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0A5915" w14:textId="77777777" w:rsidR="001C66F1" w:rsidRDefault="00F233D0">
      <w:pPr>
        <w:spacing w:after="220" w:line="240" w:lineRule="auto"/>
        <w:ind w:left="426"/>
        <w:rPr>
          <w:rFonts w:ascii="Arial" w:eastAsia="Arial" w:hAnsi="Arial" w:cs="Arial"/>
        </w:rPr>
      </w:pPr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580A5962" wp14:editId="580A5963">
            <wp:simplePos x="0" y="0"/>
            <wp:positionH relativeFrom="column">
              <wp:posOffset>941070</wp:posOffset>
            </wp:positionH>
            <wp:positionV relativeFrom="paragraph">
              <wp:posOffset>4445</wp:posOffset>
            </wp:positionV>
            <wp:extent cx="4152900" cy="1328420"/>
            <wp:effectExtent l="0" t="0" r="0" b="0"/>
            <wp:wrapSquare wrapText="bothSides" distT="0" distB="0" distL="114300" distR="114300"/>
            <wp:docPr id="1" name="image1.png" descr="SCVO | Sandwell Council of Voluntary Organisations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SCVO | Sandwell Council of Voluntary Organisations."/>
                    <pic:cNvPicPr preferRelativeResize="0"/>
                  </pic:nvPicPr>
                  <pic:blipFill>
                    <a:blip r:embed="rId7"/>
                    <a:srcRect r="23642"/>
                    <a:stretch>
                      <a:fillRect/>
                    </a:stretch>
                  </pic:blipFill>
                  <pic:spPr>
                    <a:xfrm>
                      <a:off x="0" y="0"/>
                      <a:ext cx="4152900" cy="13284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580A5916" w14:textId="77777777" w:rsidR="001C66F1" w:rsidRDefault="001C66F1">
      <w:pPr>
        <w:spacing w:after="220" w:line="360" w:lineRule="auto"/>
        <w:ind w:left="426"/>
        <w:rPr>
          <w:rFonts w:ascii="Arial" w:eastAsia="Arial" w:hAnsi="Arial" w:cs="Arial"/>
        </w:rPr>
      </w:pPr>
    </w:p>
    <w:p w14:paraId="580A5917" w14:textId="77777777" w:rsidR="001C66F1" w:rsidRDefault="001C66F1">
      <w:pPr>
        <w:spacing w:after="220" w:line="360" w:lineRule="auto"/>
        <w:ind w:left="426"/>
        <w:rPr>
          <w:rFonts w:ascii="Arial" w:eastAsia="Arial" w:hAnsi="Arial" w:cs="Arial"/>
        </w:rPr>
      </w:pPr>
    </w:p>
    <w:p w14:paraId="580A5918" w14:textId="77777777" w:rsidR="001C66F1" w:rsidRDefault="001C66F1">
      <w:pPr>
        <w:spacing w:after="220" w:line="360" w:lineRule="auto"/>
        <w:ind w:left="426"/>
        <w:rPr>
          <w:rFonts w:ascii="Arial" w:eastAsia="Arial" w:hAnsi="Arial" w:cs="Arial"/>
        </w:rPr>
      </w:pPr>
    </w:p>
    <w:p w14:paraId="580A5919" w14:textId="77777777" w:rsidR="001C66F1" w:rsidRDefault="001C66F1">
      <w:pPr>
        <w:spacing w:after="220" w:line="240" w:lineRule="auto"/>
        <w:rPr>
          <w:rFonts w:ascii="Arial" w:eastAsia="Arial" w:hAnsi="Arial" w:cs="Arial"/>
        </w:rPr>
      </w:pPr>
    </w:p>
    <w:p w14:paraId="580A591A" w14:textId="77777777" w:rsidR="001C66F1" w:rsidRDefault="001C66F1">
      <w:pPr>
        <w:spacing w:after="220" w:line="240" w:lineRule="auto"/>
        <w:jc w:val="center"/>
        <w:rPr>
          <w:rFonts w:ascii="Aptos" w:eastAsia="Aptos" w:hAnsi="Aptos" w:cs="Aptos"/>
          <w:b/>
          <w:sz w:val="36"/>
          <w:szCs w:val="36"/>
        </w:rPr>
      </w:pPr>
    </w:p>
    <w:p w14:paraId="580A591B" w14:textId="77777777" w:rsidR="001C66F1" w:rsidRDefault="00F233D0">
      <w:pPr>
        <w:spacing w:after="220" w:line="240" w:lineRule="auto"/>
        <w:jc w:val="center"/>
        <w:rPr>
          <w:rFonts w:ascii="Aptos" w:eastAsia="Aptos" w:hAnsi="Aptos" w:cs="Aptos"/>
          <w:b/>
          <w:sz w:val="36"/>
          <w:szCs w:val="36"/>
        </w:rPr>
      </w:pPr>
      <w:r>
        <w:rPr>
          <w:rFonts w:ascii="Aptos" w:eastAsia="Aptos" w:hAnsi="Aptos" w:cs="Aptos"/>
          <w:b/>
          <w:sz w:val="36"/>
          <w:szCs w:val="36"/>
        </w:rPr>
        <w:t xml:space="preserve">Methods and Search Strategy Academic Poster </w:t>
      </w:r>
    </w:p>
    <w:p w14:paraId="580A591C" w14:textId="77777777" w:rsidR="001C66F1" w:rsidRDefault="001C66F1">
      <w:pPr>
        <w:spacing w:after="220" w:line="240" w:lineRule="auto"/>
        <w:jc w:val="center"/>
        <w:rPr>
          <w:rFonts w:ascii="Aptos" w:eastAsia="Aptos" w:hAnsi="Aptos" w:cs="Aptos"/>
          <w:b/>
          <w:sz w:val="36"/>
          <w:szCs w:val="36"/>
        </w:rPr>
      </w:pPr>
    </w:p>
    <w:p w14:paraId="580A591D" w14:textId="77777777" w:rsidR="001C66F1" w:rsidRDefault="001C66F1">
      <w:pPr>
        <w:spacing w:after="220" w:line="240" w:lineRule="auto"/>
        <w:jc w:val="center"/>
        <w:rPr>
          <w:rFonts w:ascii="Aptos" w:eastAsia="Aptos" w:hAnsi="Aptos" w:cs="Aptos"/>
          <w:b/>
          <w:sz w:val="36"/>
          <w:szCs w:val="36"/>
        </w:rPr>
      </w:pPr>
    </w:p>
    <w:p w14:paraId="580A591E" w14:textId="77777777" w:rsidR="001C66F1" w:rsidRDefault="001C66F1">
      <w:pPr>
        <w:spacing w:after="220" w:line="240" w:lineRule="auto"/>
        <w:jc w:val="center"/>
        <w:rPr>
          <w:rFonts w:ascii="Aptos" w:eastAsia="Aptos" w:hAnsi="Aptos" w:cs="Aptos"/>
          <w:b/>
          <w:sz w:val="36"/>
          <w:szCs w:val="36"/>
        </w:rPr>
      </w:pPr>
    </w:p>
    <w:p w14:paraId="580A591F" w14:textId="77777777" w:rsidR="001C66F1" w:rsidRDefault="00F233D0" w:rsidP="00F233D0">
      <w:pPr>
        <w:tabs>
          <w:tab w:val="left" w:pos="6540"/>
        </w:tabs>
        <w:spacing w:after="220" w:line="360" w:lineRule="auto"/>
        <w:ind w:left="426"/>
        <w:jc w:val="center"/>
        <w:rPr>
          <w:rFonts w:ascii="Aptos" w:eastAsia="Aptos" w:hAnsi="Aptos" w:cs="Aptos"/>
          <w:sz w:val="28"/>
          <w:szCs w:val="28"/>
        </w:rPr>
      </w:pPr>
      <w:r>
        <w:rPr>
          <w:rFonts w:ascii="Aptos" w:eastAsia="Aptos" w:hAnsi="Aptos" w:cs="Aptos"/>
          <w:b/>
          <w:sz w:val="28"/>
          <w:szCs w:val="28"/>
        </w:rPr>
        <w:t>Student name</w:t>
      </w:r>
      <w:r>
        <w:rPr>
          <w:rFonts w:ascii="Aptos" w:eastAsia="Aptos" w:hAnsi="Aptos" w:cs="Aptos"/>
          <w:sz w:val="28"/>
          <w:szCs w:val="28"/>
        </w:rPr>
        <w:t>: Saira Arif</w:t>
      </w:r>
    </w:p>
    <w:p w14:paraId="580A5920" w14:textId="7CB846C5" w:rsidR="001C66F1" w:rsidRDefault="00F233D0" w:rsidP="00F233D0">
      <w:pPr>
        <w:tabs>
          <w:tab w:val="left" w:pos="6540"/>
        </w:tabs>
        <w:spacing w:after="220" w:line="360" w:lineRule="auto"/>
        <w:ind w:left="426"/>
        <w:jc w:val="center"/>
        <w:rPr>
          <w:rFonts w:ascii="Aptos" w:eastAsia="Aptos" w:hAnsi="Aptos" w:cs="Aptos"/>
          <w:sz w:val="28"/>
          <w:szCs w:val="28"/>
        </w:rPr>
      </w:pPr>
      <w:r>
        <w:rPr>
          <w:rFonts w:ascii="Aptos" w:eastAsia="Aptos" w:hAnsi="Aptos" w:cs="Aptos"/>
          <w:b/>
          <w:sz w:val="28"/>
          <w:szCs w:val="28"/>
        </w:rPr>
        <w:t>Student ID</w:t>
      </w:r>
      <w:r>
        <w:rPr>
          <w:rFonts w:ascii="Aptos" w:eastAsia="Aptos" w:hAnsi="Aptos" w:cs="Aptos"/>
          <w:sz w:val="28"/>
          <w:szCs w:val="28"/>
        </w:rPr>
        <w:t>: 2220569</w:t>
      </w:r>
    </w:p>
    <w:p w14:paraId="580A5921" w14:textId="77777777" w:rsidR="001C66F1" w:rsidRDefault="001C66F1" w:rsidP="00F233D0">
      <w:pPr>
        <w:tabs>
          <w:tab w:val="left" w:pos="6540"/>
        </w:tabs>
        <w:spacing w:after="220" w:line="360" w:lineRule="auto"/>
        <w:ind w:left="426"/>
        <w:jc w:val="center"/>
        <w:rPr>
          <w:rFonts w:ascii="Aptos" w:eastAsia="Aptos" w:hAnsi="Aptos" w:cs="Aptos"/>
          <w:sz w:val="28"/>
          <w:szCs w:val="28"/>
        </w:rPr>
      </w:pPr>
      <w:bookmarkStart w:id="0" w:name="_GoBack"/>
      <w:bookmarkEnd w:id="0"/>
    </w:p>
    <w:p w14:paraId="580A5922" w14:textId="02A8B816" w:rsidR="001C66F1" w:rsidRDefault="00F233D0" w:rsidP="00F233D0">
      <w:pPr>
        <w:tabs>
          <w:tab w:val="left" w:pos="6540"/>
        </w:tabs>
        <w:spacing w:after="220" w:line="360" w:lineRule="auto"/>
        <w:ind w:left="426"/>
        <w:jc w:val="center"/>
        <w:rPr>
          <w:rFonts w:ascii="Aptos" w:eastAsia="Aptos" w:hAnsi="Aptos" w:cs="Aptos"/>
          <w:sz w:val="28"/>
          <w:szCs w:val="28"/>
        </w:rPr>
      </w:pPr>
      <w:r>
        <w:rPr>
          <w:rFonts w:ascii="Aptos" w:eastAsia="Aptos" w:hAnsi="Aptos" w:cs="Aptos"/>
          <w:b/>
          <w:sz w:val="28"/>
          <w:szCs w:val="28"/>
        </w:rPr>
        <w:t>Module name</w:t>
      </w:r>
      <w:r>
        <w:rPr>
          <w:rFonts w:ascii="Aptos" w:eastAsia="Aptos" w:hAnsi="Aptos" w:cs="Aptos"/>
          <w:sz w:val="28"/>
          <w:szCs w:val="28"/>
        </w:rPr>
        <w:t xml:space="preserve">: Independent Project </w:t>
      </w:r>
    </w:p>
    <w:p w14:paraId="580A5923" w14:textId="4FFC1D52" w:rsidR="001C66F1" w:rsidRDefault="00F233D0" w:rsidP="00F233D0">
      <w:pPr>
        <w:tabs>
          <w:tab w:val="left" w:pos="6540"/>
        </w:tabs>
        <w:spacing w:after="220" w:line="360" w:lineRule="auto"/>
        <w:ind w:left="426"/>
        <w:jc w:val="center"/>
        <w:rPr>
          <w:rFonts w:ascii="Aptos" w:eastAsia="Aptos" w:hAnsi="Aptos" w:cs="Aptos"/>
          <w:sz w:val="28"/>
          <w:szCs w:val="28"/>
        </w:rPr>
      </w:pPr>
      <w:r>
        <w:rPr>
          <w:rFonts w:ascii="Aptos" w:eastAsia="Aptos" w:hAnsi="Aptos" w:cs="Aptos"/>
          <w:b/>
          <w:sz w:val="28"/>
          <w:szCs w:val="28"/>
        </w:rPr>
        <w:t>Module code</w:t>
      </w:r>
      <w:r>
        <w:rPr>
          <w:rFonts w:ascii="Aptos" w:eastAsia="Aptos" w:hAnsi="Aptos" w:cs="Aptos"/>
          <w:sz w:val="28"/>
          <w:szCs w:val="28"/>
        </w:rPr>
        <w:t>: BMHP 6020</w:t>
      </w:r>
    </w:p>
    <w:p w14:paraId="580A5924" w14:textId="77777777" w:rsidR="001C66F1" w:rsidRDefault="00F233D0">
      <w:pPr>
        <w:spacing w:after="220" w:line="240" w:lineRule="auto"/>
        <w:jc w:val="center"/>
        <w:rPr>
          <w:rFonts w:ascii="Aptos" w:eastAsia="Aptos" w:hAnsi="Aptos" w:cs="Aptos"/>
          <w:b/>
        </w:rPr>
        <w:sectPr w:rsidR="001C66F1">
          <w:headerReference w:type="default" r:id="rId8"/>
          <w:headerReference w:type="first" r:id="rId9"/>
          <w:pgSz w:w="12240" w:h="15840"/>
          <w:pgMar w:top="720" w:right="576" w:bottom="720" w:left="720" w:header="432" w:footer="288" w:gutter="0"/>
          <w:pgNumType w:start="1"/>
          <w:cols w:space="720"/>
          <w:titlePg/>
        </w:sectPr>
      </w:pPr>
      <w:r>
        <w:br w:type="page"/>
      </w:r>
    </w:p>
    <w:p w14:paraId="580A5925" w14:textId="77777777" w:rsidR="001C66F1" w:rsidRDefault="001C66F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ptos" w:eastAsia="Aptos" w:hAnsi="Aptos" w:cs="Aptos"/>
          <w:b/>
        </w:rPr>
      </w:pPr>
    </w:p>
    <w:tbl>
      <w:tblPr>
        <w:tblStyle w:val="a"/>
        <w:tblW w:w="145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232"/>
        <w:gridCol w:w="8080"/>
        <w:gridCol w:w="236"/>
      </w:tblGrid>
      <w:tr w:rsidR="001C66F1" w14:paraId="580A5927" w14:textId="77777777">
        <w:trPr>
          <w:gridAfter w:val="1"/>
          <w:wAfter w:w="236" w:type="dxa"/>
          <w:trHeight w:val="597"/>
        </w:trPr>
        <w:tc>
          <w:tcPr>
            <w:tcW w:w="14312" w:type="dxa"/>
            <w:gridSpan w:val="2"/>
            <w:shd w:val="clear" w:color="auto" w:fill="DEEBF6"/>
            <w:vAlign w:val="center"/>
          </w:tcPr>
          <w:p w14:paraId="580A5926" w14:textId="77777777" w:rsidR="001C66F1" w:rsidRDefault="00F233D0">
            <w:pPr>
              <w:spacing w:after="200" w:line="360" w:lineRule="auto"/>
              <w:jc w:val="both"/>
              <w:rPr>
                <w:rFonts w:ascii="Arial" w:eastAsia="Arial" w:hAnsi="Arial" w:cs="Arial"/>
                <w:b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sz w:val="28"/>
                <w:szCs w:val="28"/>
              </w:rPr>
              <w:t>The impact of the COVID-19 pandemic on Mental Health coping strategies among Healthcare Workers.</w:t>
            </w:r>
          </w:p>
        </w:tc>
      </w:tr>
      <w:tr w:rsidR="001C66F1" w14:paraId="580A5933" w14:textId="77777777">
        <w:trPr>
          <w:gridAfter w:val="1"/>
          <w:wAfter w:w="236" w:type="dxa"/>
          <w:trHeight w:val="1540"/>
        </w:trPr>
        <w:tc>
          <w:tcPr>
            <w:tcW w:w="6232" w:type="dxa"/>
            <w:shd w:val="clear" w:color="auto" w:fill="9CC3E5"/>
          </w:tcPr>
          <w:p w14:paraId="580A5928" w14:textId="77777777" w:rsidR="001C66F1" w:rsidRDefault="00F233D0">
            <w:pPr>
              <w:spacing w:after="0"/>
              <w:rPr>
                <w:b/>
              </w:rPr>
            </w:pPr>
            <w:r>
              <w:rPr>
                <w:b/>
              </w:rPr>
              <w:t>Introduction and Research Aim:</w:t>
            </w:r>
          </w:p>
          <w:p w14:paraId="580A5929" w14:textId="77777777" w:rsidR="001C66F1" w:rsidRDefault="00F233D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9" w:lineRule="auto"/>
            </w:pPr>
            <w:r>
              <w:rPr>
                <w:color w:val="000000"/>
              </w:rPr>
              <w:t>Structured secondary research design (Johnston, 2017)</w:t>
            </w:r>
          </w:p>
          <w:p w14:paraId="580A592A" w14:textId="77777777" w:rsidR="001C66F1" w:rsidRDefault="00F233D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9" w:lineRule="auto"/>
            </w:pPr>
            <w:r>
              <w:rPr>
                <w:color w:val="000000"/>
              </w:rPr>
              <w:t>Explores stress, burnout, anxiety, depression in HCWs</w:t>
            </w:r>
          </w:p>
          <w:p w14:paraId="580A592B" w14:textId="77777777" w:rsidR="001C66F1" w:rsidRDefault="00F233D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9" w:lineRule="auto"/>
            </w:pPr>
            <w:r>
              <w:rPr>
                <w:color w:val="000000"/>
              </w:rPr>
              <w:t>Evaluates coping strategies &amp; organisational support</w:t>
            </w:r>
          </w:p>
          <w:p w14:paraId="580A592C" w14:textId="77777777" w:rsidR="001C66F1" w:rsidRDefault="00F233D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9" w:lineRule="auto"/>
            </w:pPr>
            <w:r>
              <w:rPr>
                <w:color w:val="000000"/>
              </w:rPr>
              <w:t>Enables synthesis of global evidence (Aveyard, 2019)</w:t>
            </w:r>
          </w:p>
        </w:tc>
        <w:tc>
          <w:tcPr>
            <w:tcW w:w="8080" w:type="dxa"/>
            <w:shd w:val="clear" w:color="auto" w:fill="9CC3E5"/>
          </w:tcPr>
          <w:p w14:paraId="580A592D" w14:textId="77777777" w:rsidR="001C66F1" w:rsidRDefault="00F233D0">
            <w:pPr>
              <w:spacing w:after="0"/>
              <w:rPr>
                <w:b/>
              </w:rPr>
            </w:pPr>
            <w:r>
              <w:rPr>
                <w:b/>
              </w:rPr>
              <w:t>Search Strategy:</w:t>
            </w:r>
          </w:p>
          <w:p w14:paraId="580A592E" w14:textId="77777777" w:rsidR="001C66F1" w:rsidRDefault="00F233D0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9" w:lineRule="auto"/>
            </w:pPr>
            <w:r>
              <w:rPr>
                <w:color w:val="000000"/>
              </w:rPr>
              <w:t>Systematic search principles applied (Booth et al., 2016)</w:t>
            </w:r>
          </w:p>
          <w:p w14:paraId="580A592F" w14:textId="77777777" w:rsidR="001C66F1" w:rsidRDefault="00F233D0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9" w:lineRule="auto"/>
            </w:pPr>
            <w:r>
              <w:rPr>
                <w:color w:val="000000"/>
              </w:rPr>
              <w:t>Keywords: healthcare workers, COVID-19, mental health</w:t>
            </w:r>
          </w:p>
          <w:p w14:paraId="580A5930" w14:textId="77777777" w:rsidR="001C66F1" w:rsidRDefault="00F233D0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9" w:lineRule="auto"/>
            </w:pPr>
            <w:r>
              <w:rPr>
                <w:color w:val="000000"/>
              </w:rPr>
              <w:t>Boolean operators: AND / OR / NOT</w:t>
            </w:r>
          </w:p>
          <w:p w14:paraId="580A5931" w14:textId="77777777" w:rsidR="001C66F1" w:rsidRDefault="00F233D0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9" w:lineRule="auto"/>
            </w:pPr>
            <w:r>
              <w:rPr>
                <w:color w:val="000000"/>
              </w:rPr>
              <w:t>Synonyms used to reduce publication bias (Hart, 2018)</w:t>
            </w:r>
          </w:p>
          <w:p w14:paraId="580A5932" w14:textId="77777777" w:rsidR="001C66F1" w:rsidRDefault="00F233D0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9" w:lineRule="auto"/>
            </w:pPr>
            <w:r>
              <w:rPr>
                <w:color w:val="000000"/>
              </w:rPr>
              <w:t>Search log maintained for transparency</w:t>
            </w:r>
          </w:p>
        </w:tc>
      </w:tr>
      <w:tr w:rsidR="001C66F1" w14:paraId="580A593B" w14:textId="77777777">
        <w:trPr>
          <w:gridAfter w:val="1"/>
          <w:wAfter w:w="236" w:type="dxa"/>
          <w:trHeight w:val="1578"/>
        </w:trPr>
        <w:tc>
          <w:tcPr>
            <w:tcW w:w="6232" w:type="dxa"/>
            <w:shd w:val="clear" w:color="auto" w:fill="9CC3E5"/>
          </w:tcPr>
          <w:p w14:paraId="580A5934" w14:textId="77777777" w:rsidR="001C66F1" w:rsidRDefault="00F233D0">
            <w:pPr>
              <w:spacing w:after="0"/>
              <w:rPr>
                <w:b/>
              </w:rPr>
            </w:pPr>
            <w:r>
              <w:rPr>
                <w:b/>
              </w:rPr>
              <w:t xml:space="preserve">Searching for Information </w:t>
            </w:r>
          </w:p>
          <w:p w14:paraId="580A5935" w14:textId="77777777" w:rsidR="001C66F1" w:rsidRDefault="00F233D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9" w:lineRule="auto"/>
            </w:pPr>
            <w:r>
              <w:rPr>
                <w:color w:val="000000"/>
              </w:rPr>
              <w:t>PubMed (biomedical focus)</w:t>
            </w:r>
          </w:p>
          <w:p w14:paraId="580A5936" w14:textId="77777777" w:rsidR="001C66F1" w:rsidRDefault="00F233D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9" w:lineRule="auto"/>
            </w:pPr>
            <w:r>
              <w:rPr>
                <w:color w:val="000000"/>
              </w:rPr>
              <w:t>Google Scholar (interdisciplinary coverage)</w:t>
            </w:r>
          </w:p>
          <w:p w14:paraId="580A5937" w14:textId="77777777" w:rsidR="001C66F1" w:rsidRDefault="00F233D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9" w:lineRule="auto"/>
            </w:pPr>
            <w:r>
              <w:rPr>
                <w:color w:val="000000"/>
              </w:rPr>
              <w:t>UWTSD Library databases</w:t>
            </w:r>
          </w:p>
          <w:p w14:paraId="580A5938" w14:textId="77777777" w:rsidR="001C66F1" w:rsidRDefault="00F233D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9" w:lineRule="auto"/>
            </w:pPr>
            <w:r>
              <w:rPr>
                <w:color w:val="000000"/>
              </w:rPr>
              <w:t>Filters: 2020–2025, peer-reviewed, English language</w:t>
            </w:r>
          </w:p>
          <w:p w14:paraId="580A5939" w14:textId="77777777" w:rsidR="001C66F1" w:rsidRDefault="00F233D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9" w:lineRule="auto"/>
            </w:pPr>
            <w:r>
              <w:rPr>
                <w:color w:val="000000"/>
              </w:rPr>
              <w:t>Iterative screening process</w:t>
            </w:r>
          </w:p>
        </w:tc>
        <w:tc>
          <w:tcPr>
            <w:tcW w:w="8080" w:type="dxa"/>
            <w:vMerge w:val="restart"/>
            <w:shd w:val="clear" w:color="auto" w:fill="9CC3E5"/>
          </w:tcPr>
          <w:p w14:paraId="580A593A" w14:textId="77777777" w:rsidR="001C66F1" w:rsidRDefault="00F233D0">
            <w:pPr>
              <w:spacing w:after="0"/>
            </w:pP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580A5964" wp14:editId="580A5965">
                  <wp:extent cx="4191000" cy="2619375"/>
                  <wp:effectExtent l="0" t="0" r="0" b="0"/>
                  <wp:docPr id="2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1000" cy="26193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66F1" w14:paraId="580A5944" w14:textId="77777777">
        <w:trPr>
          <w:gridAfter w:val="1"/>
          <w:wAfter w:w="236" w:type="dxa"/>
          <w:trHeight w:val="2880"/>
        </w:trPr>
        <w:tc>
          <w:tcPr>
            <w:tcW w:w="6232" w:type="dxa"/>
            <w:shd w:val="clear" w:color="auto" w:fill="9CC3E5"/>
          </w:tcPr>
          <w:p w14:paraId="580A593C" w14:textId="77777777" w:rsidR="001C66F1" w:rsidRDefault="00F233D0">
            <w:pPr>
              <w:spacing w:after="0"/>
              <w:rPr>
                <w:b/>
              </w:rPr>
            </w:pPr>
            <w:r>
              <w:rPr>
                <w:b/>
              </w:rPr>
              <w:t>Research Validation and Analysis</w:t>
            </w:r>
          </w:p>
          <w:p w14:paraId="580A593D" w14:textId="77777777" w:rsidR="001C66F1" w:rsidRDefault="00F233D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9" w:lineRule="auto"/>
            </w:pPr>
            <w:r>
              <w:rPr>
                <w:color w:val="000000"/>
              </w:rPr>
              <w:t>CRAAP test applied (Blakeslee, 2004)</w:t>
            </w:r>
          </w:p>
          <w:p w14:paraId="580A593E" w14:textId="77777777" w:rsidR="001C66F1" w:rsidRDefault="00F233D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9" w:lineRule="auto"/>
            </w:pPr>
            <w:r>
              <w:rPr>
                <w:color w:val="000000"/>
              </w:rPr>
              <w:t>Currency &amp; pandemic relevance checked</w:t>
            </w:r>
          </w:p>
          <w:p w14:paraId="580A593F" w14:textId="77777777" w:rsidR="001C66F1" w:rsidRDefault="00F233D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9" w:lineRule="auto"/>
            </w:pPr>
            <w:r>
              <w:rPr>
                <w:color w:val="000000"/>
              </w:rPr>
              <w:t>Authority &amp; institutional credibility verified</w:t>
            </w:r>
          </w:p>
          <w:p w14:paraId="580A5940" w14:textId="77777777" w:rsidR="001C66F1" w:rsidRDefault="00F233D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9" w:lineRule="auto"/>
            </w:pPr>
            <w:r>
              <w:rPr>
                <w:color w:val="000000"/>
              </w:rPr>
              <w:t>Methodological rigour critically examined</w:t>
            </w:r>
          </w:p>
          <w:p w14:paraId="580A5941" w14:textId="77777777" w:rsidR="001C66F1" w:rsidRDefault="00F233D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9" w:lineRule="auto"/>
            </w:pPr>
            <w:r>
              <w:rPr>
                <w:color w:val="000000"/>
              </w:rPr>
              <w:t>Enhances reliability &amp; academic integrity (Aveyard, 2019).</w:t>
            </w:r>
          </w:p>
          <w:p w14:paraId="580A5942" w14:textId="77777777" w:rsidR="001C66F1" w:rsidRDefault="001C66F1">
            <w:pPr>
              <w:spacing w:after="0"/>
            </w:pPr>
          </w:p>
        </w:tc>
        <w:tc>
          <w:tcPr>
            <w:tcW w:w="8080" w:type="dxa"/>
            <w:vMerge/>
            <w:shd w:val="clear" w:color="auto" w:fill="9CC3E5"/>
          </w:tcPr>
          <w:p w14:paraId="580A5943" w14:textId="77777777" w:rsidR="001C66F1" w:rsidRDefault="001C66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</w:pPr>
          </w:p>
        </w:tc>
      </w:tr>
      <w:tr w:rsidR="001C66F1" w14:paraId="580A5950" w14:textId="77777777">
        <w:trPr>
          <w:gridAfter w:val="1"/>
          <w:wAfter w:w="236" w:type="dxa"/>
          <w:trHeight w:val="1856"/>
        </w:trPr>
        <w:tc>
          <w:tcPr>
            <w:tcW w:w="6232" w:type="dxa"/>
            <w:shd w:val="clear" w:color="auto" w:fill="9CC3E5"/>
          </w:tcPr>
          <w:p w14:paraId="580A5945" w14:textId="77777777" w:rsidR="001C66F1" w:rsidRDefault="00F233D0">
            <w:pPr>
              <w:spacing w:after="0"/>
              <w:rPr>
                <w:b/>
              </w:rPr>
            </w:pPr>
            <w:r>
              <w:rPr>
                <w:b/>
              </w:rPr>
              <w:t>Inclusion Criteria:</w:t>
            </w:r>
          </w:p>
          <w:p w14:paraId="580A5946" w14:textId="77777777" w:rsidR="001C66F1" w:rsidRDefault="00F233D0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9" w:lineRule="auto"/>
            </w:pPr>
            <w:r>
              <w:rPr>
                <w:color w:val="000000"/>
              </w:rPr>
              <w:t>Peer-reviewed journal articles</w:t>
            </w:r>
          </w:p>
          <w:p w14:paraId="580A5947" w14:textId="77777777" w:rsidR="001C66F1" w:rsidRDefault="00F233D0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9" w:lineRule="auto"/>
            </w:pPr>
            <w:r>
              <w:rPr>
                <w:color w:val="000000"/>
              </w:rPr>
              <w:t>Published 2020–2025</w:t>
            </w:r>
          </w:p>
          <w:p w14:paraId="580A5948" w14:textId="77777777" w:rsidR="001C66F1" w:rsidRDefault="00F233D0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9" w:lineRule="auto"/>
            </w:pPr>
            <w:r>
              <w:rPr>
                <w:color w:val="000000"/>
              </w:rPr>
              <w:t>Healthcare worker focus</w:t>
            </w:r>
          </w:p>
          <w:p w14:paraId="580A5949" w14:textId="77777777" w:rsidR="001C66F1" w:rsidRDefault="00F233D0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9" w:lineRule="auto"/>
            </w:pPr>
            <w:r>
              <w:rPr>
                <w:color w:val="000000"/>
              </w:rPr>
              <w:t>Mental health outcomes examined</w:t>
            </w:r>
          </w:p>
          <w:p w14:paraId="580A594A" w14:textId="77777777" w:rsidR="001C66F1" w:rsidRDefault="00F233D0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9" w:lineRule="auto"/>
            </w:pPr>
            <w:r>
              <w:rPr>
                <w:color w:val="000000"/>
              </w:rPr>
              <w:t>Coping or organisational strategies included</w:t>
            </w:r>
          </w:p>
        </w:tc>
        <w:tc>
          <w:tcPr>
            <w:tcW w:w="8080" w:type="dxa"/>
            <w:shd w:val="clear" w:color="auto" w:fill="9CC3E5"/>
          </w:tcPr>
          <w:p w14:paraId="580A594B" w14:textId="77777777" w:rsidR="001C66F1" w:rsidRDefault="00F233D0">
            <w:pPr>
              <w:spacing w:after="0"/>
              <w:rPr>
                <w:b/>
              </w:rPr>
            </w:pPr>
            <w:r>
              <w:rPr>
                <w:b/>
              </w:rPr>
              <w:t>Exclusion Criteria:</w:t>
            </w:r>
          </w:p>
          <w:p w14:paraId="580A594C" w14:textId="77777777" w:rsidR="001C66F1" w:rsidRDefault="00F233D0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9" w:lineRule="auto"/>
            </w:pPr>
            <w:r>
              <w:rPr>
                <w:color w:val="000000"/>
              </w:rPr>
              <w:t>Non-peer reviewed source</w:t>
            </w:r>
          </w:p>
          <w:p w14:paraId="580A594D" w14:textId="77777777" w:rsidR="001C66F1" w:rsidRDefault="00F233D0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9" w:lineRule="auto"/>
            </w:pPr>
            <w:r>
              <w:rPr>
                <w:color w:val="000000"/>
              </w:rPr>
              <w:t>Non-healthcare populations</w:t>
            </w:r>
          </w:p>
          <w:p w14:paraId="580A594E" w14:textId="77777777" w:rsidR="001C66F1" w:rsidRDefault="00F233D0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9" w:lineRule="auto"/>
            </w:pPr>
            <w:r>
              <w:rPr>
                <w:color w:val="000000"/>
              </w:rPr>
              <w:t>Non-English publications</w:t>
            </w:r>
          </w:p>
          <w:p w14:paraId="580A594F" w14:textId="77777777" w:rsidR="001C66F1" w:rsidRDefault="00F233D0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9" w:lineRule="auto"/>
            </w:pPr>
            <w:r>
              <w:rPr>
                <w:color w:val="000000"/>
              </w:rPr>
              <w:t xml:space="preserve">Studies lacking methodological transparency </w:t>
            </w:r>
          </w:p>
        </w:tc>
      </w:tr>
      <w:tr w:rsidR="001C66F1" w14:paraId="580A5957" w14:textId="77777777">
        <w:trPr>
          <w:trHeight w:val="1798"/>
        </w:trPr>
        <w:tc>
          <w:tcPr>
            <w:tcW w:w="14312" w:type="dxa"/>
            <w:gridSpan w:val="2"/>
            <w:shd w:val="clear" w:color="auto" w:fill="9CC3E5"/>
          </w:tcPr>
          <w:p w14:paraId="580A5951" w14:textId="77777777" w:rsidR="001C66F1" w:rsidRDefault="00F233D0">
            <w:pPr>
              <w:spacing w:after="0"/>
              <w:rPr>
                <w:b/>
              </w:rPr>
            </w:pPr>
            <w:r>
              <w:rPr>
                <w:b/>
              </w:rPr>
              <w:lastRenderedPageBreak/>
              <w:t>Ethical Considerations:</w:t>
            </w:r>
          </w:p>
          <w:p w14:paraId="580A5952" w14:textId="77777777" w:rsidR="001C66F1" w:rsidRDefault="00F233D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9" w:lineRule="auto"/>
            </w:pPr>
            <w:r>
              <w:rPr>
                <w:color w:val="000000"/>
              </w:rPr>
              <w:t>Secondary data only – no participants involved</w:t>
            </w:r>
          </w:p>
          <w:p w14:paraId="580A5953" w14:textId="77777777" w:rsidR="001C66F1" w:rsidRDefault="00F233D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9" w:lineRule="auto"/>
            </w:pPr>
            <w:r>
              <w:rPr>
                <w:color w:val="000000"/>
              </w:rPr>
              <w:t>Accurate Harvard referencing maintained</w:t>
            </w:r>
          </w:p>
          <w:p w14:paraId="580A5954" w14:textId="77777777" w:rsidR="001C66F1" w:rsidRDefault="00F233D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9" w:lineRule="auto"/>
            </w:pPr>
            <w:r>
              <w:rPr>
                <w:color w:val="000000"/>
              </w:rPr>
              <w:t>Balanced reporting of findings</w:t>
            </w:r>
          </w:p>
          <w:p w14:paraId="580A5955" w14:textId="77777777" w:rsidR="001C66F1" w:rsidRDefault="00F233D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9" w:lineRule="auto"/>
            </w:pPr>
            <w:r>
              <w:rPr>
                <w:color w:val="000000"/>
              </w:rPr>
              <w:t>Transparency in search &amp; analysis process (Booth et al., 2016)</w:t>
            </w:r>
          </w:p>
        </w:tc>
        <w:tc>
          <w:tcPr>
            <w:tcW w:w="236" w:type="dxa"/>
            <w:shd w:val="clear" w:color="auto" w:fill="9CC3E5"/>
          </w:tcPr>
          <w:p w14:paraId="580A5956" w14:textId="77777777" w:rsidR="001C66F1" w:rsidRDefault="001C66F1">
            <w:pPr>
              <w:spacing w:after="0"/>
            </w:pPr>
          </w:p>
        </w:tc>
      </w:tr>
    </w:tbl>
    <w:p w14:paraId="580A5958" w14:textId="77777777" w:rsidR="001C66F1" w:rsidRDefault="001C66F1">
      <w:pPr>
        <w:spacing w:after="220" w:line="240" w:lineRule="auto"/>
        <w:sectPr w:rsidR="001C66F1">
          <w:pgSz w:w="15840" w:h="12240" w:orient="landscape"/>
          <w:pgMar w:top="720" w:right="720" w:bottom="576" w:left="720" w:header="432" w:footer="288" w:gutter="0"/>
          <w:cols w:space="720"/>
          <w:titlePg/>
        </w:sectPr>
      </w:pPr>
    </w:p>
    <w:p w14:paraId="580A5959" w14:textId="77777777" w:rsidR="001C66F1" w:rsidRDefault="00F233D0">
      <w:pPr>
        <w:spacing w:after="220" w:line="240" w:lineRule="auto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lastRenderedPageBreak/>
        <w:t>References:</w:t>
      </w:r>
    </w:p>
    <w:p w14:paraId="580A595A" w14:textId="77777777" w:rsidR="001C66F1" w:rsidRDefault="00F233D0">
      <w:pPr>
        <w:pBdr>
          <w:top w:val="nil"/>
          <w:left w:val="nil"/>
          <w:bottom w:val="nil"/>
          <w:right w:val="nil"/>
          <w:between w:val="nil"/>
        </w:pBdr>
        <w:spacing w:before="280" w:after="280"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Aveyard, H. (2019) </w:t>
      </w:r>
      <w:r>
        <w:rPr>
          <w:rFonts w:ascii="Arial" w:eastAsia="Arial" w:hAnsi="Arial" w:cs="Arial"/>
          <w:i/>
          <w:color w:val="000000"/>
        </w:rPr>
        <w:t>Doing a literature review in health and social care</w:t>
      </w:r>
      <w:r>
        <w:rPr>
          <w:rFonts w:ascii="Arial" w:eastAsia="Arial" w:hAnsi="Arial" w:cs="Arial"/>
          <w:color w:val="000000"/>
        </w:rPr>
        <w:t>. 4th edn. Maidenhead: Open University Press.</w:t>
      </w:r>
    </w:p>
    <w:p w14:paraId="580A595B" w14:textId="77777777" w:rsidR="001C66F1" w:rsidRDefault="00F233D0">
      <w:pPr>
        <w:pBdr>
          <w:top w:val="nil"/>
          <w:left w:val="nil"/>
          <w:bottom w:val="nil"/>
          <w:right w:val="nil"/>
          <w:between w:val="nil"/>
        </w:pBdr>
        <w:spacing w:before="280" w:after="280"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Blakeslee, S. (2004) </w:t>
      </w:r>
      <w:r>
        <w:rPr>
          <w:rFonts w:ascii="Arial" w:eastAsia="Arial" w:hAnsi="Arial" w:cs="Arial"/>
          <w:i/>
          <w:color w:val="000000"/>
        </w:rPr>
        <w:t>The CRAAP test</w:t>
      </w:r>
      <w:r>
        <w:rPr>
          <w:rFonts w:ascii="Arial" w:eastAsia="Arial" w:hAnsi="Arial" w:cs="Arial"/>
          <w:color w:val="000000"/>
        </w:rPr>
        <w:t xml:space="preserve">. California State University, Chico. Available at: </w:t>
      </w:r>
      <w:hyperlink r:id="rId11">
        <w:r>
          <w:rPr>
            <w:rFonts w:ascii="Arial" w:eastAsia="Arial" w:hAnsi="Arial" w:cs="Arial"/>
            <w:color w:val="000000"/>
          </w:rPr>
          <w:t>https://www.csuchico.edu/lins/handouts/eval_websites.pdf</w:t>
        </w:r>
      </w:hyperlink>
      <w:r>
        <w:rPr>
          <w:rFonts w:ascii="Arial" w:eastAsia="Arial" w:hAnsi="Arial" w:cs="Arial"/>
          <w:color w:val="000000"/>
        </w:rPr>
        <w:t xml:space="preserve"> (Accessed: 19 February 2026).</w:t>
      </w:r>
    </w:p>
    <w:p w14:paraId="580A595C" w14:textId="77777777" w:rsidR="001C66F1" w:rsidRDefault="00F233D0">
      <w:pPr>
        <w:pBdr>
          <w:top w:val="nil"/>
          <w:left w:val="nil"/>
          <w:bottom w:val="nil"/>
          <w:right w:val="nil"/>
          <w:between w:val="nil"/>
        </w:pBdr>
        <w:spacing w:before="280" w:after="280"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Booth, A., Sutton, A. and Papaioannou, D. (2016) </w:t>
      </w:r>
      <w:r>
        <w:rPr>
          <w:rFonts w:ascii="Arial" w:eastAsia="Arial" w:hAnsi="Arial" w:cs="Arial"/>
          <w:i/>
          <w:color w:val="000000"/>
        </w:rPr>
        <w:t>Systematic approaches to a successful literature review</w:t>
      </w:r>
      <w:r>
        <w:rPr>
          <w:rFonts w:ascii="Arial" w:eastAsia="Arial" w:hAnsi="Arial" w:cs="Arial"/>
          <w:color w:val="000000"/>
        </w:rPr>
        <w:t>. 2nd edn. London: SAGE.</w:t>
      </w:r>
    </w:p>
    <w:p w14:paraId="580A595D" w14:textId="77777777" w:rsidR="001C66F1" w:rsidRDefault="00F233D0">
      <w:pPr>
        <w:pBdr>
          <w:top w:val="nil"/>
          <w:left w:val="nil"/>
          <w:bottom w:val="nil"/>
          <w:right w:val="nil"/>
          <w:between w:val="nil"/>
        </w:pBdr>
        <w:spacing w:before="280" w:after="280"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Braun, V. and Clarke, V. (2006) ‘Using thematic analysis in psychology’, </w:t>
      </w:r>
      <w:r>
        <w:rPr>
          <w:rFonts w:ascii="Arial" w:eastAsia="Arial" w:hAnsi="Arial" w:cs="Arial"/>
          <w:i/>
          <w:color w:val="000000"/>
        </w:rPr>
        <w:t>Qualitative Research in Psychology</w:t>
      </w:r>
      <w:r>
        <w:rPr>
          <w:rFonts w:ascii="Arial" w:eastAsia="Arial" w:hAnsi="Arial" w:cs="Arial"/>
          <w:color w:val="000000"/>
        </w:rPr>
        <w:t xml:space="preserve">, 3(2), pp. 77–101. </w:t>
      </w:r>
      <w:hyperlink r:id="rId12">
        <w:r>
          <w:rPr>
            <w:rFonts w:ascii="Arial" w:eastAsia="Arial" w:hAnsi="Arial" w:cs="Arial"/>
            <w:color w:val="000000"/>
          </w:rPr>
          <w:t>https://doi.org/10.1191/1478088706qp063oa</w:t>
        </w:r>
      </w:hyperlink>
    </w:p>
    <w:p w14:paraId="580A595E" w14:textId="77777777" w:rsidR="001C66F1" w:rsidRDefault="00F233D0">
      <w:pPr>
        <w:pBdr>
          <w:top w:val="nil"/>
          <w:left w:val="nil"/>
          <w:bottom w:val="nil"/>
          <w:right w:val="nil"/>
          <w:between w:val="nil"/>
        </w:pBdr>
        <w:spacing w:before="280" w:after="280"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Hart, C. (2018) </w:t>
      </w:r>
      <w:r>
        <w:rPr>
          <w:rFonts w:ascii="Arial" w:eastAsia="Arial" w:hAnsi="Arial" w:cs="Arial"/>
          <w:i/>
          <w:color w:val="000000"/>
        </w:rPr>
        <w:t>Doing a li</w:t>
      </w:r>
      <w:r>
        <w:rPr>
          <w:rFonts w:ascii="Arial" w:eastAsia="Arial" w:hAnsi="Arial" w:cs="Arial"/>
          <w:i/>
          <w:color w:val="000000"/>
        </w:rPr>
        <w:t>terature review: Releasing the research imagination</w:t>
      </w:r>
      <w:r>
        <w:rPr>
          <w:rFonts w:ascii="Arial" w:eastAsia="Arial" w:hAnsi="Arial" w:cs="Arial"/>
          <w:color w:val="000000"/>
        </w:rPr>
        <w:t>. 2nd edn. London: SAGE.</w:t>
      </w:r>
    </w:p>
    <w:p w14:paraId="580A595F" w14:textId="77777777" w:rsidR="001C66F1" w:rsidRDefault="00F233D0">
      <w:pPr>
        <w:pBdr>
          <w:top w:val="nil"/>
          <w:left w:val="nil"/>
          <w:bottom w:val="nil"/>
          <w:right w:val="nil"/>
          <w:between w:val="nil"/>
        </w:pBdr>
        <w:spacing w:before="280" w:after="280"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Johnston, M.P. (2017) ‘Secondary data analysis: A method of which the time has come’, </w:t>
      </w:r>
      <w:r>
        <w:rPr>
          <w:rFonts w:ascii="Arial" w:eastAsia="Arial" w:hAnsi="Arial" w:cs="Arial"/>
          <w:i/>
          <w:color w:val="000000"/>
        </w:rPr>
        <w:t>Qualitative and Quantitative Methods in Libraries</w:t>
      </w:r>
      <w:r>
        <w:rPr>
          <w:rFonts w:ascii="Arial" w:eastAsia="Arial" w:hAnsi="Arial" w:cs="Arial"/>
          <w:color w:val="000000"/>
        </w:rPr>
        <w:t>, 3(3), pp. 619–626.</w:t>
      </w:r>
    </w:p>
    <w:p w14:paraId="580A5960" w14:textId="77777777" w:rsidR="001C66F1" w:rsidRDefault="001C66F1">
      <w:pPr>
        <w:spacing w:after="220" w:line="240" w:lineRule="auto"/>
      </w:pPr>
    </w:p>
    <w:p w14:paraId="580A5961" w14:textId="77777777" w:rsidR="001C66F1" w:rsidRDefault="001C66F1">
      <w:pPr>
        <w:spacing w:after="220" w:line="240" w:lineRule="auto"/>
        <w:rPr>
          <w:rFonts w:ascii="Arial" w:eastAsia="Arial" w:hAnsi="Arial" w:cs="Arial"/>
          <w:sz w:val="24"/>
          <w:szCs w:val="24"/>
        </w:rPr>
      </w:pPr>
    </w:p>
    <w:sectPr w:rsidR="001C66F1">
      <w:pgSz w:w="12240" w:h="15840"/>
      <w:pgMar w:top="720" w:right="576" w:bottom="720" w:left="720" w:header="432" w:footer="288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0A596D" w14:textId="77777777" w:rsidR="00000000" w:rsidRDefault="00F233D0">
      <w:pPr>
        <w:spacing w:after="0" w:line="240" w:lineRule="auto"/>
      </w:pPr>
      <w:r>
        <w:separator/>
      </w:r>
    </w:p>
  </w:endnote>
  <w:endnote w:type="continuationSeparator" w:id="0">
    <w:p w14:paraId="580A596F" w14:textId="77777777" w:rsidR="00000000" w:rsidRDefault="00F233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Times New Roman"/>
    <w:charset w:val="00"/>
    <w:family w:val="swiss"/>
    <w:pitch w:val="variable"/>
    <w:sig w:usb0="00000001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0A5969" w14:textId="77777777" w:rsidR="00000000" w:rsidRDefault="00F233D0">
      <w:pPr>
        <w:spacing w:after="0" w:line="240" w:lineRule="auto"/>
      </w:pPr>
      <w:r>
        <w:separator/>
      </w:r>
    </w:p>
  </w:footnote>
  <w:footnote w:type="continuationSeparator" w:id="0">
    <w:p w14:paraId="580A596B" w14:textId="77777777" w:rsidR="00000000" w:rsidRDefault="00F233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0A5966" w14:textId="77777777" w:rsidR="001C66F1" w:rsidRDefault="00F233D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>
      <w:rPr>
        <w:color w:val="000000"/>
      </w:rPr>
      <w:t>`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0A5967" w14:textId="77777777" w:rsidR="001C66F1" w:rsidRDefault="001C66F1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  <w:p w14:paraId="580A5968" w14:textId="77777777" w:rsidR="001C66F1" w:rsidRDefault="001C66F1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607AB"/>
    <w:multiLevelType w:val="multilevel"/>
    <w:tmpl w:val="BD944C8E"/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20087AE7"/>
    <w:multiLevelType w:val="multilevel"/>
    <w:tmpl w:val="66D219F8"/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303A616D"/>
    <w:multiLevelType w:val="multilevel"/>
    <w:tmpl w:val="B120B296"/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421A16E6"/>
    <w:multiLevelType w:val="multilevel"/>
    <w:tmpl w:val="3B8497F2"/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54934D09"/>
    <w:multiLevelType w:val="multilevel"/>
    <w:tmpl w:val="3B2EB2E2"/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58754D52"/>
    <w:multiLevelType w:val="multilevel"/>
    <w:tmpl w:val="2E084DD0"/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69F93091"/>
    <w:multiLevelType w:val="multilevel"/>
    <w:tmpl w:val="DADEF638"/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0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6F1"/>
    <w:rsid w:val="001C66F1"/>
    <w:rsid w:val="00F23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0A5915"/>
  <w15:docId w15:val="{F885E1CD-4CA7-491A-B7A0-D57A8707D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360" w:after="80"/>
      <w:outlineLvl w:val="0"/>
    </w:pPr>
    <w:rPr>
      <w:color w:val="2F5496"/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160" w:after="80"/>
      <w:outlineLvl w:val="1"/>
    </w:pPr>
    <w:rPr>
      <w:color w:val="2F5496"/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160" w:after="80"/>
      <w:outlineLvl w:val="2"/>
    </w:pPr>
    <w:rPr>
      <w:color w:val="2F5496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80" w:after="40"/>
      <w:outlineLvl w:val="3"/>
    </w:pPr>
    <w:rPr>
      <w:i/>
      <w:color w:val="2F5496"/>
    </w:rPr>
  </w:style>
  <w:style w:type="paragraph" w:styleId="Heading5">
    <w:name w:val="heading 5"/>
    <w:basedOn w:val="Normal"/>
    <w:next w:val="Normal"/>
    <w:pPr>
      <w:keepNext/>
      <w:keepLines/>
      <w:spacing w:before="80" w:after="40"/>
      <w:outlineLvl w:val="4"/>
    </w:pPr>
    <w:rPr>
      <w:color w:val="2F5496"/>
    </w:rPr>
  </w:style>
  <w:style w:type="paragraph" w:styleId="Heading6">
    <w:name w:val="heading 6"/>
    <w:basedOn w:val="Normal"/>
    <w:next w:val="Normal"/>
    <w:pPr>
      <w:keepNext/>
      <w:keepLines/>
      <w:spacing w:before="40" w:after="0"/>
      <w:outlineLvl w:val="5"/>
    </w:pPr>
    <w:rPr>
      <w:i/>
      <w:color w:val="59595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spacing w:after="80" w:line="240" w:lineRule="auto"/>
    </w:pPr>
    <w:rPr>
      <w:sz w:val="56"/>
      <w:szCs w:val="56"/>
    </w:rPr>
  </w:style>
  <w:style w:type="paragraph" w:styleId="Subtitle">
    <w:name w:val="Subtitle"/>
    <w:basedOn w:val="Normal"/>
    <w:next w:val="Normal"/>
    <w:rPr>
      <w:color w:val="595959"/>
      <w:sz w:val="28"/>
      <w:szCs w:val="28"/>
    </w:rPr>
  </w:style>
  <w:style w:type="table" w:customStyle="1" w:styleId="a">
    <w:basedOn w:val="TableNormal"/>
    <w:pPr>
      <w:spacing w:after="22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doi.org/10.1191/1478088706qp063o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csuchico.edu/lins/handouts/eval_websites.pdf" TargetMode="External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409</Words>
  <Characters>2336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Saira Waseem</dc:creator>
  <cp:lastModifiedBy>Saira Arif</cp:lastModifiedBy>
  <cp:revision>2</cp:revision>
  <dcterms:created xsi:type="dcterms:W3CDTF">2026-02-19T12:34:00Z</dcterms:created>
  <dcterms:modified xsi:type="dcterms:W3CDTF">2026-02-19T12:34:00Z</dcterms:modified>
</cp:coreProperties>
</file>