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005D" w:rsidRDefault="003D005D" w:rsidP="003D005D">
      <w:pPr>
        <w:jc w:val="center"/>
        <w:rPr>
          <w:b/>
          <w:sz w:val="36"/>
        </w:rPr>
      </w:pPr>
    </w:p>
    <w:p w:rsidR="003D005D" w:rsidRDefault="003D005D" w:rsidP="003D005D">
      <w:pPr>
        <w:jc w:val="center"/>
        <w:rPr>
          <w:b/>
          <w:sz w:val="36"/>
        </w:rPr>
      </w:pPr>
    </w:p>
    <w:p w:rsidR="003D005D" w:rsidRPr="003D005D" w:rsidRDefault="003D005D" w:rsidP="00631B1A">
      <w:pPr>
        <w:rPr>
          <w:b/>
          <w:sz w:val="36"/>
        </w:rPr>
      </w:pPr>
    </w:p>
    <w:p w:rsidR="003D005D" w:rsidRPr="003D005D" w:rsidRDefault="003D005D" w:rsidP="003D005D">
      <w:pPr>
        <w:jc w:val="center"/>
        <w:rPr>
          <w:b/>
          <w:sz w:val="36"/>
        </w:rPr>
      </w:pPr>
    </w:p>
    <w:p w:rsidR="003D005D" w:rsidRPr="003D005D" w:rsidRDefault="003D005D" w:rsidP="00631B1A">
      <w:pPr>
        <w:rPr>
          <w:b/>
          <w:sz w:val="36"/>
        </w:rPr>
      </w:pPr>
    </w:p>
    <w:p w:rsidR="003D005D" w:rsidRDefault="003D005D">
      <w:pPr>
        <w:rPr>
          <w:b/>
        </w:rPr>
      </w:pPr>
    </w:p>
    <w:p w:rsidR="003D005D" w:rsidRPr="00631B1A" w:rsidRDefault="00BE7BB5" w:rsidP="00631B1A">
      <w:pPr>
        <w:pStyle w:val="NoSpacing"/>
        <w:rPr>
          <w:sz w:val="36"/>
        </w:rPr>
      </w:pPr>
      <w:r w:rsidRPr="00631B1A">
        <w:rPr>
          <w:sz w:val="36"/>
        </w:rPr>
        <w:t>Student Name:</w:t>
      </w:r>
      <w:r w:rsidR="00631B1A" w:rsidRPr="00631B1A">
        <w:rPr>
          <w:sz w:val="36"/>
        </w:rPr>
        <w:t xml:space="preserve"> Davinder Singh</w:t>
      </w:r>
    </w:p>
    <w:p w:rsidR="003D005D" w:rsidRPr="00631B1A" w:rsidRDefault="00BE7BB5" w:rsidP="00631B1A">
      <w:pPr>
        <w:pStyle w:val="NoSpacing"/>
        <w:rPr>
          <w:sz w:val="36"/>
        </w:rPr>
      </w:pPr>
      <w:r w:rsidRPr="00631B1A">
        <w:rPr>
          <w:sz w:val="36"/>
        </w:rPr>
        <w:t>Student ID:</w:t>
      </w:r>
      <w:r w:rsidR="00631B1A">
        <w:rPr>
          <w:sz w:val="36"/>
        </w:rPr>
        <w:t xml:space="preserve">       </w:t>
      </w:r>
      <w:r w:rsidR="00631B1A" w:rsidRPr="00631B1A">
        <w:rPr>
          <w:sz w:val="36"/>
        </w:rPr>
        <w:t>2221905</w:t>
      </w:r>
    </w:p>
    <w:p w:rsidR="003D005D" w:rsidRPr="00631B1A" w:rsidRDefault="00BE7BB5" w:rsidP="00631B1A">
      <w:pPr>
        <w:pStyle w:val="NoSpacing"/>
        <w:rPr>
          <w:sz w:val="36"/>
        </w:rPr>
      </w:pPr>
      <w:r w:rsidRPr="00631B1A">
        <w:rPr>
          <w:sz w:val="36"/>
        </w:rPr>
        <w:t>Date:</w:t>
      </w:r>
      <w:r w:rsidR="00631B1A">
        <w:rPr>
          <w:sz w:val="36"/>
        </w:rPr>
        <w:t xml:space="preserve">                </w:t>
      </w:r>
      <w:r w:rsidR="00631B1A" w:rsidRPr="00631B1A">
        <w:rPr>
          <w:sz w:val="36"/>
        </w:rPr>
        <w:t>8 May 2023</w:t>
      </w:r>
    </w:p>
    <w:p w:rsidR="00631B1A" w:rsidRPr="00631B1A" w:rsidRDefault="00631B1A" w:rsidP="00631B1A">
      <w:pPr>
        <w:pStyle w:val="NoSpacing"/>
        <w:rPr>
          <w:sz w:val="36"/>
        </w:rPr>
      </w:pPr>
      <w:r w:rsidRPr="00631B1A">
        <w:rPr>
          <w:sz w:val="36"/>
        </w:rPr>
        <w:t>Module name: Global Business Environment</w:t>
      </w:r>
    </w:p>
    <w:p w:rsidR="00631B1A" w:rsidRPr="00631B1A" w:rsidRDefault="00631B1A" w:rsidP="00631B1A">
      <w:pPr>
        <w:pStyle w:val="NoSpacing"/>
        <w:rPr>
          <w:sz w:val="36"/>
        </w:rPr>
      </w:pPr>
      <w:r w:rsidRPr="00631B1A">
        <w:rPr>
          <w:sz w:val="36"/>
        </w:rPr>
        <w:t xml:space="preserve">Module code: </w:t>
      </w:r>
      <w:r>
        <w:rPr>
          <w:sz w:val="36"/>
        </w:rPr>
        <w:t xml:space="preserve"> </w:t>
      </w:r>
      <w:r w:rsidRPr="00631B1A">
        <w:rPr>
          <w:sz w:val="36"/>
        </w:rPr>
        <w:t>LCBB4005</w:t>
      </w:r>
    </w:p>
    <w:p w:rsidR="003D005D" w:rsidRDefault="00BE7BB5">
      <w:pPr>
        <w:rPr>
          <w:b/>
        </w:rPr>
      </w:pPr>
      <w:r>
        <w:rPr>
          <w:b/>
        </w:rPr>
        <w:br w:type="page"/>
      </w:r>
    </w:p>
    <w:sdt>
      <w:sdtPr>
        <w:rPr>
          <w:rFonts w:ascii="Arial" w:eastAsia="Arial" w:hAnsi="Arial" w:cs="Arial"/>
          <w:color w:val="auto"/>
          <w:sz w:val="22"/>
          <w:szCs w:val="22"/>
          <w:lang w:val="en-IN" w:eastAsia="en-IN"/>
        </w:rPr>
        <w:id w:val="-1193456331"/>
        <w:docPartObj>
          <w:docPartGallery w:val="Table of Contents"/>
          <w:docPartUnique/>
        </w:docPartObj>
      </w:sdtPr>
      <w:sdtEndPr>
        <w:rPr>
          <w:b/>
          <w:bCs/>
          <w:noProof/>
          <w:color w:val="000000" w:themeColor="text1"/>
        </w:rPr>
      </w:sdtEndPr>
      <w:sdtContent>
        <w:p w:rsidR="003D005D" w:rsidRPr="003D005D" w:rsidRDefault="00BE7BB5" w:rsidP="003D005D">
          <w:pPr>
            <w:pStyle w:val="TOCHeading"/>
            <w:spacing w:line="360" w:lineRule="auto"/>
            <w:jc w:val="center"/>
            <w:rPr>
              <w:rFonts w:ascii="Arial" w:hAnsi="Arial" w:cs="Arial"/>
              <w:b/>
              <w:color w:val="000000" w:themeColor="text1"/>
              <w:sz w:val="28"/>
              <w:szCs w:val="24"/>
            </w:rPr>
          </w:pPr>
          <w:r w:rsidRPr="003D005D">
            <w:rPr>
              <w:rFonts w:ascii="Arial" w:hAnsi="Arial" w:cs="Arial"/>
              <w:b/>
              <w:color w:val="000000" w:themeColor="text1"/>
              <w:sz w:val="28"/>
              <w:szCs w:val="24"/>
            </w:rPr>
            <w:t>Table of Contents</w:t>
          </w:r>
        </w:p>
        <w:p w:rsidR="003D005D" w:rsidRPr="003D005D" w:rsidRDefault="007B5550" w:rsidP="003D005D">
          <w:pPr>
            <w:pStyle w:val="TOC1"/>
            <w:tabs>
              <w:tab w:val="right" w:leader="dot" w:pos="9019"/>
            </w:tabs>
            <w:rPr>
              <w:noProof/>
              <w:szCs w:val="24"/>
            </w:rPr>
          </w:pPr>
          <w:r w:rsidRPr="007B5550">
            <w:rPr>
              <w:szCs w:val="24"/>
            </w:rPr>
            <w:fldChar w:fldCharType="begin"/>
          </w:r>
          <w:r w:rsidR="00BE7BB5" w:rsidRPr="003D005D">
            <w:rPr>
              <w:szCs w:val="24"/>
            </w:rPr>
            <w:instrText xml:space="preserve"> TOC \o "1-3" \h \z \u </w:instrText>
          </w:r>
          <w:r w:rsidRPr="007B5550">
            <w:rPr>
              <w:szCs w:val="24"/>
            </w:rPr>
            <w:fldChar w:fldCharType="separate"/>
          </w:r>
          <w:hyperlink w:anchor="_Toc134433680" w:history="1">
            <w:r w:rsidR="00BE7BB5" w:rsidRPr="003D005D">
              <w:rPr>
                <w:rStyle w:val="Hyperlink"/>
                <w:noProof/>
                <w:szCs w:val="24"/>
              </w:rPr>
              <w:t>Introduction</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_Toc134433680 \h </w:instrText>
            </w:r>
            <w:r w:rsidRPr="003D005D">
              <w:rPr>
                <w:noProof/>
                <w:webHidden/>
                <w:szCs w:val="24"/>
              </w:rPr>
            </w:r>
            <w:r w:rsidRPr="003D005D">
              <w:rPr>
                <w:noProof/>
                <w:webHidden/>
                <w:szCs w:val="24"/>
              </w:rPr>
              <w:fldChar w:fldCharType="separate"/>
            </w:r>
            <w:r w:rsidR="00BE7BB5" w:rsidRPr="003D005D">
              <w:rPr>
                <w:noProof/>
                <w:webHidden/>
                <w:szCs w:val="24"/>
              </w:rPr>
              <w:t>3</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1" w:history="1">
            <w:r w:rsidR="00BE7BB5" w:rsidRPr="003D005D">
              <w:rPr>
                <w:rStyle w:val="Hyperlink"/>
                <w:noProof/>
                <w:szCs w:val="24"/>
              </w:rPr>
              <w:t>Overview of the Developing Country</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_Toc134433681 \h </w:instrText>
            </w:r>
            <w:r w:rsidRPr="003D005D">
              <w:rPr>
                <w:noProof/>
                <w:webHidden/>
                <w:szCs w:val="24"/>
              </w:rPr>
            </w:r>
            <w:r w:rsidRPr="003D005D">
              <w:rPr>
                <w:noProof/>
                <w:webHidden/>
                <w:szCs w:val="24"/>
              </w:rPr>
              <w:fldChar w:fldCharType="separate"/>
            </w:r>
            <w:r w:rsidR="00BE7BB5" w:rsidRPr="003D005D">
              <w:rPr>
                <w:noProof/>
                <w:webHidden/>
                <w:szCs w:val="24"/>
              </w:rPr>
              <w:t>3</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2" w:history="1">
            <w:r w:rsidR="00BE7BB5" w:rsidRPr="003D005D">
              <w:rPr>
                <w:rStyle w:val="Hyperlink"/>
                <w:noProof/>
                <w:szCs w:val="24"/>
              </w:rPr>
              <w:t>PESTLE Analysis</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_Toc134433682 \h </w:instrText>
            </w:r>
            <w:r w:rsidRPr="003D005D">
              <w:rPr>
                <w:noProof/>
                <w:webHidden/>
                <w:szCs w:val="24"/>
              </w:rPr>
            </w:r>
            <w:r w:rsidRPr="003D005D">
              <w:rPr>
                <w:noProof/>
                <w:webHidden/>
                <w:szCs w:val="24"/>
              </w:rPr>
              <w:fldChar w:fldCharType="separate"/>
            </w:r>
            <w:r w:rsidR="00BE7BB5" w:rsidRPr="003D005D">
              <w:rPr>
                <w:noProof/>
                <w:webHidden/>
                <w:szCs w:val="24"/>
              </w:rPr>
              <w:t>3</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3" w:history="1">
            <w:r w:rsidR="00BE7BB5" w:rsidRPr="003D005D">
              <w:rPr>
                <w:rStyle w:val="Hyperlink"/>
                <w:noProof/>
                <w:szCs w:val="24"/>
              </w:rPr>
              <w:t>Hofstede Model</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_Toc134433683 \h </w:instrText>
            </w:r>
            <w:r w:rsidRPr="003D005D">
              <w:rPr>
                <w:noProof/>
                <w:webHidden/>
                <w:szCs w:val="24"/>
              </w:rPr>
            </w:r>
            <w:r w:rsidRPr="003D005D">
              <w:rPr>
                <w:noProof/>
                <w:webHidden/>
                <w:szCs w:val="24"/>
              </w:rPr>
              <w:fldChar w:fldCharType="separate"/>
            </w:r>
            <w:r w:rsidR="00BE7BB5" w:rsidRPr="003D005D">
              <w:rPr>
                <w:noProof/>
                <w:webHidden/>
                <w:szCs w:val="24"/>
              </w:rPr>
              <w:t>5</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4" w:history="1">
            <w:r w:rsidR="00BE7BB5" w:rsidRPr="003D005D">
              <w:rPr>
                <w:rStyle w:val="Hyperlink"/>
                <w:noProof/>
                <w:szCs w:val="24"/>
              </w:rPr>
              <w:t>Porter’s Five Forces</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_Toc134433684 \h </w:instrText>
            </w:r>
            <w:r w:rsidRPr="003D005D">
              <w:rPr>
                <w:noProof/>
                <w:webHidden/>
                <w:szCs w:val="24"/>
              </w:rPr>
            </w:r>
            <w:r w:rsidRPr="003D005D">
              <w:rPr>
                <w:noProof/>
                <w:webHidden/>
                <w:szCs w:val="24"/>
              </w:rPr>
              <w:fldChar w:fldCharType="separate"/>
            </w:r>
            <w:r w:rsidR="00BE7BB5" w:rsidRPr="003D005D">
              <w:rPr>
                <w:noProof/>
                <w:webHidden/>
                <w:szCs w:val="24"/>
              </w:rPr>
              <w:t>6</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5" w:history="1">
            <w:r w:rsidR="00BE7BB5" w:rsidRPr="003D005D">
              <w:rPr>
                <w:rStyle w:val="Hyperlink"/>
                <w:noProof/>
                <w:szCs w:val="24"/>
              </w:rPr>
              <w:t>Opportunities and Challenges in the Country</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_Toc134433685 \h </w:instrText>
            </w:r>
            <w:r w:rsidRPr="003D005D">
              <w:rPr>
                <w:noProof/>
                <w:webHidden/>
                <w:szCs w:val="24"/>
              </w:rPr>
            </w:r>
            <w:r w:rsidRPr="003D005D">
              <w:rPr>
                <w:noProof/>
                <w:webHidden/>
                <w:szCs w:val="24"/>
              </w:rPr>
              <w:fldChar w:fldCharType="separate"/>
            </w:r>
            <w:r w:rsidR="00BE7BB5" w:rsidRPr="003D005D">
              <w:rPr>
                <w:noProof/>
                <w:webHidden/>
                <w:szCs w:val="24"/>
              </w:rPr>
              <w:t>7</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6" w:history="1">
            <w:r w:rsidR="00BE7BB5" w:rsidRPr="003D005D">
              <w:rPr>
                <w:rStyle w:val="Hyperlink"/>
                <w:noProof/>
                <w:szCs w:val="24"/>
              </w:rPr>
              <w:t>Different Barriers Experienced</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_Toc134433686 \h </w:instrText>
            </w:r>
            <w:r w:rsidRPr="003D005D">
              <w:rPr>
                <w:noProof/>
                <w:webHidden/>
                <w:szCs w:val="24"/>
              </w:rPr>
            </w:r>
            <w:r w:rsidRPr="003D005D">
              <w:rPr>
                <w:noProof/>
                <w:webHidden/>
                <w:szCs w:val="24"/>
              </w:rPr>
              <w:fldChar w:fldCharType="separate"/>
            </w:r>
            <w:r w:rsidR="00BE7BB5" w:rsidRPr="003D005D">
              <w:rPr>
                <w:noProof/>
                <w:webHidden/>
                <w:szCs w:val="24"/>
              </w:rPr>
              <w:t>8</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7" w:history="1">
            <w:r w:rsidR="00BE7BB5" w:rsidRPr="003D005D">
              <w:rPr>
                <w:rStyle w:val="Hyperlink"/>
                <w:noProof/>
                <w:szCs w:val="24"/>
              </w:rPr>
              <w:t>Recommendation</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_Toc134433687 \h </w:instrText>
            </w:r>
            <w:r w:rsidRPr="003D005D">
              <w:rPr>
                <w:noProof/>
                <w:webHidden/>
                <w:szCs w:val="24"/>
              </w:rPr>
            </w:r>
            <w:r w:rsidRPr="003D005D">
              <w:rPr>
                <w:noProof/>
                <w:webHidden/>
                <w:szCs w:val="24"/>
              </w:rPr>
              <w:fldChar w:fldCharType="separate"/>
            </w:r>
            <w:r w:rsidR="00BE7BB5" w:rsidRPr="003D005D">
              <w:rPr>
                <w:noProof/>
                <w:webHidden/>
                <w:szCs w:val="24"/>
              </w:rPr>
              <w:t>9</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8" w:history="1">
            <w:r w:rsidR="00BE7BB5" w:rsidRPr="003D005D">
              <w:rPr>
                <w:rStyle w:val="Hyperlink"/>
                <w:noProof/>
                <w:szCs w:val="24"/>
              </w:rPr>
              <w:t>Conclusion</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_Toc134433688 \h </w:instrText>
            </w:r>
            <w:r w:rsidRPr="003D005D">
              <w:rPr>
                <w:noProof/>
                <w:webHidden/>
                <w:szCs w:val="24"/>
              </w:rPr>
            </w:r>
            <w:r w:rsidRPr="003D005D">
              <w:rPr>
                <w:noProof/>
                <w:webHidden/>
                <w:szCs w:val="24"/>
              </w:rPr>
              <w:fldChar w:fldCharType="separate"/>
            </w:r>
            <w:r w:rsidR="00BE7BB5" w:rsidRPr="003D005D">
              <w:rPr>
                <w:noProof/>
                <w:webHidden/>
                <w:szCs w:val="24"/>
              </w:rPr>
              <w:t>9</w:t>
            </w:r>
            <w:r w:rsidRPr="003D005D">
              <w:rPr>
                <w:noProof/>
                <w:webHidden/>
                <w:szCs w:val="24"/>
              </w:rPr>
              <w:fldChar w:fldCharType="end"/>
            </w:r>
          </w:hyperlink>
        </w:p>
        <w:p w:rsidR="003D005D" w:rsidRPr="003D005D" w:rsidRDefault="007B5550" w:rsidP="003D005D">
          <w:pPr>
            <w:pStyle w:val="TOC1"/>
            <w:tabs>
              <w:tab w:val="right" w:leader="dot" w:pos="9019"/>
            </w:tabs>
            <w:rPr>
              <w:noProof/>
              <w:szCs w:val="24"/>
            </w:rPr>
          </w:pPr>
          <w:hyperlink w:anchor="_Toc134433689" w:history="1">
            <w:r w:rsidR="00BE7BB5" w:rsidRPr="003D005D">
              <w:rPr>
                <w:rStyle w:val="Hyperlink"/>
                <w:noProof/>
                <w:szCs w:val="24"/>
              </w:rPr>
              <w:t>Reference List</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_Toc134433689 \h </w:instrText>
            </w:r>
            <w:r w:rsidRPr="003D005D">
              <w:rPr>
                <w:noProof/>
                <w:webHidden/>
                <w:szCs w:val="24"/>
              </w:rPr>
            </w:r>
            <w:r w:rsidRPr="003D005D">
              <w:rPr>
                <w:noProof/>
                <w:webHidden/>
                <w:szCs w:val="24"/>
              </w:rPr>
              <w:fldChar w:fldCharType="separate"/>
            </w:r>
            <w:r w:rsidR="00BE7BB5" w:rsidRPr="003D005D">
              <w:rPr>
                <w:noProof/>
                <w:webHidden/>
                <w:szCs w:val="24"/>
              </w:rPr>
              <w:t>10</w:t>
            </w:r>
            <w:r w:rsidRPr="003D005D">
              <w:rPr>
                <w:noProof/>
                <w:webHidden/>
                <w:szCs w:val="24"/>
              </w:rPr>
              <w:fldChar w:fldCharType="end"/>
            </w:r>
          </w:hyperlink>
        </w:p>
        <w:p w:rsidR="003D005D" w:rsidRDefault="007B5550" w:rsidP="003D005D">
          <w:r w:rsidRPr="003D005D">
            <w:rPr>
              <w:b/>
              <w:bCs/>
              <w:noProof/>
              <w:szCs w:val="24"/>
            </w:rPr>
            <w:fldChar w:fldCharType="end"/>
          </w:r>
        </w:p>
      </w:sdtContent>
    </w:sdt>
    <w:p w:rsidR="003D005D" w:rsidRDefault="003D005D">
      <w:pPr>
        <w:rPr>
          <w:b/>
        </w:rPr>
      </w:pPr>
    </w:p>
    <w:p w:rsidR="003D005D" w:rsidRDefault="00BE7BB5">
      <w:pPr>
        <w:rPr>
          <w:b/>
        </w:rPr>
      </w:pPr>
      <w:r>
        <w:rPr>
          <w:b/>
        </w:rPr>
        <w:br w:type="page"/>
      </w:r>
    </w:p>
    <w:p w:rsidR="00716051" w:rsidRDefault="00BE7BB5" w:rsidP="003D005D">
      <w:pPr>
        <w:pStyle w:val="Heading1"/>
      </w:pPr>
      <w:bookmarkStart w:id="0" w:name="_Toc134433680"/>
      <w:r>
        <w:lastRenderedPageBreak/>
        <w:t>Introduction</w:t>
      </w:r>
      <w:bookmarkEnd w:id="0"/>
    </w:p>
    <w:p w:rsidR="00716051" w:rsidRDefault="00BE7BB5">
      <w:r>
        <w:t>The market entry of H&amp;M from the United Kingdom to India would be a better opportunity for the company and the country. The world’s major fashion retail company, H&amp;M, can increase its operational; procurement to India, the world’s second-largest fashion market. H&amp;M has been developed as a foreign powerhouse in the fashion industry, and its entry into India will be a leading augment for the economic enhancement of the country. This report will explore H&amp;M companies as a preference with new entrances, expanded investment, and increased competition in the retail market (</w:t>
      </w:r>
      <w:r>
        <w:rPr>
          <w:color w:val="222222"/>
          <w:highlight w:val="white"/>
        </w:rPr>
        <w:t>Ullah, 2021)</w:t>
      </w:r>
      <w:r>
        <w:t xml:space="preserve">. Moreover, H&amp;M in India will be well-structured to become a great role in the global fashion retail market.   </w:t>
      </w:r>
    </w:p>
    <w:p w:rsidR="00716051" w:rsidRDefault="00BE7BB5" w:rsidP="003D005D">
      <w:pPr>
        <w:pStyle w:val="Heading1"/>
      </w:pPr>
      <w:bookmarkStart w:id="1" w:name="_Toc134433681"/>
      <w:r>
        <w:t>Overview of t</w:t>
      </w:r>
      <w:r w:rsidR="003D005D">
        <w:t>he Developing Country</w:t>
      </w:r>
      <w:bookmarkEnd w:id="1"/>
    </w:p>
    <w:p w:rsidR="00482945" w:rsidRPr="00482945" w:rsidRDefault="00BE7BB5" w:rsidP="00482945">
      <w:r>
        <w:t xml:space="preserve"> In a developing country like India, various companies brought huge profits in the retail industry. It has merged and adapted with the local marketing system, emphasising ethical sourcing and collaborating with small-scale and local manufacturers and suppliers (Gawankar, Gunasekaran and Kamble.</w:t>
      </w:r>
      <w:r w:rsidR="00BD58D2">
        <w:t>, 2020</w:t>
      </w:r>
      <w:r>
        <w:t xml:space="preserve">). This market in India is characterised by rapid growth, evolving customer preferences, and diversity. Recently, online retail platforms have gained popularity, offering convenience and a wide range of product varieties. The retail market has shifted customer preferences for branded products and convenience. There is a growing demand for fast-moving consumer goods.   </w:t>
      </w:r>
    </w:p>
    <w:p w:rsidR="00716051" w:rsidRDefault="00BE7BB5" w:rsidP="003D005D">
      <w:pPr>
        <w:pStyle w:val="Heading1"/>
      </w:pPr>
      <w:bookmarkStart w:id="2" w:name="_Toc134433682"/>
      <w:r>
        <w:t>PESTLE Analysis</w:t>
      </w:r>
      <w:bookmarkEnd w:id="2"/>
    </w:p>
    <w:p w:rsidR="00716051" w:rsidRDefault="00BE7BB5">
      <w:r>
        <w:t xml:space="preserve">The analytical tool for PESTLE as an external environment can be used to evaluate the implications of the company’s market entry in a new market. The PESTLE analysis explores six main factors, which are related to </w:t>
      </w:r>
      <w:r>
        <w:rPr>
          <w:b/>
          <w:i/>
        </w:rPr>
        <w:t xml:space="preserve">“Political Factors”, “Economic Factors”, “Social Factors”, “Technological Factors”, “Legal Factors”, and “Environmental Factors”. </w:t>
      </w:r>
      <w:r>
        <w:t xml:space="preserve">This tool can emerge with the implications of H&amp;M’s market entry from the United Kingdom to India. </w:t>
      </w:r>
    </w:p>
    <w:p w:rsidR="00716051" w:rsidRDefault="00BE7BB5">
      <w:pPr>
        <w:numPr>
          <w:ilvl w:val="0"/>
          <w:numId w:val="8"/>
        </w:numPr>
        <w:rPr>
          <w:b/>
          <w:i/>
        </w:rPr>
      </w:pPr>
      <w:r>
        <w:rPr>
          <w:b/>
          <w:i/>
        </w:rPr>
        <w:t>Political Factor</w:t>
      </w:r>
    </w:p>
    <w:p w:rsidR="00716051" w:rsidRDefault="00BE7BB5">
      <w:r>
        <w:t xml:space="preserve">India is a democratic country with a prospective way of political enlargement. Moreover, the policy and regulations of the Indian government can be more complex and administrative, enabling more crucial challenges for foreign companies to negotiate. There might be more </w:t>
      </w:r>
      <w:r>
        <w:lastRenderedPageBreak/>
        <w:t>restrictions on the multiple ways products should be brought in or the percentile for the ownership of foreign countries in the company (</w:t>
      </w:r>
      <w:r>
        <w:rPr>
          <w:color w:val="222222"/>
          <w:highlight w:val="white"/>
        </w:rPr>
        <w:t>Tran, 2020)</w:t>
      </w:r>
      <w:r>
        <w:t>. H&amp;M must obtain the rules and regulations of the government’s policy to ignore legal threats, which might hinder the company’s entry into the Indian market.</w:t>
      </w:r>
    </w:p>
    <w:p w:rsidR="00716051" w:rsidRDefault="00BE7BB5">
      <w:pPr>
        <w:numPr>
          <w:ilvl w:val="0"/>
          <w:numId w:val="7"/>
        </w:numPr>
        <w:rPr>
          <w:b/>
          <w:i/>
        </w:rPr>
      </w:pPr>
      <w:r>
        <w:rPr>
          <w:b/>
          <w:i/>
        </w:rPr>
        <w:t>Economic Factor</w:t>
      </w:r>
    </w:p>
    <w:p w:rsidR="00716051" w:rsidRDefault="00BE7BB5">
      <w:r>
        <w:t xml:space="preserve">India has a developing economic aspect with a bigger population and better opportunities for H&amp;M to increase its consumer base. Moreover, the economy of India might be highly effective, and there might be more challenges related to high assessment and critical taxation. Moreover, H&amp;M must implement the economic environment to establish the accessibility of positioning the Indian market and enlarge an estimation strategy that might take the conditions of the local economy. </w:t>
      </w:r>
    </w:p>
    <w:p w:rsidR="00716051" w:rsidRDefault="00BE7BB5">
      <w:pPr>
        <w:numPr>
          <w:ilvl w:val="0"/>
          <w:numId w:val="4"/>
        </w:numPr>
        <w:rPr>
          <w:b/>
          <w:i/>
        </w:rPr>
      </w:pPr>
      <w:r>
        <w:rPr>
          <w:b/>
          <w:i/>
        </w:rPr>
        <w:t>Social Factors</w:t>
      </w:r>
    </w:p>
    <w:p w:rsidR="00716051" w:rsidRDefault="00BE7BB5">
      <w:r>
        <w:t>India's distinct culture and social standards might evolve from country to country. H&amp;M needs to be enlarged into descriptions local and preferred while establishing its products and marketing strategies. This can be done with the marketing evaporation for H&amp;M to demonstrate a proper perspective of entry into the Indian market (</w:t>
      </w:r>
      <w:r>
        <w:rPr>
          <w:color w:val="222222"/>
          <w:highlight w:val="white"/>
        </w:rPr>
        <w:t xml:space="preserve">Pandey </w:t>
      </w:r>
      <w:r>
        <w:rPr>
          <w:i/>
          <w:color w:val="222222"/>
          <w:highlight w:val="white"/>
        </w:rPr>
        <w:t xml:space="preserve">et al., </w:t>
      </w:r>
      <w:r>
        <w:rPr>
          <w:color w:val="222222"/>
          <w:highlight w:val="white"/>
        </w:rPr>
        <w:t>2020)</w:t>
      </w:r>
      <w:r>
        <w:t xml:space="preserve">. The company should have needed to conduct the income positions of the target consumers and pattern costing strategies that might be more accessible to them. </w:t>
      </w:r>
    </w:p>
    <w:p w:rsidR="00716051" w:rsidRDefault="00BE7BB5">
      <w:pPr>
        <w:jc w:val="center"/>
      </w:pPr>
      <w:r>
        <w:rPr>
          <w:noProof/>
          <w:lang w:val="en-GB" w:eastAsia="en-GB"/>
        </w:rPr>
        <w:lastRenderedPageBreak/>
        <w:drawing>
          <wp:inline distT="114300" distB="114300" distL="114300" distR="114300">
            <wp:extent cx="4563900" cy="3867150"/>
            <wp:effectExtent l="25400" t="25400" r="25400" b="25400"/>
            <wp:docPr id="2" name="Picture 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563900" cy="3867150"/>
                    </a:xfrm>
                    <a:prstGeom prst="rect">
                      <a:avLst/>
                    </a:prstGeom>
                    <a:ln w="25400">
                      <a:solidFill>
                        <a:srgbClr val="000000"/>
                      </a:solidFill>
                      <a:prstDash val="solid"/>
                    </a:ln>
                  </pic:spPr>
                </pic:pic>
              </a:graphicData>
            </a:graphic>
          </wp:inline>
        </w:drawing>
      </w:r>
    </w:p>
    <w:p w:rsidR="00716051" w:rsidRDefault="00BE7BB5">
      <w:pPr>
        <w:jc w:val="center"/>
        <w:rPr>
          <w:b/>
        </w:rPr>
      </w:pPr>
      <w:r>
        <w:rPr>
          <w:b/>
        </w:rPr>
        <w:t>Figure 3.1: PESTLE Analysis</w:t>
      </w:r>
    </w:p>
    <w:p w:rsidR="00716051" w:rsidRDefault="00BE7BB5">
      <w:pPr>
        <w:jc w:val="center"/>
      </w:pPr>
      <w:r>
        <w:t xml:space="preserve">(Source: </w:t>
      </w:r>
      <w:r>
        <w:rPr>
          <w:color w:val="222222"/>
          <w:highlight w:val="white"/>
        </w:rPr>
        <w:t xml:space="preserve">Thota </w:t>
      </w:r>
      <w:r>
        <w:rPr>
          <w:i/>
          <w:color w:val="222222"/>
          <w:highlight w:val="white"/>
        </w:rPr>
        <w:t xml:space="preserve">et al., </w:t>
      </w:r>
      <w:r>
        <w:rPr>
          <w:color w:val="222222"/>
          <w:highlight w:val="white"/>
        </w:rPr>
        <w:t>2021)</w:t>
      </w:r>
    </w:p>
    <w:p w:rsidR="00716051" w:rsidRDefault="00BE7BB5">
      <w:pPr>
        <w:numPr>
          <w:ilvl w:val="0"/>
          <w:numId w:val="9"/>
        </w:numPr>
        <w:rPr>
          <w:b/>
          <w:i/>
        </w:rPr>
      </w:pPr>
      <w:r>
        <w:rPr>
          <w:b/>
          <w:i/>
        </w:rPr>
        <w:t>Technological Factor</w:t>
      </w:r>
    </w:p>
    <w:p w:rsidR="00716051" w:rsidRDefault="00BE7BB5">
      <w:r>
        <w:t>This can be better approached with the technological perspective in an advanced country that builds a high efficiency of internet users. In addition, H&amp;M can be supported by technology to reach out to consumers concerning online channels and establish the recognition of the custom brand. Moreover, the technological concern of the country's infrastructure should have been determined, and the company might have faced more challenges related to low connectivity in certain countries (</w:t>
      </w:r>
      <w:r>
        <w:rPr>
          <w:color w:val="222222"/>
          <w:highlight w:val="white"/>
        </w:rPr>
        <w:t xml:space="preserve">Thota </w:t>
      </w:r>
      <w:r>
        <w:rPr>
          <w:i/>
          <w:color w:val="222222"/>
          <w:highlight w:val="white"/>
        </w:rPr>
        <w:t xml:space="preserve">et al., </w:t>
      </w:r>
      <w:r>
        <w:rPr>
          <w:color w:val="222222"/>
          <w:highlight w:val="white"/>
        </w:rPr>
        <w:t>2021)</w:t>
      </w:r>
      <w:r>
        <w:t xml:space="preserve">. </w:t>
      </w:r>
    </w:p>
    <w:p w:rsidR="00716051" w:rsidRDefault="00BE7BB5">
      <w:pPr>
        <w:numPr>
          <w:ilvl w:val="0"/>
          <w:numId w:val="1"/>
        </w:numPr>
        <w:rPr>
          <w:b/>
          <w:i/>
        </w:rPr>
      </w:pPr>
      <w:r>
        <w:rPr>
          <w:b/>
          <w:i/>
        </w:rPr>
        <w:t>Legal Factor</w:t>
      </w:r>
    </w:p>
    <w:p w:rsidR="00716051" w:rsidRDefault="00BE7BB5">
      <w:r>
        <w:t xml:space="preserve">India might have compounded legal authorisations, and H&amp;M requires better business enhancement and encourages recovery with local laws and regulations. There might be regulations concerned with utilisation, cognitive property grants, and the prevention of environmental protection. The company must have been required to have a great </w:t>
      </w:r>
      <w:r>
        <w:lastRenderedPageBreak/>
        <w:t xml:space="preserve">understanding of the legal authority to ignore legal problems or threats that could be a hindrance to its entry into the Indian market. </w:t>
      </w:r>
    </w:p>
    <w:p w:rsidR="00716051" w:rsidRDefault="00BE7BB5">
      <w:pPr>
        <w:numPr>
          <w:ilvl w:val="0"/>
          <w:numId w:val="5"/>
        </w:numPr>
        <w:rPr>
          <w:b/>
          <w:i/>
        </w:rPr>
      </w:pPr>
      <w:r>
        <w:rPr>
          <w:b/>
          <w:i/>
        </w:rPr>
        <w:t>Environmental Factor</w:t>
      </w:r>
    </w:p>
    <w:p w:rsidR="00716051" w:rsidRDefault="00BE7BB5">
      <w:r>
        <w:t>This assumes various ecosystems and highly efficient populations. In that case, H&amp;M should ensure that its business developments are environmentally sustainable and comply with local laws and regulations concerning waste management and pollution management (</w:t>
      </w:r>
      <w:r>
        <w:rPr>
          <w:color w:val="222222"/>
          <w:highlight w:val="white"/>
        </w:rPr>
        <w:t>Thakur, Gaur, and Singha, 2021)</w:t>
      </w:r>
      <w:r>
        <w:t xml:space="preserve">. The company might have enlarged production to impact its entry into the Indian market and enlarged marketing strategies to diminish its threats. The company requires good adherence to sustainability to enlarge the protection of local consumers.    </w:t>
      </w:r>
    </w:p>
    <w:p w:rsidR="00716051" w:rsidRDefault="00BE7BB5" w:rsidP="003D005D">
      <w:pPr>
        <w:pStyle w:val="Heading1"/>
      </w:pPr>
      <w:bookmarkStart w:id="3" w:name="_Toc134433683"/>
      <w:r>
        <w:t>Hofstede Model</w:t>
      </w:r>
      <w:bookmarkEnd w:id="3"/>
    </w:p>
    <w:p w:rsidR="00716051" w:rsidRDefault="00BE7BB5">
      <w:pPr>
        <w:rPr>
          <w:b/>
          <w:i/>
        </w:rPr>
      </w:pPr>
      <w:r>
        <w:rPr>
          <w:b/>
          <w:i/>
        </w:rPr>
        <w:t>"</w:t>
      </w:r>
      <w:r>
        <w:rPr>
          <w:b/>
          <w:i/>
          <w:color w:val="222222"/>
          <w:highlight w:val="white"/>
        </w:rPr>
        <w:t xml:space="preserve">Hofstede's cultural dimension” </w:t>
      </w:r>
      <w:r>
        <w:rPr>
          <w:color w:val="222222"/>
          <w:highlight w:val="white"/>
        </w:rPr>
        <w:t>theory has</w:t>
      </w:r>
      <w:r>
        <w:t xml:space="preserve"> been developed on six dimensions: </w:t>
      </w:r>
      <w:r>
        <w:rPr>
          <w:b/>
          <w:i/>
        </w:rPr>
        <w:t>“Power distance index, individualism, masculinity, uncertainty avoidance index, long-term orientation, and restraint versus indulgence”.</w:t>
      </w:r>
    </w:p>
    <w:p w:rsidR="00716051" w:rsidRDefault="00BE7BB5">
      <w:r>
        <w:rPr>
          <w:b/>
        </w:rPr>
        <w:t>Power distance:</w:t>
      </w:r>
    </w:p>
    <w:p w:rsidR="00716051" w:rsidRDefault="00BE7BB5">
      <w:r>
        <w:t xml:space="preserve">In the first stage of this </w:t>
      </w:r>
      <w:r>
        <w:rPr>
          <w:b/>
          <w:i/>
        </w:rPr>
        <w:t>"</w:t>
      </w:r>
      <w:r>
        <w:rPr>
          <w:b/>
          <w:i/>
          <w:color w:val="222222"/>
          <w:highlight w:val="white"/>
        </w:rPr>
        <w:t xml:space="preserve">Hofstede's cultural dimension” </w:t>
      </w:r>
      <w:r>
        <w:rPr>
          <w:color w:val="222222"/>
          <w:highlight w:val="white"/>
        </w:rPr>
        <w:t xml:space="preserve">is the </w:t>
      </w:r>
      <w:r>
        <w:rPr>
          <w:b/>
          <w:i/>
          <w:color w:val="222222"/>
          <w:highlight w:val="white"/>
        </w:rPr>
        <w:t xml:space="preserve">“power distance index”, </w:t>
      </w:r>
      <w:r>
        <w:rPr>
          <w:color w:val="222222"/>
          <w:highlight w:val="white"/>
        </w:rPr>
        <w:t>which describes that the society believes that the distribution of power is distributed equally to every person in the society (Escandon-Barbosa</w:t>
      </w:r>
      <w:r w:rsidR="003D005D">
        <w:rPr>
          <w:color w:val="222222"/>
          <w:highlight w:val="white"/>
        </w:rPr>
        <w:t>, Ramirez</w:t>
      </w:r>
      <w:r>
        <w:rPr>
          <w:color w:val="222222"/>
          <w:highlight w:val="white"/>
        </w:rPr>
        <w:t xml:space="preserve"> and Salas-Paramo, 2022). The index shows that the score of the UK is 35 and the score of India is 77. That means the people of the UK do not like to distribute power unequally. </w:t>
      </w:r>
    </w:p>
    <w:p w:rsidR="00716051" w:rsidRDefault="00BE7BB5">
      <w:pPr>
        <w:rPr>
          <w:b/>
        </w:rPr>
      </w:pPr>
      <w:r>
        <w:rPr>
          <w:b/>
        </w:rPr>
        <w:t>Individualism:</w:t>
      </w:r>
    </w:p>
    <w:p w:rsidR="00716051" w:rsidRDefault="00BE7BB5">
      <w:r>
        <w:rPr>
          <w:b/>
        </w:rPr>
        <w:t xml:space="preserve">Individualism </w:t>
      </w:r>
      <w:r>
        <w:t>is the second part of this model. This stage describes how symmetrically the people are assembled in a group (</w:t>
      </w:r>
      <w:r>
        <w:rPr>
          <w:color w:val="222222"/>
          <w:highlight w:val="white"/>
        </w:rPr>
        <w:t>Gerlach and Eriksson, 2021)</w:t>
      </w:r>
      <w:r>
        <w:t>. The score of the UK is 89, and the score of India is 48. It describes that the people of the Uk are more likely to stay individual and independent. And the people of India like to stay in the group and families. As a result, the people of the USA are focused on</w:t>
      </w:r>
      <w:r>
        <w:rPr>
          <w:b/>
          <w:i/>
        </w:rPr>
        <w:t>“personal achievement” and “autonomy”</w:t>
      </w:r>
      <w:r>
        <w:t xml:space="preserve">, and the people like </w:t>
      </w:r>
      <w:r>
        <w:rPr>
          <w:b/>
          <w:i/>
        </w:rPr>
        <w:t>“group harmony” and “loyalty”</w:t>
      </w:r>
      <w:r>
        <w:t>.</w:t>
      </w:r>
    </w:p>
    <w:p w:rsidR="00716051" w:rsidRDefault="00BE7BB5">
      <w:pPr>
        <w:rPr>
          <w:b/>
        </w:rPr>
      </w:pPr>
      <w:r>
        <w:rPr>
          <w:b/>
        </w:rPr>
        <w:t>Masculinity:</w:t>
      </w:r>
    </w:p>
    <w:p w:rsidR="00716051" w:rsidRDefault="00BE7BB5">
      <w:r>
        <w:rPr>
          <w:b/>
        </w:rPr>
        <w:lastRenderedPageBreak/>
        <w:t xml:space="preserve">Masculinity </w:t>
      </w:r>
      <w:r>
        <w:t>shows that difference based on gender creates a huge impact on the power and wealth of a country (</w:t>
      </w:r>
      <w:r>
        <w:rPr>
          <w:color w:val="222222"/>
          <w:highlight w:val="white"/>
        </w:rPr>
        <w:t>Huang and Crotts, 2019)</w:t>
      </w:r>
      <w:r>
        <w:t xml:space="preserve">. The score of India in this stage is 56, and the score of the UK is 66. It reflects that the people of the Uk are more like success, achievement, and competition, and the people of India like </w:t>
      </w:r>
      <w:r>
        <w:rPr>
          <w:b/>
          <w:i/>
        </w:rPr>
        <w:t>“quality of life”</w:t>
      </w:r>
      <w:r>
        <w:t>.</w:t>
      </w:r>
    </w:p>
    <w:p w:rsidR="00716051" w:rsidRDefault="00BE7BB5">
      <w:pPr>
        <w:jc w:val="center"/>
      </w:pPr>
      <w:r>
        <w:rPr>
          <w:noProof/>
          <w:lang w:val="en-GB" w:eastAsia="en-GB"/>
        </w:rPr>
        <w:drawing>
          <wp:inline distT="114300" distB="114300" distL="114300" distR="114300">
            <wp:extent cx="5731200" cy="3200400"/>
            <wp:effectExtent l="25400" t="25400" r="25400" b="25400"/>
            <wp:docPr id="1" name="Picture 2"/>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731200" cy="3200400"/>
                    </a:xfrm>
                    <a:prstGeom prst="rect">
                      <a:avLst/>
                    </a:prstGeom>
                    <a:ln w="25400">
                      <a:solidFill>
                        <a:srgbClr val="000000"/>
                      </a:solidFill>
                      <a:prstDash val="solid"/>
                    </a:ln>
                  </pic:spPr>
                </pic:pic>
              </a:graphicData>
            </a:graphic>
          </wp:inline>
        </w:drawing>
      </w:r>
    </w:p>
    <w:p w:rsidR="00716051" w:rsidRDefault="00BE7BB5">
      <w:pPr>
        <w:jc w:val="center"/>
        <w:rPr>
          <w:b/>
        </w:rPr>
      </w:pPr>
      <w:r>
        <w:rPr>
          <w:b/>
        </w:rPr>
        <w:t>Figure 4.1: Comparison between UK and India</w:t>
      </w:r>
    </w:p>
    <w:p w:rsidR="00716051" w:rsidRDefault="00BE7BB5">
      <w:pPr>
        <w:jc w:val="center"/>
      </w:pPr>
      <w:r>
        <w:t xml:space="preserve">(Source: </w:t>
      </w:r>
      <w:r>
        <w:rPr>
          <w:color w:val="222222"/>
          <w:highlight w:val="white"/>
        </w:rPr>
        <w:t>Anastasiu, Gavris and Maier, 2020)</w:t>
      </w:r>
    </w:p>
    <w:p w:rsidR="00716051" w:rsidRDefault="00BE7BB5">
      <w:pPr>
        <w:rPr>
          <w:b/>
        </w:rPr>
      </w:pPr>
      <w:r>
        <w:rPr>
          <w:b/>
        </w:rPr>
        <w:t>Uncertainty avoidance index:</w:t>
      </w:r>
    </w:p>
    <w:p w:rsidR="00716051" w:rsidRDefault="00BE7BB5">
      <w:r>
        <w:t>This stage describes how people tolerate uncertain situations. The score of the Uk in this stage is 35, and the score of the UK is 40 (</w:t>
      </w:r>
      <w:r>
        <w:rPr>
          <w:color w:val="222222"/>
          <w:highlight w:val="white"/>
        </w:rPr>
        <w:t xml:space="preserve">Isabelle </w:t>
      </w:r>
      <w:r>
        <w:rPr>
          <w:i/>
          <w:color w:val="222222"/>
          <w:highlight w:val="white"/>
        </w:rPr>
        <w:t>et al</w:t>
      </w:r>
      <w:r>
        <w:rPr>
          <w:color w:val="222222"/>
          <w:highlight w:val="white"/>
        </w:rPr>
        <w:t>., 2020)</w:t>
      </w:r>
      <w:r>
        <w:t>. The people of the Uk are less like the uncertain situation than India.</w:t>
      </w:r>
    </w:p>
    <w:p w:rsidR="00716051" w:rsidRDefault="00BE7BB5">
      <w:pPr>
        <w:rPr>
          <w:b/>
        </w:rPr>
      </w:pPr>
      <w:r>
        <w:rPr>
          <w:b/>
        </w:rPr>
        <w:t>Long-term orientation:</w:t>
      </w:r>
    </w:p>
    <w:p w:rsidR="00716051" w:rsidRDefault="00BE7BB5">
      <w:r>
        <w:t>This stage of this model describes how the country learns from the previous situation to handle future challenges (</w:t>
      </w:r>
      <w:r>
        <w:rPr>
          <w:color w:val="222222"/>
          <w:highlight w:val="white"/>
        </w:rPr>
        <w:t>Anastasiu, Gavris, and Maier, 2020)</w:t>
      </w:r>
      <w:r>
        <w:t>. The score of India in this stage is 51, and the score of the UK is 51 also. Both countries believe in the long-term plan and a strong sense of perseverance.</w:t>
      </w:r>
    </w:p>
    <w:p w:rsidR="00716051" w:rsidRDefault="00BE7BB5">
      <w:pPr>
        <w:rPr>
          <w:b/>
        </w:rPr>
      </w:pPr>
      <w:r>
        <w:rPr>
          <w:b/>
        </w:rPr>
        <w:t>Restraint versus indulgence:</w:t>
      </w:r>
    </w:p>
    <w:p w:rsidR="00716051" w:rsidRDefault="00BE7BB5">
      <w:r>
        <w:rPr>
          <w:b/>
        </w:rPr>
        <w:lastRenderedPageBreak/>
        <w:t>“Restraint versus indulgence</w:t>
      </w:r>
      <w:r w:rsidR="003D005D">
        <w:rPr>
          <w:b/>
        </w:rPr>
        <w:t xml:space="preserve">” </w:t>
      </w:r>
      <w:r w:rsidR="003D005D">
        <w:rPr>
          <w:i/>
        </w:rPr>
        <w:t>is</w:t>
      </w:r>
      <w:r>
        <w:t xml:space="preserve"> the last stage of this model. It shows that the country's people want the freedom to fulfil their desires (</w:t>
      </w:r>
      <w:r>
        <w:rPr>
          <w:color w:val="222222"/>
          <w:highlight w:val="white"/>
        </w:rPr>
        <w:t>Sandu and Gide, 2019)</w:t>
      </w:r>
      <w:r>
        <w:t xml:space="preserve">. The score for India is 26, and UK's is 69. It means the people of the UK are more likely to have the freedom to fulfil their desires, and the culture of India is </w:t>
      </w:r>
      <w:r w:rsidR="003D005D">
        <w:t>stricter</w:t>
      </w:r>
      <w:r>
        <w:t>.</w:t>
      </w:r>
    </w:p>
    <w:p w:rsidR="00716051" w:rsidRDefault="00BE7BB5" w:rsidP="003D005D">
      <w:pPr>
        <w:pStyle w:val="Heading1"/>
      </w:pPr>
      <w:bookmarkStart w:id="4" w:name="_Toc134433684"/>
      <w:r>
        <w:t>Porter’s Five Forces</w:t>
      </w:r>
      <w:bookmarkEnd w:id="4"/>
    </w:p>
    <w:p w:rsidR="00716051" w:rsidRDefault="00BE7BB5">
      <w:pPr>
        <w:rPr>
          <w:b/>
          <w:i/>
        </w:rPr>
      </w:pPr>
      <w:r>
        <w:rPr>
          <w:b/>
          <w:i/>
        </w:rPr>
        <w:t>"Porter's Five Forces analysis"</w:t>
      </w:r>
      <w:r>
        <w:t xml:space="preserve"> has focused on measuring the position of H&amp;M depending on the </w:t>
      </w:r>
      <w:r>
        <w:rPr>
          <w:b/>
          <w:i/>
        </w:rPr>
        <w:t>"Threat of new entrants, threat of substitutes, bargaining power of buyers, bargaining power of suppliers and competitive rivalry."</w:t>
      </w:r>
    </w:p>
    <w:p w:rsidR="00716051" w:rsidRDefault="00BE7BB5">
      <w:r>
        <w:rPr>
          <w:b/>
        </w:rPr>
        <w:t>The threat of new entrants:</w:t>
      </w:r>
    </w:p>
    <w:p w:rsidR="00716051" w:rsidRDefault="00BE7BB5">
      <w:r>
        <w:t xml:space="preserve">The H&amp;M </w:t>
      </w:r>
      <w:r w:rsidR="003D005D">
        <w:t>Company</w:t>
      </w:r>
      <w:r>
        <w:t xml:space="preserve"> has faced many threats from new companies in this fashion industry. Entering this industry is very easy for any new company. With the help of an online platform, any company can sell its products to consumers (</w:t>
      </w:r>
      <w:r>
        <w:rPr>
          <w:color w:val="222222"/>
          <w:highlight w:val="white"/>
        </w:rPr>
        <w:t>Karuppiah et al., 2020)</w:t>
      </w:r>
      <w:r>
        <w:t>. The company has captured a huge portion of the market, and the brand value of the company is so high. So the company can handle the threats in the Indian market.</w:t>
      </w:r>
    </w:p>
    <w:p w:rsidR="00716051" w:rsidRDefault="00BE7BB5">
      <w:r>
        <w:rPr>
          <w:b/>
        </w:rPr>
        <w:t>The threat of substitutes:</w:t>
      </w:r>
    </w:p>
    <w:p w:rsidR="00716051" w:rsidRDefault="00BE7BB5">
      <w:r>
        <w:t xml:space="preserve">The </w:t>
      </w:r>
      <w:r w:rsidR="003D005D">
        <w:t>“threat</w:t>
      </w:r>
      <w:r>
        <w:t xml:space="preserve"> of substitutes" is not high for the H&amp;M company in the Indian market. The trend in the fashion industry is changing continuously (</w:t>
      </w:r>
      <w:r>
        <w:rPr>
          <w:color w:val="222222"/>
          <w:highlight w:val="white"/>
        </w:rPr>
        <w:t>Bag et al., 2020)</w:t>
      </w:r>
      <w:r>
        <w:t>. And the company is also developing new designs or trending clothes to stay in the competition. The company has produced trendy clothes at a lower price for Indian consumers.</w:t>
      </w:r>
    </w:p>
    <w:p w:rsidR="00716051" w:rsidRDefault="00BE7BB5">
      <w:r>
        <w:rPr>
          <w:b/>
        </w:rPr>
        <w:t>Bargaining power of buyers:</w:t>
      </w:r>
    </w:p>
    <w:p w:rsidR="00716051" w:rsidRDefault="00BE7BB5">
      <w:r>
        <w:t>The "</w:t>
      </w:r>
      <w:r>
        <w:rPr>
          <w:b/>
          <w:i/>
        </w:rPr>
        <w:t xml:space="preserve">bargaining power of buyers" </w:t>
      </w:r>
      <w:r>
        <w:t xml:space="preserve">is very important in this industry. In the Indian market, many companies like H&amp;M are selling their products. The companies also try to attract consumers with a cheaper price </w:t>
      </w:r>
      <w:r w:rsidR="003D005D">
        <w:t>range (</w:t>
      </w:r>
      <w:r>
        <w:rPr>
          <w:color w:val="222222"/>
          <w:highlight w:val="white"/>
        </w:rPr>
        <w:t>Huang and Crotts, 2019)</w:t>
      </w:r>
      <w:r>
        <w:t>. With the help of the internet, the consumer can analyse the price range of the same products on different platforms and switch to other companies.</w:t>
      </w:r>
    </w:p>
    <w:p w:rsidR="00716051" w:rsidRDefault="00BE7BB5">
      <w:pPr>
        <w:rPr>
          <w:b/>
        </w:rPr>
      </w:pPr>
      <w:r>
        <w:rPr>
          <w:b/>
        </w:rPr>
        <w:t>Bargaining power of suppliers:</w:t>
      </w:r>
    </w:p>
    <w:p w:rsidR="00716051" w:rsidRDefault="00BE7BB5">
      <w:r>
        <w:t xml:space="preserve"> The "</w:t>
      </w:r>
      <w:r>
        <w:rPr>
          <w:b/>
          <w:i/>
        </w:rPr>
        <w:t xml:space="preserve">bargaining power of suppliers" </w:t>
      </w:r>
      <w:r>
        <w:t xml:space="preserve">has greatly impacted the price range of the products in the Indian market. The supply chain of the H&amp;M </w:t>
      </w:r>
      <w:r w:rsidR="003D005D">
        <w:t>Company</w:t>
      </w:r>
      <w:r>
        <w:t xml:space="preserve"> has played an important role in </w:t>
      </w:r>
      <w:r>
        <w:lastRenderedPageBreak/>
        <w:t xml:space="preserve">the business. The company has developed a good relationship with the suppliers. And the suppliers supply good quality materials on time and deliver the products to the consumers. </w:t>
      </w:r>
    </w:p>
    <w:p w:rsidR="00716051" w:rsidRDefault="00BE7BB5">
      <w:r>
        <w:rPr>
          <w:b/>
        </w:rPr>
        <w:t>Competitive Rivalry:</w:t>
      </w:r>
    </w:p>
    <w:p w:rsidR="00716051" w:rsidRDefault="00BE7BB5">
      <w:pPr>
        <w:rPr>
          <w:b/>
        </w:rPr>
      </w:pPr>
      <w:r>
        <w:t xml:space="preserve">The competition in this fashion industry is very high. The target market of the H&amp;M </w:t>
      </w:r>
      <w:r w:rsidR="003D005D">
        <w:t>Company</w:t>
      </w:r>
      <w:r>
        <w:t xml:space="preserve"> is lower and middle-class people. And the company also provides its services in niche markets. Many fashion companies also provide their products in this market.</w:t>
      </w:r>
    </w:p>
    <w:p w:rsidR="00716051" w:rsidRDefault="00BE7BB5" w:rsidP="003D005D">
      <w:pPr>
        <w:pStyle w:val="Heading1"/>
      </w:pPr>
      <w:bookmarkStart w:id="5" w:name="_Toc134433685"/>
      <w:r>
        <w:t>Opportunities and Challenges in the Country</w:t>
      </w:r>
      <w:bookmarkEnd w:id="5"/>
    </w:p>
    <w:p w:rsidR="00716051" w:rsidRDefault="00BE7BB5">
      <w:pPr>
        <w:rPr>
          <w:b/>
        </w:rPr>
      </w:pPr>
      <w:r>
        <w:rPr>
          <w:b/>
        </w:rPr>
        <w:t>Opportunities</w:t>
      </w:r>
    </w:p>
    <w:p w:rsidR="00716051" w:rsidRDefault="00BE7BB5">
      <w:pPr>
        <w:numPr>
          <w:ilvl w:val="0"/>
          <w:numId w:val="3"/>
        </w:numPr>
      </w:pPr>
      <w:r>
        <w:t xml:space="preserve">India is one of the rapidly establishing economic aspects in the global world, and its effectiveness of development strategies should have expected to enlarge comprehensively in the current years. This can be more reliable with the current development for a large opportunity for H&amp;M ensured to assume a high-efficiency consumer base. </w:t>
      </w:r>
    </w:p>
    <w:p w:rsidR="00716051" w:rsidRDefault="00BE7BB5">
      <w:pPr>
        <w:numPr>
          <w:ilvl w:val="0"/>
          <w:numId w:val="3"/>
        </w:numPr>
      </w:pPr>
      <w:r>
        <w:t>The significant rising establishment in the economic procedure of India has conceded to an expansion in the development of affordable, highly effective branded products (</w:t>
      </w:r>
      <w:r>
        <w:rPr>
          <w:color w:val="222222"/>
          <w:highlight w:val="white"/>
        </w:rPr>
        <w:t>Morrison, 2020)</w:t>
      </w:r>
      <w:r>
        <w:t>. H&amp;M offers accessible fashion to its consumers that can be proclaimed to make it a well-defined brand for the Indian market.</w:t>
      </w:r>
    </w:p>
    <w:p w:rsidR="00716051" w:rsidRDefault="00BE7BB5">
      <w:pPr>
        <w:numPr>
          <w:ilvl w:val="0"/>
          <w:numId w:val="3"/>
        </w:numPr>
      </w:pPr>
      <w:r>
        <w:t>The analytical enhancement for H&amp;M has been developing to increase its local declaration in the Indian market, which should have helped to decrease estimates and improve its global supply chain efficiency. This might be a more significant way by incurring to help the company to be provided individual preferences for the customer base of the Indian market.</w:t>
      </w:r>
    </w:p>
    <w:p w:rsidR="00716051" w:rsidRDefault="00BE7BB5">
      <w:pPr>
        <w:numPr>
          <w:ilvl w:val="0"/>
          <w:numId w:val="3"/>
        </w:numPr>
      </w:pPr>
      <w:r>
        <w:t>It can also be utilised to ensure as H&amp;M has a better online presence in India, with E-commerce or digital platforms that can be more affordable for perceived consumers to shop from the comfort of their homes (</w:t>
      </w:r>
      <w:r>
        <w:rPr>
          <w:color w:val="222222"/>
          <w:highlight w:val="white"/>
        </w:rPr>
        <w:t>HR and Aithal, 2020)</w:t>
      </w:r>
      <w:r>
        <w:t xml:space="preserve">. </w:t>
      </w:r>
    </w:p>
    <w:p w:rsidR="00716051" w:rsidRDefault="00BE7BB5">
      <w:pPr>
        <w:rPr>
          <w:b/>
        </w:rPr>
      </w:pPr>
      <w:r>
        <w:rPr>
          <w:b/>
        </w:rPr>
        <w:t xml:space="preserve">Challenges </w:t>
      </w:r>
    </w:p>
    <w:p w:rsidR="00716051" w:rsidRDefault="00BE7BB5">
      <w:pPr>
        <w:numPr>
          <w:ilvl w:val="0"/>
          <w:numId w:val="6"/>
        </w:numPr>
      </w:pPr>
      <w:r>
        <w:t xml:space="preserve">The global marketing evolution of the Indian fashion market is highly competitive as it can be evolved to initialise to international brands like Zara, </w:t>
      </w:r>
      <w:r w:rsidR="003D005D">
        <w:t>and Burberry</w:t>
      </w:r>
      <w:r>
        <w:t xml:space="preserve">, ensuring </w:t>
      </w:r>
      <w:r>
        <w:lastRenderedPageBreak/>
        <w:t>market share. H&amp;M must transform itself from its global competitors to succeed in the Indian market (</w:t>
      </w:r>
      <w:r>
        <w:rPr>
          <w:color w:val="222222"/>
          <w:highlight w:val="white"/>
        </w:rPr>
        <w:t>Yang, Sliusarenko, and Ferraro-Doucette, 2020)</w:t>
      </w:r>
      <w:r>
        <w:t xml:space="preserve">. </w:t>
      </w:r>
    </w:p>
    <w:p w:rsidR="00716051" w:rsidRDefault="00BE7BB5">
      <w:pPr>
        <w:numPr>
          <w:ilvl w:val="0"/>
          <w:numId w:val="6"/>
        </w:numPr>
      </w:pPr>
      <w:r>
        <w:t xml:space="preserve">This can be done while H&amp;M should have considered an accessible fashion brand that might be perceived as high-cost by some Indian consumers. The company must be required to proclaim the position of cost strategies to fascinate and retain consumers biassed.     </w:t>
      </w:r>
    </w:p>
    <w:p w:rsidR="00716051" w:rsidRDefault="00BE7BB5" w:rsidP="003D005D">
      <w:pPr>
        <w:pStyle w:val="Heading1"/>
      </w:pPr>
      <w:bookmarkStart w:id="6" w:name="_Toc134433686"/>
      <w:r>
        <w:t>Different Barriers Experienced</w:t>
      </w:r>
      <w:bookmarkEnd w:id="6"/>
    </w:p>
    <w:p w:rsidR="00716051" w:rsidRDefault="00BE7BB5">
      <w:pPr>
        <w:numPr>
          <w:ilvl w:val="0"/>
          <w:numId w:val="2"/>
        </w:numPr>
      </w:pPr>
      <w:r>
        <w:t>The company first opened its physical store in 2015 in India. After that, the total number of Stores in the company is 48. The company has faced many challenges to expand its business in India.</w:t>
      </w:r>
    </w:p>
    <w:p w:rsidR="00716051" w:rsidRDefault="00BE7BB5">
      <w:pPr>
        <w:numPr>
          <w:ilvl w:val="0"/>
          <w:numId w:val="2"/>
        </w:numPr>
      </w:pPr>
      <w:r>
        <w:t>The company needed help identifying the target market at the beginning of this expansion. The company targets every product age group (</w:t>
      </w:r>
      <w:r>
        <w:rPr>
          <w:color w:val="222222"/>
          <w:highlight w:val="white"/>
        </w:rPr>
        <w:t>Karuppiah et al., 2020)</w:t>
      </w:r>
      <w:r>
        <w:t>. This strategy failed in the Indian market.</w:t>
      </w:r>
    </w:p>
    <w:p w:rsidR="00716051" w:rsidRDefault="00BE7BB5">
      <w:pPr>
        <w:numPr>
          <w:ilvl w:val="0"/>
          <w:numId w:val="2"/>
        </w:numPr>
      </w:pPr>
      <w:r>
        <w:t>The company was running 96% of its businesses online. It was wrong for the Indian market because Indian people liked to buy the product through physical stores.</w:t>
      </w:r>
    </w:p>
    <w:p w:rsidR="00716051" w:rsidRDefault="00BE7BB5">
      <w:pPr>
        <w:numPr>
          <w:ilvl w:val="0"/>
          <w:numId w:val="2"/>
        </w:numPr>
      </w:pPr>
      <w:r>
        <w:t xml:space="preserve">The company follows a fast-fashion business model. Due to this model, the company often copied another brand's design </w:t>
      </w:r>
      <w:r>
        <w:rPr>
          <w:color w:val="222222"/>
          <w:highlight w:val="white"/>
        </w:rPr>
        <w:t>(Escandon-Barbosa</w:t>
      </w:r>
      <w:r w:rsidR="003D005D">
        <w:rPr>
          <w:color w:val="222222"/>
          <w:highlight w:val="white"/>
        </w:rPr>
        <w:t>, Ramirez</w:t>
      </w:r>
      <w:r>
        <w:rPr>
          <w:color w:val="222222"/>
          <w:highlight w:val="white"/>
        </w:rPr>
        <w:t>, and Salas-Paramo, 2022)</w:t>
      </w:r>
      <w:r>
        <w:t>. It faced lots of criticism in the Indian market. The company did not give proper credit to the Indian designers.</w:t>
      </w:r>
    </w:p>
    <w:p w:rsidR="00716051" w:rsidRDefault="00BE7BB5">
      <w:pPr>
        <w:numPr>
          <w:ilvl w:val="0"/>
          <w:numId w:val="2"/>
        </w:numPr>
      </w:pPr>
      <w:r>
        <w:t>The company depended more on external outsourcing. Halting its manufacturing units resulted in dropping sales in the Indian market. As a result, the company faced many difficulties in the early times.</w:t>
      </w:r>
    </w:p>
    <w:p w:rsidR="00716051" w:rsidRDefault="00BE7BB5">
      <w:pPr>
        <w:numPr>
          <w:ilvl w:val="0"/>
          <w:numId w:val="2"/>
        </w:numPr>
      </w:pPr>
      <w:r>
        <w:t>The company entered the Indian market in 2015. At that time, fashion brands like Zara and Gucci had already expanded their business in this market. So the company confronted lots of difficulties at that time.</w:t>
      </w:r>
    </w:p>
    <w:p w:rsidR="00482945" w:rsidRDefault="00BE7BB5" w:rsidP="003D005D">
      <w:pPr>
        <w:pStyle w:val="Heading1"/>
      </w:pPr>
      <w:bookmarkStart w:id="7" w:name="_Toc134433687"/>
      <w:r>
        <w:lastRenderedPageBreak/>
        <w:t>Recommendation</w:t>
      </w:r>
      <w:bookmarkEnd w:id="7"/>
    </w:p>
    <w:p w:rsidR="00482945" w:rsidRPr="00482945" w:rsidRDefault="00BE7BB5" w:rsidP="00BD58D2">
      <w:pPr>
        <w:pStyle w:val="ListParagraph"/>
        <w:numPr>
          <w:ilvl w:val="0"/>
          <w:numId w:val="12"/>
        </w:numPr>
      </w:pPr>
      <w:r w:rsidRPr="00482945">
        <w:t>Localisation and Cultural Sensitivity- India is a diversified country with various cultural preferences. To offer more value to the market, the brand can incorporate new Indian designs and textiles with a dash of their signature designs. It can attract a wider range of customers.</w:t>
      </w:r>
    </w:p>
    <w:p w:rsidR="00482945" w:rsidRPr="00482945" w:rsidRDefault="00BE7BB5" w:rsidP="00BD58D2">
      <w:pPr>
        <w:pStyle w:val="ListParagraph"/>
        <w:numPr>
          <w:ilvl w:val="0"/>
          <w:numId w:val="12"/>
        </w:numPr>
      </w:pPr>
      <w:r w:rsidRPr="00482945">
        <w:t>Expansion in Tier 2 &amp; Tier 3 cities- as H&amp;M has expanded their business in most of the Indian cities, gaining a middle-class population will be a boost for entering a new market system in the 2 &amp; 3 Tier cities.</w:t>
      </w:r>
    </w:p>
    <w:p w:rsidR="00482945" w:rsidRPr="00482945" w:rsidRDefault="00BE7BB5" w:rsidP="00BD58D2">
      <w:pPr>
        <w:pStyle w:val="ListParagraph"/>
        <w:numPr>
          <w:ilvl w:val="0"/>
          <w:numId w:val="12"/>
        </w:numPr>
      </w:pPr>
      <w:r w:rsidRPr="00482945">
        <w:t xml:space="preserve">Online channel and omnichannel experience- in the wake of covid pandemic, online business is booming in India. Omnichannel strategies like click-and-collect patterns ensure transparency in their supply chain management, integrating online and offline channels through these strategies (Hole, Pawar and Khedkar., 2019). During the pandemic, online businesses flourished, making a huge impact on people as it was the most convenient way to shop for a wide range of products. </w:t>
      </w:r>
    </w:p>
    <w:p w:rsidR="00482945" w:rsidRPr="00482945" w:rsidRDefault="00BE7BB5" w:rsidP="00BD58D2">
      <w:pPr>
        <w:pStyle w:val="ListParagraph"/>
        <w:numPr>
          <w:ilvl w:val="0"/>
          <w:numId w:val="12"/>
        </w:numPr>
      </w:pPr>
      <w:r w:rsidRPr="00482945">
        <w:t>Sustainable practicesinvolve expanding garment recycling and using organic and eco-friendly materials. This will build trust and loyalty with the customers.</w:t>
      </w:r>
    </w:p>
    <w:p w:rsidR="00482945" w:rsidRDefault="00BE7BB5" w:rsidP="003D005D">
      <w:pPr>
        <w:pStyle w:val="ListParagraph"/>
        <w:numPr>
          <w:ilvl w:val="0"/>
          <w:numId w:val="12"/>
        </w:numPr>
      </w:pPr>
      <w:r w:rsidRPr="00482945">
        <w:t xml:space="preserve">Collaborations and local partnerships- considering local brands to collaborate can help in engaging more audience and therefore leads to a fusion of international fashion trends with </w:t>
      </w:r>
      <w:r>
        <w:t>I</w:t>
      </w:r>
      <w:r w:rsidRPr="00482945">
        <w:t xml:space="preserve">ndian with indigenous craftsmanship. This merger in the industry will boost engagement among customers globally and locally, depending on the product aesthetics. </w:t>
      </w:r>
      <w:bookmarkStart w:id="8" w:name="_Toc134433688"/>
    </w:p>
    <w:p w:rsidR="00716051" w:rsidRDefault="00BE7BB5" w:rsidP="003D005D">
      <w:pPr>
        <w:pStyle w:val="Heading1"/>
      </w:pPr>
      <w:r>
        <w:t>Conclusion</w:t>
      </w:r>
      <w:bookmarkEnd w:id="8"/>
    </w:p>
    <w:p w:rsidR="00482945" w:rsidRDefault="00BE7BB5" w:rsidP="00BD58D2">
      <w:r>
        <w:t xml:space="preserve">Following the above points, it can be concluded that the brand has established itself in the Indian market successfully. However, some loopholes still need to be covered to grow more in the local marketing industry. H&amp;M has contributed to India's </w:t>
      </w:r>
      <w:r w:rsidR="00BD58D2">
        <w:t>economic</w:t>
      </w:r>
      <w:r>
        <w:t xml:space="preserve"> growth by generating employment, connecting with local culture, ethical manufacturing of goods and supplies, ethical sourcing, etc. (Jain et al., 2021). The brand's target on sustainability has also gained an impact in the eyes of Indian customers who appreciate environmental consciousness and sustainable sourcing of materials, renewable sources of energy and recycling. After that, H&amp;M can focus on the 2 Tier and 3 Tier cities enhancing their growth in the new marketing pattern, boosting the online retail experiences, local collaborations and prioritising sustainable practices. Overall, the journey of H&amp;M showcases its ability to grow in </w:t>
      </w:r>
      <w:r>
        <w:lastRenderedPageBreak/>
        <w:t xml:space="preserve">the local market with a diverse range of products, affordable fashion focusing on men, women and children and sustainable growth. Its contribution to innovation, localisation and sustainability promotes the brand for long-term success in India. </w:t>
      </w:r>
    </w:p>
    <w:p w:rsidR="00482945" w:rsidRPr="00482945" w:rsidRDefault="00482945" w:rsidP="00482945"/>
    <w:p w:rsidR="00716051" w:rsidRDefault="00BE7BB5">
      <w:pPr>
        <w:rPr>
          <w:b/>
        </w:rPr>
      </w:pPr>
      <w:r>
        <w:br w:type="page"/>
      </w:r>
    </w:p>
    <w:p w:rsidR="00482945" w:rsidRDefault="00BE7BB5" w:rsidP="00BD58D2">
      <w:pPr>
        <w:pStyle w:val="Heading1"/>
      </w:pPr>
      <w:bookmarkStart w:id="9" w:name="_Toc134433689"/>
      <w:r>
        <w:lastRenderedPageBreak/>
        <w:t>Reference List</w:t>
      </w:r>
      <w:bookmarkEnd w:id="9"/>
    </w:p>
    <w:p w:rsidR="00BD58D2" w:rsidRPr="00BD58D2" w:rsidRDefault="00BE7BB5" w:rsidP="00482945">
      <w:pPr>
        <w:rPr>
          <w:color w:val="222222"/>
          <w:shd w:val="clear" w:color="auto" w:fill="FFFFFF"/>
        </w:rPr>
      </w:pPr>
      <w:r w:rsidRPr="00BD58D2">
        <w:rPr>
          <w:color w:val="222222"/>
          <w:shd w:val="clear" w:color="auto" w:fill="FFFFFF"/>
        </w:rPr>
        <w:t xml:space="preserve">Anastasiu, L., Gavriş, O. and Maier, D., (2020). Is human capital ready for change? A strategic approach is adapting Porter's five forces to human resources. </w:t>
      </w:r>
      <w:r w:rsidRPr="00BD58D2">
        <w:rPr>
          <w:i/>
          <w:iCs/>
          <w:color w:val="000000"/>
        </w:rPr>
        <w:t>Sustainability</w:t>
      </w:r>
      <w:r w:rsidRPr="00BD58D2">
        <w:rPr>
          <w:color w:val="000000"/>
        </w:rPr>
        <w:t xml:space="preserve">, </w:t>
      </w:r>
      <w:r w:rsidRPr="00BD58D2">
        <w:rPr>
          <w:i/>
          <w:iCs/>
          <w:color w:val="000000"/>
        </w:rPr>
        <w:t>12</w:t>
      </w:r>
      <w:r w:rsidRPr="00BD58D2">
        <w:rPr>
          <w:color w:val="000000"/>
        </w:rPr>
        <w:t>(6), p.2300.</w:t>
      </w:r>
      <w:hyperlink r:id="rId10" w:history="1">
        <w:r w:rsidRPr="00BD58D2">
          <w:rPr>
            <w:rStyle w:val="Hyperlink"/>
            <w:color w:val="1155CC"/>
            <w:shd w:val="clear" w:color="auto" w:fill="FFFFFF"/>
          </w:rPr>
          <w:t>https://www.mdpi.com/2071-1050/12/6/2300/pdf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Bag, S., Viktorovich, D.A., Sahu, A.K. and Sahu, A.K., (2020). Barriers to adoption of blockchain technology in green supply chain management. </w:t>
      </w:r>
      <w:r w:rsidRPr="00BD58D2">
        <w:rPr>
          <w:rFonts w:ascii="Arial" w:hAnsi="Arial" w:cs="Arial"/>
          <w:i/>
          <w:iCs/>
          <w:color w:val="000000"/>
          <w:sz w:val="22"/>
          <w:szCs w:val="22"/>
        </w:rPr>
        <w:t>Journal of Global Operations and Strategic Sourcing</w:t>
      </w:r>
      <w:r w:rsidRPr="00BD58D2">
        <w:rPr>
          <w:rFonts w:ascii="Arial" w:hAnsi="Arial" w:cs="Arial"/>
          <w:color w:val="000000"/>
          <w:sz w:val="22"/>
          <w:szCs w:val="22"/>
        </w:rPr>
        <w:t xml:space="preserve">, </w:t>
      </w:r>
      <w:r w:rsidRPr="00BD58D2">
        <w:rPr>
          <w:rFonts w:ascii="Arial" w:hAnsi="Arial" w:cs="Arial"/>
          <w:i/>
          <w:iCs/>
          <w:color w:val="000000"/>
          <w:sz w:val="22"/>
          <w:szCs w:val="22"/>
        </w:rPr>
        <w:t>14</w:t>
      </w:r>
      <w:r w:rsidRPr="00BD58D2">
        <w:rPr>
          <w:rFonts w:ascii="Arial" w:hAnsi="Arial" w:cs="Arial"/>
          <w:color w:val="000000"/>
          <w:sz w:val="22"/>
          <w:szCs w:val="22"/>
        </w:rPr>
        <w:t>(1), pp.104-133.</w:t>
      </w:r>
      <w:hyperlink r:id="rId11" w:history="1">
        <w:r w:rsidRPr="00BD58D2">
          <w:rPr>
            <w:rStyle w:val="Hyperlink"/>
            <w:rFonts w:ascii="Arial" w:hAnsi="Arial" w:cs="Arial"/>
            <w:color w:val="1155CC"/>
            <w:sz w:val="22"/>
            <w:szCs w:val="22"/>
            <w:shd w:val="clear" w:color="auto" w:fill="FFFFFF"/>
          </w:rPr>
          <w:t>https://ujcontent.uj.ac.za/esploro/fulltext/journalArticle/Barriers-to-adoption-of-blockchain-technology/9911652607691?repId=124777160007691&amp;mId=135468760007691&amp;institution=27UOJ_INST</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Escandon-Barbosa, D., Ramirez, A. and Salas-Paramo, J., (2022). The Effect of Cultural Orientations on Country Innovation Performance: Hofstede Cultural Dimensions Revisited?. </w:t>
      </w:r>
      <w:r w:rsidRPr="00BD58D2">
        <w:rPr>
          <w:rFonts w:ascii="Arial" w:hAnsi="Arial" w:cs="Arial"/>
          <w:i/>
          <w:iCs/>
          <w:color w:val="000000"/>
          <w:sz w:val="22"/>
          <w:szCs w:val="22"/>
        </w:rPr>
        <w:t>Sustainability</w:t>
      </w:r>
      <w:r w:rsidRPr="00BD58D2">
        <w:rPr>
          <w:rFonts w:ascii="Arial" w:hAnsi="Arial" w:cs="Arial"/>
          <w:color w:val="000000"/>
          <w:sz w:val="22"/>
          <w:szCs w:val="22"/>
        </w:rPr>
        <w:t xml:space="preserve">, </w:t>
      </w:r>
      <w:r w:rsidRPr="00BD58D2">
        <w:rPr>
          <w:rFonts w:ascii="Arial" w:hAnsi="Arial" w:cs="Arial"/>
          <w:i/>
          <w:iCs/>
          <w:color w:val="000000"/>
          <w:sz w:val="22"/>
          <w:szCs w:val="22"/>
        </w:rPr>
        <w:t>14</w:t>
      </w:r>
      <w:r w:rsidRPr="00BD58D2">
        <w:rPr>
          <w:rFonts w:ascii="Arial" w:hAnsi="Arial" w:cs="Arial"/>
          <w:color w:val="000000"/>
          <w:sz w:val="22"/>
          <w:szCs w:val="22"/>
        </w:rPr>
        <w:t>(10), p.5851.</w:t>
      </w:r>
      <w:hyperlink r:id="rId12" w:history="1">
        <w:r w:rsidRPr="00BD58D2">
          <w:rPr>
            <w:rStyle w:val="Hyperlink"/>
            <w:rFonts w:ascii="Arial" w:hAnsi="Arial" w:cs="Arial"/>
            <w:color w:val="1155CC"/>
            <w:sz w:val="22"/>
            <w:szCs w:val="22"/>
            <w:shd w:val="clear" w:color="auto" w:fill="FFFFFF"/>
          </w:rPr>
          <w:t>https://www.mdpi.com/2071-1050/14/10/5851/pdf</w:t>
        </w:r>
      </w:hyperlink>
    </w:p>
    <w:p w:rsidR="00BD58D2" w:rsidRPr="00BD58D2" w:rsidRDefault="00BE7BB5" w:rsidP="00482945">
      <w:pPr>
        <w:pStyle w:val="NormalWeb"/>
        <w:spacing w:before="0" w:beforeAutospacing="0" w:after="0" w:afterAutospacing="0"/>
        <w:rPr>
          <w:rFonts w:ascii="Arial" w:hAnsi="Arial" w:cs="Arial"/>
          <w:sz w:val="22"/>
          <w:szCs w:val="22"/>
        </w:rPr>
      </w:pPr>
      <w:r w:rsidRPr="00BD58D2">
        <w:rPr>
          <w:rFonts w:ascii="Arial" w:hAnsi="Arial" w:cs="Arial"/>
          <w:color w:val="000000"/>
          <w:sz w:val="22"/>
          <w:szCs w:val="22"/>
        </w:rPr>
        <w:t xml:space="preserve">Gawankar, S.A., Gunasekaran, A. and Kamble, S., (2020). A study on investments in the big data-driven supply chain, performance measures and organisational performance in Indian retail 4.0 context. </w:t>
      </w:r>
      <w:r w:rsidRPr="00BD58D2">
        <w:rPr>
          <w:rFonts w:ascii="Arial" w:hAnsi="Arial" w:cs="Arial"/>
          <w:i/>
          <w:iCs/>
          <w:color w:val="000000"/>
          <w:sz w:val="22"/>
          <w:szCs w:val="22"/>
        </w:rPr>
        <w:t>International Journal of Production Research</w:t>
      </w:r>
      <w:r w:rsidRPr="00BD58D2">
        <w:rPr>
          <w:rFonts w:ascii="Arial" w:hAnsi="Arial" w:cs="Arial"/>
          <w:color w:val="000000"/>
          <w:sz w:val="22"/>
          <w:szCs w:val="22"/>
        </w:rPr>
        <w:t xml:space="preserve">, </w:t>
      </w:r>
      <w:r w:rsidRPr="00BD58D2">
        <w:rPr>
          <w:rFonts w:ascii="Arial" w:hAnsi="Arial" w:cs="Arial"/>
          <w:i/>
          <w:iCs/>
          <w:color w:val="000000"/>
          <w:sz w:val="22"/>
          <w:szCs w:val="22"/>
        </w:rPr>
        <w:t>58</w:t>
      </w:r>
      <w:r w:rsidRPr="00BD58D2">
        <w:rPr>
          <w:rFonts w:ascii="Arial" w:hAnsi="Arial" w:cs="Arial"/>
          <w:color w:val="000000"/>
          <w:sz w:val="22"/>
          <w:szCs w:val="22"/>
        </w:rPr>
        <w:t>(5), pp.1574-1593.</w:t>
      </w:r>
      <w:hyperlink r:id="rId13" w:history="1">
        <w:r w:rsidRPr="00BD58D2">
          <w:rPr>
            <w:rStyle w:val="Hyperlink"/>
            <w:rFonts w:ascii="Arial" w:hAnsi="Arial" w:cs="Arial"/>
            <w:color w:val="1155CC"/>
            <w:sz w:val="22"/>
            <w:szCs w:val="22"/>
          </w:rPr>
          <w:t>https://www.researchgate.net/profile/Shradha-Gawankar/publication/336091611_A_study_on_investments_in_the_big_data-driven_supply_chain_performance_measures_and_organisational_performance_in_Indian_retail_40_context/links/5d8f901a92851c33e94628ad/A-study-on-investments-in-the-big-data-driven-supply-chain-performance-measures-and-organisational-performance-in-Indian-retail-40-context.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Gerlach, P. and Eriksson, K., (2021). Measuring cultural dimensions: external validity and internal consistency of Hofstede's VSM 2013 Scales. </w:t>
      </w:r>
      <w:r w:rsidRPr="00BD58D2">
        <w:rPr>
          <w:rFonts w:ascii="Arial" w:hAnsi="Arial" w:cs="Arial"/>
          <w:i/>
          <w:iCs/>
          <w:color w:val="000000"/>
          <w:sz w:val="22"/>
          <w:szCs w:val="22"/>
        </w:rPr>
        <w:t>Frontiers in Psychology</w:t>
      </w:r>
      <w:r w:rsidRPr="00BD58D2">
        <w:rPr>
          <w:rFonts w:ascii="Arial" w:hAnsi="Arial" w:cs="Arial"/>
          <w:color w:val="000000"/>
          <w:sz w:val="22"/>
          <w:szCs w:val="22"/>
        </w:rPr>
        <w:t xml:space="preserve">, </w:t>
      </w:r>
      <w:r w:rsidRPr="00BD58D2">
        <w:rPr>
          <w:rFonts w:ascii="Arial" w:hAnsi="Arial" w:cs="Arial"/>
          <w:i/>
          <w:iCs/>
          <w:color w:val="000000"/>
          <w:sz w:val="22"/>
          <w:szCs w:val="22"/>
        </w:rPr>
        <w:t>12</w:t>
      </w:r>
      <w:r w:rsidRPr="00BD58D2">
        <w:rPr>
          <w:rFonts w:ascii="Arial" w:hAnsi="Arial" w:cs="Arial"/>
          <w:color w:val="000000"/>
          <w:sz w:val="22"/>
          <w:szCs w:val="22"/>
        </w:rPr>
        <w:t>, p.662604.</w:t>
      </w:r>
      <w:hyperlink r:id="rId14" w:history="1">
        <w:r w:rsidRPr="00BD58D2">
          <w:rPr>
            <w:rStyle w:val="Hyperlink"/>
            <w:rFonts w:ascii="Arial" w:hAnsi="Arial" w:cs="Arial"/>
            <w:color w:val="1155CC"/>
            <w:sz w:val="22"/>
            <w:szCs w:val="22"/>
            <w:shd w:val="clear" w:color="auto" w:fill="FFFFFF"/>
          </w:rPr>
          <w:t>https://www.frontiersin.org/articles/10.3389/fpsyg.(2021).662604/full</w:t>
        </w:r>
      </w:hyperlink>
    </w:p>
    <w:p w:rsidR="00BD58D2" w:rsidRPr="00BD58D2" w:rsidRDefault="00BE7BB5" w:rsidP="00482945">
      <w:pPr>
        <w:pStyle w:val="NormalWeb"/>
        <w:spacing w:before="0" w:beforeAutospacing="0" w:after="0" w:afterAutospacing="0"/>
        <w:rPr>
          <w:rFonts w:ascii="Arial" w:hAnsi="Arial" w:cs="Arial"/>
          <w:sz w:val="22"/>
          <w:szCs w:val="22"/>
        </w:rPr>
      </w:pPr>
      <w:r w:rsidRPr="00BD58D2">
        <w:rPr>
          <w:rFonts w:ascii="Arial" w:hAnsi="Arial" w:cs="Arial"/>
          <w:color w:val="000000"/>
          <w:sz w:val="22"/>
          <w:szCs w:val="22"/>
        </w:rPr>
        <w:t xml:space="preserve">Hole, Y., Pawar, M.S. and Khedkar, E.B., (2019), November. Omni channel retailing: An opportunity and challenges in the Indian market. In </w:t>
      </w:r>
      <w:r w:rsidRPr="00BD58D2">
        <w:rPr>
          <w:rFonts w:ascii="Arial" w:hAnsi="Arial" w:cs="Arial"/>
          <w:i/>
          <w:iCs/>
          <w:color w:val="000000"/>
          <w:sz w:val="22"/>
          <w:szCs w:val="22"/>
        </w:rPr>
        <w:t>Journal of Physics: Conference Series</w:t>
      </w:r>
      <w:r w:rsidRPr="00BD58D2">
        <w:rPr>
          <w:rFonts w:ascii="Arial" w:hAnsi="Arial" w:cs="Arial"/>
          <w:color w:val="000000"/>
          <w:sz w:val="22"/>
          <w:szCs w:val="22"/>
        </w:rPr>
        <w:t xml:space="preserve"> (Vol. 1362, No. 1, p. 012121). IOP Publishing.</w:t>
      </w:r>
      <w:hyperlink r:id="rId15" w:history="1">
        <w:r w:rsidRPr="00BD58D2">
          <w:rPr>
            <w:rStyle w:val="Hyperlink"/>
            <w:rFonts w:ascii="Arial" w:hAnsi="Arial" w:cs="Arial"/>
            <w:color w:val="1155CC"/>
            <w:sz w:val="22"/>
            <w:szCs w:val="22"/>
          </w:rPr>
          <w:t>https://iopscience.iop.org/article/10.1088/1742-6596/1362/1/012121/pdf</w:t>
        </w:r>
      </w:hyperlink>
    </w:p>
    <w:p w:rsidR="00BD58D2" w:rsidRPr="00BD58D2" w:rsidRDefault="00BE7BB5" w:rsidP="00C142BC">
      <w:pPr>
        <w:rPr>
          <w:color w:val="222222"/>
          <w:shd w:val="clear" w:color="auto" w:fill="FFFFFF"/>
        </w:rPr>
      </w:pPr>
      <w:r w:rsidRPr="00BD58D2">
        <w:rPr>
          <w:color w:val="222222"/>
          <w:shd w:val="clear" w:color="auto" w:fill="FFFFFF"/>
        </w:rPr>
        <w:t xml:space="preserve">HR, G. and Aithal, P.S., (2020). Organising the Unorganised Lifestyle Retailers in India: An Integrated Framework. </w:t>
      </w:r>
      <w:r w:rsidRPr="00BD58D2">
        <w:rPr>
          <w:i/>
          <w:iCs/>
          <w:color w:val="222222"/>
          <w:shd w:val="clear" w:color="auto" w:fill="FFFFFF"/>
        </w:rPr>
        <w:t>International Journal of Applied Engineering and Management Letters (IJAEML)</w:t>
      </w:r>
      <w:r w:rsidRPr="00BD58D2">
        <w:rPr>
          <w:color w:val="222222"/>
          <w:shd w:val="clear" w:color="auto" w:fill="FFFFFF"/>
        </w:rPr>
        <w:t>, </w:t>
      </w:r>
      <w:r w:rsidRPr="00BD58D2">
        <w:rPr>
          <w:i/>
          <w:iCs/>
          <w:color w:val="222222"/>
          <w:shd w:val="clear" w:color="auto" w:fill="FFFFFF"/>
        </w:rPr>
        <w:t>4</w:t>
      </w:r>
      <w:r w:rsidRPr="00BD58D2">
        <w:rPr>
          <w:color w:val="222222"/>
          <w:shd w:val="clear" w:color="auto" w:fill="FFFFFF"/>
        </w:rPr>
        <w:t xml:space="preserve">(1), pp.257-278. </w:t>
      </w:r>
      <w:hyperlink r:id="rId16" w:history="1">
        <w:r w:rsidRPr="00BD58D2">
          <w:rPr>
            <w:rStyle w:val="Hyperlink"/>
            <w:shd w:val="clear" w:color="auto" w:fill="FFFFFF"/>
          </w:rPr>
          <w:t>https://www.researchgate.net/profile/Ganesha-H-R/publication/342672763_Organizing_the_Unorganized_Lifestyle_Retailers_in_India_An_Int</w:t>
        </w:r>
        <w:r w:rsidRPr="00BD58D2">
          <w:rPr>
            <w:rStyle w:val="Hyperlink"/>
            <w:shd w:val="clear" w:color="auto" w:fill="FFFFFF"/>
          </w:rPr>
          <w:lastRenderedPageBreak/>
          <w:t>egrated_Framework/links/5f478525299bf13c503d626a/Organizing-the-Unorganized-Lifestyle-Retailers-in-India-An-Integrated-Framework.pdf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Huang, S.S. and Crotts, J. (2019). Relationships between Hofstede's cultural dimensions and tourist satisfaction: A cross-country cross-sample examination. </w:t>
      </w:r>
      <w:r w:rsidRPr="00BD58D2">
        <w:rPr>
          <w:rFonts w:ascii="Arial" w:hAnsi="Arial" w:cs="Arial"/>
          <w:i/>
          <w:iCs/>
          <w:color w:val="000000"/>
          <w:sz w:val="22"/>
          <w:szCs w:val="22"/>
        </w:rPr>
        <w:t>Tourism management</w:t>
      </w:r>
      <w:r w:rsidRPr="00BD58D2">
        <w:rPr>
          <w:rFonts w:ascii="Arial" w:hAnsi="Arial" w:cs="Arial"/>
          <w:color w:val="000000"/>
          <w:sz w:val="22"/>
          <w:szCs w:val="22"/>
        </w:rPr>
        <w:t xml:space="preserve">, </w:t>
      </w:r>
      <w:r w:rsidRPr="00BD58D2">
        <w:rPr>
          <w:rFonts w:ascii="Arial" w:hAnsi="Arial" w:cs="Arial"/>
          <w:i/>
          <w:iCs/>
          <w:color w:val="000000"/>
          <w:sz w:val="22"/>
          <w:szCs w:val="22"/>
        </w:rPr>
        <w:t>72</w:t>
      </w:r>
      <w:r w:rsidRPr="00BD58D2">
        <w:rPr>
          <w:rFonts w:ascii="Arial" w:hAnsi="Arial" w:cs="Arial"/>
          <w:color w:val="000000"/>
          <w:sz w:val="22"/>
          <w:szCs w:val="22"/>
        </w:rPr>
        <w:t>, pp.232-241.</w:t>
      </w:r>
      <w:hyperlink r:id="rId17" w:history="1">
        <w:r w:rsidRPr="00BD58D2">
          <w:rPr>
            <w:rStyle w:val="Hyperlink"/>
            <w:rFonts w:ascii="Arial" w:hAnsi="Arial" w:cs="Arial"/>
            <w:color w:val="1155CC"/>
            <w:sz w:val="22"/>
            <w:szCs w:val="22"/>
            <w:shd w:val="clear" w:color="auto" w:fill="FFFFFF"/>
          </w:rPr>
          <w:t>https://123project.ir/wp-content/uploads/(2020)/12/Relationships-between-Hofstedes-cultural-dimensions-and-tourist-satisfaction-A-cross-country-cross-sample-examination.pdf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Isabelle, D., Horak, K., McKinnon, S. and Palumbo, C. (2020). Is Porter's Five Forces Framework Still Relevant? A study of the capital/labour intensity continuum via mining and IT industries. </w:t>
      </w:r>
      <w:r w:rsidRPr="00BD58D2">
        <w:rPr>
          <w:rFonts w:ascii="Arial" w:hAnsi="Arial" w:cs="Arial"/>
          <w:i/>
          <w:iCs/>
          <w:color w:val="000000"/>
          <w:sz w:val="22"/>
          <w:szCs w:val="22"/>
        </w:rPr>
        <w:t>Technology Innovation Management Review</w:t>
      </w:r>
      <w:r w:rsidRPr="00BD58D2">
        <w:rPr>
          <w:rFonts w:ascii="Arial" w:hAnsi="Arial" w:cs="Arial"/>
          <w:color w:val="000000"/>
          <w:sz w:val="22"/>
          <w:szCs w:val="22"/>
        </w:rPr>
        <w:t xml:space="preserve">, </w:t>
      </w:r>
      <w:r w:rsidRPr="00BD58D2">
        <w:rPr>
          <w:rFonts w:ascii="Arial" w:hAnsi="Arial" w:cs="Arial"/>
          <w:i/>
          <w:iCs/>
          <w:color w:val="000000"/>
          <w:sz w:val="22"/>
          <w:szCs w:val="22"/>
        </w:rPr>
        <w:t>10</w:t>
      </w:r>
      <w:r w:rsidRPr="00BD58D2">
        <w:rPr>
          <w:rFonts w:ascii="Arial" w:hAnsi="Arial" w:cs="Arial"/>
          <w:color w:val="000000"/>
          <w:sz w:val="22"/>
          <w:szCs w:val="22"/>
        </w:rPr>
        <w:t>(6).</w:t>
      </w:r>
      <w:hyperlink r:id="rId18" w:history="1">
        <w:r w:rsidRPr="00BD58D2">
          <w:rPr>
            <w:rStyle w:val="Hyperlink"/>
            <w:rFonts w:ascii="Arial" w:hAnsi="Arial" w:cs="Arial"/>
            <w:color w:val="1155CC"/>
            <w:sz w:val="22"/>
            <w:szCs w:val="22"/>
            <w:shd w:val="clear" w:color="auto" w:fill="FFFFFF"/>
          </w:rPr>
          <w:t>https://www.timreview.ca/article/1366</w:t>
        </w:r>
      </w:hyperlink>
    </w:p>
    <w:p w:rsidR="00BD58D2" w:rsidRPr="00BD58D2" w:rsidRDefault="00BE7BB5" w:rsidP="00482945">
      <w:pPr>
        <w:pStyle w:val="NormalWeb"/>
        <w:spacing w:before="0" w:beforeAutospacing="0" w:after="0" w:afterAutospacing="0"/>
        <w:rPr>
          <w:rFonts w:ascii="Arial" w:hAnsi="Arial" w:cs="Arial"/>
          <w:sz w:val="22"/>
          <w:szCs w:val="22"/>
        </w:rPr>
      </w:pPr>
      <w:r w:rsidRPr="00BD58D2">
        <w:rPr>
          <w:rFonts w:ascii="Arial" w:hAnsi="Arial" w:cs="Arial"/>
          <w:color w:val="000000"/>
          <w:sz w:val="22"/>
          <w:szCs w:val="22"/>
        </w:rPr>
        <w:t xml:space="preserve">Jain, V.I.P.I.N., Malviya, B.I.N.D.O.O. and Arya, S.A.T.Y.E.N.D.R.A., (2021). An overview of electronic commerce (e-Commerce). </w:t>
      </w:r>
      <w:r w:rsidRPr="00BD58D2">
        <w:rPr>
          <w:rFonts w:ascii="Arial" w:hAnsi="Arial" w:cs="Arial"/>
          <w:i/>
          <w:iCs/>
          <w:color w:val="000000"/>
          <w:sz w:val="22"/>
          <w:szCs w:val="22"/>
        </w:rPr>
        <w:t>Journal of Contemporary Issues in Business and Government| Vol</w:t>
      </w:r>
      <w:r w:rsidRPr="00BD58D2">
        <w:rPr>
          <w:rFonts w:ascii="Arial" w:hAnsi="Arial" w:cs="Arial"/>
          <w:color w:val="000000"/>
          <w:sz w:val="22"/>
          <w:szCs w:val="22"/>
        </w:rPr>
        <w:t xml:space="preserve">, </w:t>
      </w:r>
      <w:r w:rsidRPr="00BD58D2">
        <w:rPr>
          <w:rFonts w:ascii="Arial" w:hAnsi="Arial" w:cs="Arial"/>
          <w:i/>
          <w:iCs/>
          <w:color w:val="000000"/>
          <w:sz w:val="22"/>
          <w:szCs w:val="22"/>
        </w:rPr>
        <w:t>27</w:t>
      </w:r>
      <w:r w:rsidRPr="00BD58D2">
        <w:rPr>
          <w:rFonts w:ascii="Arial" w:hAnsi="Arial" w:cs="Arial"/>
          <w:color w:val="000000"/>
          <w:sz w:val="22"/>
          <w:szCs w:val="22"/>
        </w:rPr>
        <w:t>(3), p.666.</w:t>
      </w:r>
      <w:hyperlink r:id="rId19" w:history="1">
        <w:r w:rsidRPr="00BD58D2">
          <w:rPr>
            <w:rStyle w:val="Hyperlink"/>
            <w:rFonts w:ascii="Arial" w:hAnsi="Arial" w:cs="Arial"/>
            <w:color w:val="1155CC"/>
            <w:sz w:val="22"/>
            <w:szCs w:val="22"/>
          </w:rPr>
          <w:t>https://www.cibgp.com/article_10898_98b20a1dbfbdb8f7084003b4a035911d.pdf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Karuppiah, K., Sankaranarayanan, B., Ali, S.M., Chowdhury, P. and Paul, S.K., (2020). An integrated approach to modelling the barriers in implementing green manufacturing practices in SMEs. </w:t>
      </w:r>
      <w:r w:rsidRPr="00BD58D2">
        <w:rPr>
          <w:rFonts w:ascii="Arial" w:hAnsi="Arial" w:cs="Arial"/>
          <w:i/>
          <w:iCs/>
          <w:color w:val="000000"/>
          <w:sz w:val="22"/>
          <w:szCs w:val="22"/>
        </w:rPr>
        <w:t>Journal of Cleaner Production</w:t>
      </w:r>
      <w:r w:rsidRPr="00BD58D2">
        <w:rPr>
          <w:rFonts w:ascii="Arial" w:hAnsi="Arial" w:cs="Arial"/>
          <w:color w:val="000000"/>
          <w:sz w:val="22"/>
          <w:szCs w:val="22"/>
        </w:rPr>
        <w:t xml:space="preserve">, </w:t>
      </w:r>
      <w:r w:rsidRPr="00BD58D2">
        <w:rPr>
          <w:rFonts w:ascii="Arial" w:hAnsi="Arial" w:cs="Arial"/>
          <w:i/>
          <w:iCs/>
          <w:color w:val="000000"/>
          <w:sz w:val="22"/>
          <w:szCs w:val="22"/>
        </w:rPr>
        <w:t>265</w:t>
      </w:r>
      <w:r w:rsidRPr="00BD58D2">
        <w:rPr>
          <w:rFonts w:ascii="Arial" w:hAnsi="Arial" w:cs="Arial"/>
          <w:color w:val="000000"/>
          <w:sz w:val="22"/>
          <w:szCs w:val="22"/>
        </w:rPr>
        <w:t>, p.121737.</w:t>
      </w:r>
      <w:hyperlink r:id="rId20" w:history="1">
        <w:r w:rsidRPr="00BD58D2">
          <w:rPr>
            <w:rStyle w:val="Hyperlink"/>
            <w:rFonts w:ascii="Arial" w:hAnsi="Arial" w:cs="Arial"/>
            <w:color w:val="1155CC"/>
            <w:sz w:val="22"/>
            <w:szCs w:val="22"/>
            <w:shd w:val="clear" w:color="auto" w:fill="FFFFFF"/>
          </w:rPr>
          <w:t>https://opus.lib.uts.edu.au/bitstream/10453/140420/2/Binder1.pdf</w:t>
        </w:r>
      </w:hyperlink>
    </w:p>
    <w:p w:rsidR="00BD58D2" w:rsidRPr="00BD58D2" w:rsidRDefault="00BE7BB5" w:rsidP="00C142BC">
      <w:pPr>
        <w:rPr>
          <w:color w:val="222222"/>
          <w:shd w:val="clear" w:color="auto" w:fill="FFFFFF"/>
        </w:rPr>
      </w:pPr>
      <w:r w:rsidRPr="00BD58D2">
        <w:rPr>
          <w:color w:val="222222"/>
          <w:shd w:val="clear" w:color="auto" w:fill="FFFFFF"/>
        </w:rPr>
        <w:t xml:space="preserve">Morrison, J. (2020). </w:t>
      </w:r>
      <w:r w:rsidRPr="00BD58D2">
        <w:rPr>
          <w:i/>
          <w:iCs/>
          <w:color w:val="222222"/>
          <w:shd w:val="clear" w:color="auto" w:fill="FFFFFF"/>
        </w:rPr>
        <w:t>The Global business environment: towards sustainability?</w:t>
      </w:r>
      <w:r w:rsidRPr="00BD58D2">
        <w:rPr>
          <w:color w:val="222222"/>
          <w:shd w:val="clear" w:color="auto" w:fill="FFFFFF"/>
        </w:rPr>
        <w:t xml:space="preserve">. Bloomsbury Publishing. </w:t>
      </w:r>
      <w:hyperlink r:id="rId21" w:history="1">
        <w:r w:rsidRPr="00BD58D2">
          <w:rPr>
            <w:rStyle w:val="Hyperlink"/>
            <w:shd w:val="clear" w:color="auto" w:fill="FFFFFF"/>
          </w:rPr>
          <w:t>https://books.google.com/books?hl=en&amp;lr=&amp;id=oB5HEAAAQBAJ&amp;oi=fnd&amp;pg=PR5&amp;dq=pestle+analysis+of+H%26M+in+india&amp;ots=7gkbZUZV-J&amp;sig=xBRG4T9BwCH4qJWv6fLBIVC3G40</w:t>
        </w:r>
      </w:hyperlink>
    </w:p>
    <w:p w:rsidR="00BD58D2" w:rsidRPr="00BD58D2" w:rsidRDefault="00BE7BB5" w:rsidP="00C142BC">
      <w:pPr>
        <w:rPr>
          <w:color w:val="222222"/>
          <w:shd w:val="clear" w:color="auto" w:fill="FFFFFF"/>
        </w:rPr>
      </w:pPr>
      <w:r w:rsidRPr="00BD58D2">
        <w:rPr>
          <w:color w:val="222222"/>
          <w:shd w:val="clear" w:color="auto" w:fill="FFFFFF"/>
        </w:rPr>
        <w:t>Pandey, S., Pandit, P., Pandey, R. and Pandey, S., (2020). Marketing Strategies for Upcycling and Recycling of Textile and Fashion. </w:t>
      </w:r>
      <w:r w:rsidRPr="00BD58D2">
        <w:rPr>
          <w:i/>
          <w:iCs/>
          <w:color w:val="222222"/>
          <w:shd w:val="clear" w:color="auto" w:fill="FFFFFF"/>
        </w:rPr>
        <w:t>Recycling from Waste in Fashion and Textiles: A Sustainable and Circular Economic Approach</w:t>
      </w:r>
      <w:r w:rsidRPr="00BD58D2">
        <w:rPr>
          <w:color w:val="222222"/>
          <w:shd w:val="clear" w:color="auto" w:fill="FFFFFF"/>
        </w:rPr>
        <w:t xml:space="preserve">, pp.253-275. </w:t>
      </w:r>
      <w:hyperlink r:id="rId22" w:history="1">
        <w:r w:rsidRPr="00BD58D2">
          <w:rPr>
            <w:rStyle w:val="Hyperlink"/>
            <w:shd w:val="clear" w:color="auto" w:fill="FFFFFF"/>
          </w:rPr>
          <w:t>https://onlinelibrary.wiley.com/doi/abs/10.1002/9781119620532.ch12</w:t>
        </w:r>
      </w:hyperlink>
    </w:p>
    <w:p w:rsidR="00BD58D2" w:rsidRPr="00BD58D2" w:rsidRDefault="00BE7BB5" w:rsidP="00C142BC">
      <w:pPr>
        <w:rPr>
          <w:color w:val="222222"/>
          <w:shd w:val="clear" w:color="auto" w:fill="FFFFFF"/>
        </w:rPr>
      </w:pPr>
      <w:r w:rsidRPr="00BD58D2">
        <w:rPr>
          <w:color w:val="222222"/>
          <w:shd w:val="clear" w:color="auto" w:fill="FFFFFF"/>
        </w:rPr>
        <w:t xml:space="preserve">Thakur, T., Gaur, B. and Singha, A.S. (2021). Bio-based epoxy/imidoamine encapsulated microcapsules and their application for high-performance self-healing coatings. </w:t>
      </w:r>
      <w:r w:rsidRPr="00BD58D2">
        <w:rPr>
          <w:i/>
          <w:iCs/>
          <w:color w:val="222222"/>
          <w:shd w:val="clear" w:color="auto" w:fill="FFFFFF"/>
        </w:rPr>
        <w:t>Progress in Organic Coatings</w:t>
      </w:r>
      <w:r w:rsidRPr="00BD58D2">
        <w:rPr>
          <w:color w:val="222222"/>
          <w:shd w:val="clear" w:color="auto" w:fill="FFFFFF"/>
        </w:rPr>
        <w:t>, </w:t>
      </w:r>
      <w:r w:rsidRPr="00BD58D2">
        <w:rPr>
          <w:i/>
          <w:iCs/>
          <w:color w:val="222222"/>
          <w:shd w:val="clear" w:color="auto" w:fill="FFFFFF"/>
        </w:rPr>
        <w:t>159</w:t>
      </w:r>
      <w:r w:rsidRPr="00BD58D2">
        <w:rPr>
          <w:color w:val="222222"/>
          <w:shd w:val="clear" w:color="auto" w:fill="FFFFFF"/>
        </w:rPr>
        <w:t xml:space="preserve">, p.106436. </w:t>
      </w:r>
      <w:hyperlink r:id="rId23" w:history="1">
        <w:r w:rsidRPr="00BD58D2">
          <w:rPr>
            <w:rStyle w:val="Hyperlink"/>
            <w:shd w:val="clear" w:color="auto" w:fill="FFFFFF"/>
          </w:rPr>
          <w:t>https://www.sciencedirect.com/science/article/pii/S0300944021003076</w:t>
        </w:r>
      </w:hyperlink>
    </w:p>
    <w:p w:rsidR="00BD58D2" w:rsidRPr="00BD58D2" w:rsidRDefault="00BE7BB5" w:rsidP="00C142BC">
      <w:pPr>
        <w:rPr>
          <w:color w:val="222222"/>
          <w:shd w:val="clear" w:color="auto" w:fill="FFFFFF"/>
        </w:rPr>
      </w:pPr>
      <w:r w:rsidRPr="00BD58D2">
        <w:rPr>
          <w:color w:val="222222"/>
          <w:shd w:val="clear" w:color="auto" w:fill="FFFFFF"/>
        </w:rPr>
        <w:lastRenderedPageBreak/>
        <w:t>Thota, S., Ghosh, S., Maruthi, R., Joshi, D.C., Medwal, R., Rawat, R.S. and Seehra, M.S., (2021). Magnetic ground state and exchange interactions in the Ising chain ferromagnet Co Nb 2 O 6. </w:t>
      </w:r>
      <w:r w:rsidRPr="00BD58D2">
        <w:rPr>
          <w:i/>
          <w:iCs/>
          <w:color w:val="222222"/>
          <w:shd w:val="clear" w:color="auto" w:fill="FFFFFF"/>
        </w:rPr>
        <w:t>Physical Review B</w:t>
      </w:r>
      <w:r w:rsidRPr="00BD58D2">
        <w:rPr>
          <w:color w:val="222222"/>
          <w:shd w:val="clear" w:color="auto" w:fill="FFFFFF"/>
        </w:rPr>
        <w:t>, </w:t>
      </w:r>
      <w:r w:rsidRPr="00BD58D2">
        <w:rPr>
          <w:i/>
          <w:iCs/>
          <w:color w:val="222222"/>
          <w:shd w:val="clear" w:color="auto" w:fill="FFFFFF"/>
        </w:rPr>
        <w:t>103</w:t>
      </w:r>
      <w:r w:rsidRPr="00BD58D2">
        <w:rPr>
          <w:color w:val="222222"/>
          <w:shd w:val="clear" w:color="auto" w:fill="FFFFFF"/>
        </w:rPr>
        <w:t xml:space="preserve">(6), p.064415. </w:t>
      </w:r>
      <w:hyperlink r:id="rId24" w:history="1">
        <w:r w:rsidRPr="00BD58D2">
          <w:rPr>
            <w:rStyle w:val="Hyperlink"/>
            <w:shd w:val="clear" w:color="auto" w:fill="FFFFFF"/>
          </w:rPr>
          <w:t>https://drive.google.com/file/d/1mA4DPf3qhWhf3vfJMU4RpkLA5xVu4INH/view</w:t>
        </w:r>
      </w:hyperlink>
    </w:p>
    <w:p w:rsidR="00BD58D2" w:rsidRPr="00BD58D2" w:rsidRDefault="00BE7BB5" w:rsidP="00C142BC">
      <w:pPr>
        <w:rPr>
          <w:color w:val="222222"/>
          <w:shd w:val="clear" w:color="auto" w:fill="FFFFFF"/>
        </w:rPr>
      </w:pPr>
      <w:r w:rsidRPr="00BD58D2">
        <w:rPr>
          <w:color w:val="222222"/>
          <w:shd w:val="clear" w:color="auto" w:fill="FFFFFF"/>
        </w:rPr>
        <w:t xml:space="preserve">Tran, H. (2020). Entering the Vietnamese textile and apparel consumer market: Case: Marimekko. </w:t>
      </w:r>
      <w:hyperlink r:id="rId25" w:history="1">
        <w:r w:rsidRPr="00BD58D2">
          <w:rPr>
            <w:rStyle w:val="Hyperlink"/>
            <w:shd w:val="clear" w:color="auto" w:fill="FFFFFF"/>
          </w:rPr>
          <w:t>https://www.theseus.fi/bitstream/handle/10024/341450/Tran_Hanh.pdf</w:t>
        </w:r>
      </w:hyperlink>
    </w:p>
    <w:p w:rsidR="00BD58D2" w:rsidRPr="00BD58D2" w:rsidRDefault="00BE7BB5" w:rsidP="00C142BC">
      <w:pPr>
        <w:rPr>
          <w:color w:val="222222"/>
          <w:shd w:val="clear" w:color="auto" w:fill="FFFFFF"/>
        </w:rPr>
      </w:pPr>
      <w:r w:rsidRPr="00BD58D2">
        <w:rPr>
          <w:color w:val="222222"/>
          <w:shd w:val="clear" w:color="auto" w:fill="FFFFFF"/>
        </w:rPr>
        <w:t xml:space="preserve">Ullah, N. (2021). An Analysis of Celcom Axiata Berhad-A Review of Strategic Plan. </w:t>
      </w:r>
      <w:hyperlink r:id="rId26" w:history="1">
        <w:r w:rsidRPr="00BD58D2">
          <w:rPr>
            <w:rStyle w:val="Hyperlink"/>
            <w:shd w:val="clear" w:color="auto" w:fill="FFFFFF"/>
          </w:rPr>
          <w:t>https://mpra.ub.uni-muenchen.de/108578/3/MPRA_paper_108578.pdf</w:t>
        </w:r>
      </w:hyperlink>
    </w:p>
    <w:p w:rsidR="00BD58D2" w:rsidRDefault="00BE7BB5" w:rsidP="00C142BC">
      <w:pPr>
        <w:rPr>
          <w:rStyle w:val="Hyperlink"/>
          <w:shd w:val="clear" w:color="auto" w:fill="FFFFFF"/>
        </w:rPr>
      </w:pPr>
      <w:r w:rsidRPr="00BD58D2">
        <w:rPr>
          <w:color w:val="222222"/>
          <w:shd w:val="clear" w:color="auto" w:fill="FFFFFF"/>
        </w:rPr>
        <w:t xml:space="preserve">Yang, R., Sliusarenko, A. and Ferraro-Doucette, E., (2020). Everlane: a 'radically transparent fashion company disrupting the industry. International expansion strategy. </w:t>
      </w:r>
      <w:hyperlink r:id="rId27" w:history="1">
        <w:r w:rsidRPr="00BD58D2">
          <w:rPr>
            <w:rStyle w:val="Hyperlink"/>
            <w:shd w:val="clear" w:color="auto" w:fill="FFFFFF"/>
          </w:rPr>
          <w:t>https://repositori.upf.edu/bitstream/handle/10230/45370/MT9%20doucette%20sliusarenko%20yang%20Thesis%20Final%20Draft.pdf?sequence=1&amp;isAllowed=y</w:t>
        </w:r>
      </w:hyperlink>
    </w:p>
    <w:sectPr w:rsidR="00BD58D2" w:rsidSect="007B5550">
      <w:footerReference w:type="default" r:id="rId28"/>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0201" w:rsidRDefault="00240201">
      <w:pPr>
        <w:spacing w:before="0" w:after="0" w:line="240" w:lineRule="auto"/>
      </w:pPr>
      <w:r>
        <w:separator/>
      </w:r>
    </w:p>
  </w:endnote>
  <w:endnote w:type="continuationSeparator" w:id="1">
    <w:p w:rsidR="00240201" w:rsidRDefault="00240201">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69602"/>
      <w:docPartObj>
        <w:docPartGallery w:val="Page Numbers (Bottom of Page)"/>
        <w:docPartUnique/>
      </w:docPartObj>
    </w:sdtPr>
    <w:sdtEndPr>
      <w:rPr>
        <w:noProof/>
      </w:rPr>
    </w:sdtEndPr>
    <w:sdtContent>
      <w:p w:rsidR="003D005D" w:rsidRDefault="007B5550" w:rsidP="003D005D">
        <w:pPr>
          <w:pStyle w:val="Footer"/>
          <w:spacing w:line="360" w:lineRule="auto"/>
          <w:jc w:val="right"/>
        </w:pPr>
        <w:r>
          <w:fldChar w:fldCharType="begin"/>
        </w:r>
        <w:r w:rsidR="00BE7BB5">
          <w:instrText xml:space="preserve"> PAGE   \* MERGEFORMAT </w:instrText>
        </w:r>
        <w:r>
          <w:fldChar w:fldCharType="separate"/>
        </w:r>
        <w:r w:rsidR="00631B1A">
          <w:rPr>
            <w:noProof/>
          </w:rPr>
          <w:t>1</w:t>
        </w:r>
        <w:r>
          <w:rPr>
            <w:noProof/>
          </w:rPr>
          <w:fldChar w:fldCharType="end"/>
        </w:r>
      </w:p>
    </w:sdtContent>
  </w:sdt>
  <w:p w:rsidR="003D005D" w:rsidRDefault="003D005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0201" w:rsidRDefault="00240201">
      <w:pPr>
        <w:spacing w:before="0" w:after="0" w:line="240" w:lineRule="auto"/>
      </w:pPr>
      <w:r>
        <w:separator/>
      </w:r>
    </w:p>
  </w:footnote>
  <w:footnote w:type="continuationSeparator" w:id="1">
    <w:p w:rsidR="00240201" w:rsidRDefault="00240201">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C4EF2"/>
    <w:multiLevelType w:val="multilevel"/>
    <w:tmpl w:val="9D704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3B66FF5"/>
    <w:multiLevelType w:val="multilevel"/>
    <w:tmpl w:val="C054C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03A162E"/>
    <w:multiLevelType w:val="multilevel"/>
    <w:tmpl w:val="4BC65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8F25228"/>
    <w:multiLevelType w:val="hybridMultilevel"/>
    <w:tmpl w:val="FFD4F900"/>
    <w:lvl w:ilvl="0" w:tplc="19D45438">
      <w:start w:val="1"/>
      <w:numFmt w:val="bullet"/>
      <w:lvlText w:val=""/>
      <w:lvlJc w:val="left"/>
      <w:pPr>
        <w:ind w:left="720" w:hanging="360"/>
      </w:pPr>
      <w:rPr>
        <w:rFonts w:ascii="Symbol" w:hAnsi="Symbol" w:hint="default"/>
      </w:rPr>
    </w:lvl>
    <w:lvl w:ilvl="1" w:tplc="4844B8AE" w:tentative="1">
      <w:start w:val="1"/>
      <w:numFmt w:val="bullet"/>
      <w:lvlText w:val="o"/>
      <w:lvlJc w:val="left"/>
      <w:pPr>
        <w:ind w:left="1440" w:hanging="360"/>
      </w:pPr>
      <w:rPr>
        <w:rFonts w:ascii="Courier New" w:hAnsi="Courier New" w:cs="Courier New" w:hint="default"/>
      </w:rPr>
    </w:lvl>
    <w:lvl w:ilvl="2" w:tplc="67BABF7E" w:tentative="1">
      <w:start w:val="1"/>
      <w:numFmt w:val="bullet"/>
      <w:lvlText w:val=""/>
      <w:lvlJc w:val="left"/>
      <w:pPr>
        <w:ind w:left="2160" w:hanging="360"/>
      </w:pPr>
      <w:rPr>
        <w:rFonts w:ascii="Wingdings" w:hAnsi="Wingdings" w:hint="default"/>
      </w:rPr>
    </w:lvl>
    <w:lvl w:ilvl="3" w:tplc="CBB8D01E" w:tentative="1">
      <w:start w:val="1"/>
      <w:numFmt w:val="bullet"/>
      <w:lvlText w:val=""/>
      <w:lvlJc w:val="left"/>
      <w:pPr>
        <w:ind w:left="2880" w:hanging="360"/>
      </w:pPr>
      <w:rPr>
        <w:rFonts w:ascii="Symbol" w:hAnsi="Symbol" w:hint="default"/>
      </w:rPr>
    </w:lvl>
    <w:lvl w:ilvl="4" w:tplc="AF9C7DC4" w:tentative="1">
      <w:start w:val="1"/>
      <w:numFmt w:val="bullet"/>
      <w:lvlText w:val="o"/>
      <w:lvlJc w:val="left"/>
      <w:pPr>
        <w:ind w:left="3600" w:hanging="360"/>
      </w:pPr>
      <w:rPr>
        <w:rFonts w:ascii="Courier New" w:hAnsi="Courier New" w:cs="Courier New" w:hint="default"/>
      </w:rPr>
    </w:lvl>
    <w:lvl w:ilvl="5" w:tplc="27D4697A" w:tentative="1">
      <w:start w:val="1"/>
      <w:numFmt w:val="bullet"/>
      <w:lvlText w:val=""/>
      <w:lvlJc w:val="left"/>
      <w:pPr>
        <w:ind w:left="4320" w:hanging="360"/>
      </w:pPr>
      <w:rPr>
        <w:rFonts w:ascii="Wingdings" w:hAnsi="Wingdings" w:hint="default"/>
      </w:rPr>
    </w:lvl>
    <w:lvl w:ilvl="6" w:tplc="EAF2F68A" w:tentative="1">
      <w:start w:val="1"/>
      <w:numFmt w:val="bullet"/>
      <w:lvlText w:val=""/>
      <w:lvlJc w:val="left"/>
      <w:pPr>
        <w:ind w:left="5040" w:hanging="360"/>
      </w:pPr>
      <w:rPr>
        <w:rFonts w:ascii="Symbol" w:hAnsi="Symbol" w:hint="default"/>
      </w:rPr>
    </w:lvl>
    <w:lvl w:ilvl="7" w:tplc="BE787D64" w:tentative="1">
      <w:start w:val="1"/>
      <w:numFmt w:val="bullet"/>
      <w:lvlText w:val="o"/>
      <w:lvlJc w:val="left"/>
      <w:pPr>
        <w:ind w:left="5760" w:hanging="360"/>
      </w:pPr>
      <w:rPr>
        <w:rFonts w:ascii="Courier New" w:hAnsi="Courier New" w:cs="Courier New" w:hint="default"/>
      </w:rPr>
    </w:lvl>
    <w:lvl w:ilvl="8" w:tplc="FCAE3AA6" w:tentative="1">
      <w:start w:val="1"/>
      <w:numFmt w:val="bullet"/>
      <w:lvlText w:val=""/>
      <w:lvlJc w:val="left"/>
      <w:pPr>
        <w:ind w:left="6480" w:hanging="360"/>
      </w:pPr>
      <w:rPr>
        <w:rFonts w:ascii="Wingdings" w:hAnsi="Wingdings" w:hint="default"/>
      </w:rPr>
    </w:lvl>
  </w:abstractNum>
  <w:abstractNum w:abstractNumId="4">
    <w:nsid w:val="403E4A4E"/>
    <w:multiLevelType w:val="multilevel"/>
    <w:tmpl w:val="9C6C5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F582349"/>
    <w:multiLevelType w:val="multilevel"/>
    <w:tmpl w:val="D7B02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719219B"/>
    <w:multiLevelType w:val="multilevel"/>
    <w:tmpl w:val="D36437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73E1D12"/>
    <w:multiLevelType w:val="multilevel"/>
    <w:tmpl w:val="FAE4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4683B70"/>
    <w:multiLevelType w:val="hybridMultilevel"/>
    <w:tmpl w:val="F96070B4"/>
    <w:lvl w:ilvl="0" w:tplc="06EC0E22">
      <w:start w:val="1"/>
      <w:numFmt w:val="bullet"/>
      <w:lvlText w:val=""/>
      <w:lvlJc w:val="left"/>
      <w:pPr>
        <w:ind w:left="720" w:hanging="360"/>
      </w:pPr>
      <w:rPr>
        <w:rFonts w:ascii="Symbol" w:hAnsi="Symbol" w:hint="default"/>
      </w:rPr>
    </w:lvl>
    <w:lvl w:ilvl="1" w:tplc="8C3C4196" w:tentative="1">
      <w:start w:val="1"/>
      <w:numFmt w:val="bullet"/>
      <w:lvlText w:val="o"/>
      <w:lvlJc w:val="left"/>
      <w:pPr>
        <w:ind w:left="1440" w:hanging="360"/>
      </w:pPr>
      <w:rPr>
        <w:rFonts w:ascii="Courier New" w:hAnsi="Courier New" w:cs="Courier New" w:hint="default"/>
      </w:rPr>
    </w:lvl>
    <w:lvl w:ilvl="2" w:tplc="6898E5F0" w:tentative="1">
      <w:start w:val="1"/>
      <w:numFmt w:val="bullet"/>
      <w:lvlText w:val=""/>
      <w:lvlJc w:val="left"/>
      <w:pPr>
        <w:ind w:left="2160" w:hanging="360"/>
      </w:pPr>
      <w:rPr>
        <w:rFonts w:ascii="Wingdings" w:hAnsi="Wingdings" w:hint="default"/>
      </w:rPr>
    </w:lvl>
    <w:lvl w:ilvl="3" w:tplc="BB703980" w:tentative="1">
      <w:start w:val="1"/>
      <w:numFmt w:val="bullet"/>
      <w:lvlText w:val=""/>
      <w:lvlJc w:val="left"/>
      <w:pPr>
        <w:ind w:left="2880" w:hanging="360"/>
      </w:pPr>
      <w:rPr>
        <w:rFonts w:ascii="Symbol" w:hAnsi="Symbol" w:hint="default"/>
      </w:rPr>
    </w:lvl>
    <w:lvl w:ilvl="4" w:tplc="65C841D6" w:tentative="1">
      <w:start w:val="1"/>
      <w:numFmt w:val="bullet"/>
      <w:lvlText w:val="o"/>
      <w:lvlJc w:val="left"/>
      <w:pPr>
        <w:ind w:left="3600" w:hanging="360"/>
      </w:pPr>
      <w:rPr>
        <w:rFonts w:ascii="Courier New" w:hAnsi="Courier New" w:cs="Courier New" w:hint="default"/>
      </w:rPr>
    </w:lvl>
    <w:lvl w:ilvl="5" w:tplc="2624A29E" w:tentative="1">
      <w:start w:val="1"/>
      <w:numFmt w:val="bullet"/>
      <w:lvlText w:val=""/>
      <w:lvlJc w:val="left"/>
      <w:pPr>
        <w:ind w:left="4320" w:hanging="360"/>
      </w:pPr>
      <w:rPr>
        <w:rFonts w:ascii="Wingdings" w:hAnsi="Wingdings" w:hint="default"/>
      </w:rPr>
    </w:lvl>
    <w:lvl w:ilvl="6" w:tplc="FCEEC630" w:tentative="1">
      <w:start w:val="1"/>
      <w:numFmt w:val="bullet"/>
      <w:lvlText w:val=""/>
      <w:lvlJc w:val="left"/>
      <w:pPr>
        <w:ind w:left="5040" w:hanging="360"/>
      </w:pPr>
      <w:rPr>
        <w:rFonts w:ascii="Symbol" w:hAnsi="Symbol" w:hint="default"/>
      </w:rPr>
    </w:lvl>
    <w:lvl w:ilvl="7" w:tplc="BE4E3092" w:tentative="1">
      <w:start w:val="1"/>
      <w:numFmt w:val="bullet"/>
      <w:lvlText w:val="o"/>
      <w:lvlJc w:val="left"/>
      <w:pPr>
        <w:ind w:left="5760" w:hanging="360"/>
      </w:pPr>
      <w:rPr>
        <w:rFonts w:ascii="Courier New" w:hAnsi="Courier New" w:cs="Courier New" w:hint="default"/>
      </w:rPr>
    </w:lvl>
    <w:lvl w:ilvl="8" w:tplc="99027268" w:tentative="1">
      <w:start w:val="1"/>
      <w:numFmt w:val="bullet"/>
      <w:lvlText w:val=""/>
      <w:lvlJc w:val="left"/>
      <w:pPr>
        <w:ind w:left="6480" w:hanging="360"/>
      </w:pPr>
      <w:rPr>
        <w:rFonts w:ascii="Wingdings" w:hAnsi="Wingdings" w:hint="default"/>
      </w:rPr>
    </w:lvl>
  </w:abstractNum>
  <w:abstractNum w:abstractNumId="9">
    <w:nsid w:val="714F35EE"/>
    <w:multiLevelType w:val="hybridMultilevel"/>
    <w:tmpl w:val="4C7CA2A6"/>
    <w:lvl w:ilvl="0" w:tplc="CDFCBEC4">
      <w:start w:val="1"/>
      <w:numFmt w:val="bullet"/>
      <w:lvlText w:val=""/>
      <w:lvlJc w:val="left"/>
      <w:pPr>
        <w:ind w:left="720" w:hanging="360"/>
      </w:pPr>
      <w:rPr>
        <w:rFonts w:ascii="Symbol" w:hAnsi="Symbol" w:hint="default"/>
      </w:rPr>
    </w:lvl>
    <w:lvl w:ilvl="1" w:tplc="E76475F2" w:tentative="1">
      <w:start w:val="1"/>
      <w:numFmt w:val="bullet"/>
      <w:lvlText w:val="o"/>
      <w:lvlJc w:val="left"/>
      <w:pPr>
        <w:ind w:left="1440" w:hanging="360"/>
      </w:pPr>
      <w:rPr>
        <w:rFonts w:ascii="Courier New" w:hAnsi="Courier New" w:cs="Courier New" w:hint="default"/>
      </w:rPr>
    </w:lvl>
    <w:lvl w:ilvl="2" w:tplc="404E6BA6" w:tentative="1">
      <w:start w:val="1"/>
      <w:numFmt w:val="bullet"/>
      <w:lvlText w:val=""/>
      <w:lvlJc w:val="left"/>
      <w:pPr>
        <w:ind w:left="2160" w:hanging="360"/>
      </w:pPr>
      <w:rPr>
        <w:rFonts w:ascii="Wingdings" w:hAnsi="Wingdings" w:hint="default"/>
      </w:rPr>
    </w:lvl>
    <w:lvl w:ilvl="3" w:tplc="2B5E32B4" w:tentative="1">
      <w:start w:val="1"/>
      <w:numFmt w:val="bullet"/>
      <w:lvlText w:val=""/>
      <w:lvlJc w:val="left"/>
      <w:pPr>
        <w:ind w:left="2880" w:hanging="360"/>
      </w:pPr>
      <w:rPr>
        <w:rFonts w:ascii="Symbol" w:hAnsi="Symbol" w:hint="default"/>
      </w:rPr>
    </w:lvl>
    <w:lvl w:ilvl="4" w:tplc="974E1936" w:tentative="1">
      <w:start w:val="1"/>
      <w:numFmt w:val="bullet"/>
      <w:lvlText w:val="o"/>
      <w:lvlJc w:val="left"/>
      <w:pPr>
        <w:ind w:left="3600" w:hanging="360"/>
      </w:pPr>
      <w:rPr>
        <w:rFonts w:ascii="Courier New" w:hAnsi="Courier New" w:cs="Courier New" w:hint="default"/>
      </w:rPr>
    </w:lvl>
    <w:lvl w:ilvl="5" w:tplc="8DF09C9E" w:tentative="1">
      <w:start w:val="1"/>
      <w:numFmt w:val="bullet"/>
      <w:lvlText w:val=""/>
      <w:lvlJc w:val="left"/>
      <w:pPr>
        <w:ind w:left="4320" w:hanging="360"/>
      </w:pPr>
      <w:rPr>
        <w:rFonts w:ascii="Wingdings" w:hAnsi="Wingdings" w:hint="default"/>
      </w:rPr>
    </w:lvl>
    <w:lvl w:ilvl="6" w:tplc="D7300CEA" w:tentative="1">
      <w:start w:val="1"/>
      <w:numFmt w:val="bullet"/>
      <w:lvlText w:val=""/>
      <w:lvlJc w:val="left"/>
      <w:pPr>
        <w:ind w:left="5040" w:hanging="360"/>
      </w:pPr>
      <w:rPr>
        <w:rFonts w:ascii="Symbol" w:hAnsi="Symbol" w:hint="default"/>
      </w:rPr>
    </w:lvl>
    <w:lvl w:ilvl="7" w:tplc="B7969ABA" w:tentative="1">
      <w:start w:val="1"/>
      <w:numFmt w:val="bullet"/>
      <w:lvlText w:val="o"/>
      <w:lvlJc w:val="left"/>
      <w:pPr>
        <w:ind w:left="5760" w:hanging="360"/>
      </w:pPr>
      <w:rPr>
        <w:rFonts w:ascii="Courier New" w:hAnsi="Courier New" w:cs="Courier New" w:hint="default"/>
      </w:rPr>
    </w:lvl>
    <w:lvl w:ilvl="8" w:tplc="69CC2686" w:tentative="1">
      <w:start w:val="1"/>
      <w:numFmt w:val="bullet"/>
      <w:lvlText w:val=""/>
      <w:lvlJc w:val="left"/>
      <w:pPr>
        <w:ind w:left="6480" w:hanging="360"/>
      </w:pPr>
      <w:rPr>
        <w:rFonts w:ascii="Wingdings" w:hAnsi="Wingdings" w:hint="default"/>
      </w:rPr>
    </w:lvl>
  </w:abstractNum>
  <w:abstractNum w:abstractNumId="10">
    <w:nsid w:val="791D2C5F"/>
    <w:multiLevelType w:val="multilevel"/>
    <w:tmpl w:val="C3DC4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B1E03CB"/>
    <w:multiLevelType w:val="multilevel"/>
    <w:tmpl w:val="5F408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0"/>
  </w:num>
  <w:num w:numId="4">
    <w:abstractNumId w:val="7"/>
  </w:num>
  <w:num w:numId="5">
    <w:abstractNumId w:val="10"/>
  </w:num>
  <w:num w:numId="6">
    <w:abstractNumId w:val="11"/>
  </w:num>
  <w:num w:numId="7">
    <w:abstractNumId w:val="5"/>
  </w:num>
  <w:num w:numId="8">
    <w:abstractNumId w:val="6"/>
  </w:num>
  <w:num w:numId="9">
    <w:abstractNumId w:val="2"/>
  </w:num>
  <w:num w:numId="10">
    <w:abstractNumId w:val="9"/>
  </w:num>
  <w:num w:numId="11">
    <w:abstractNumId w:val="8"/>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sjAwMDE1M7A0MjU0NDdV0lEKTi0uzszPAykwrAUAfH6PRywAAAA="/>
  </w:docVars>
  <w:rsids>
    <w:rsidRoot w:val="00716051"/>
    <w:rsid w:val="001D111C"/>
    <w:rsid w:val="00240201"/>
    <w:rsid w:val="00267633"/>
    <w:rsid w:val="003D005D"/>
    <w:rsid w:val="00482945"/>
    <w:rsid w:val="00592172"/>
    <w:rsid w:val="00631B1A"/>
    <w:rsid w:val="00716051"/>
    <w:rsid w:val="007B5550"/>
    <w:rsid w:val="008D330B"/>
    <w:rsid w:val="00BD58D2"/>
    <w:rsid w:val="00BE7BB5"/>
    <w:rsid w:val="00C142BC"/>
    <w:rsid w:val="00C5755D"/>
    <w:rsid w:val="00C872A3"/>
    <w:rsid w:val="00CF7B9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D58D2"/>
    <w:pPr>
      <w:spacing w:before="240" w:after="240" w:line="360" w:lineRule="auto"/>
      <w:jc w:val="both"/>
    </w:pPr>
    <w:rPr>
      <w:color w:val="000000" w:themeColor="text1"/>
    </w:rPr>
  </w:style>
  <w:style w:type="paragraph" w:styleId="Heading1">
    <w:name w:val="heading 1"/>
    <w:basedOn w:val="Normal"/>
    <w:next w:val="Normal"/>
    <w:autoRedefine/>
    <w:rsid w:val="003D005D"/>
    <w:pPr>
      <w:keepNext/>
      <w:keepLines/>
      <w:spacing w:before="400" w:after="120"/>
      <w:outlineLvl w:val="0"/>
    </w:pPr>
    <w:rPr>
      <w:b/>
      <w:sz w:val="28"/>
      <w:szCs w:val="40"/>
    </w:rPr>
  </w:style>
  <w:style w:type="paragraph" w:styleId="Heading2">
    <w:name w:val="heading 2"/>
    <w:basedOn w:val="Normal"/>
    <w:next w:val="Normal"/>
    <w:rsid w:val="007B5550"/>
    <w:pPr>
      <w:keepNext/>
      <w:keepLines/>
      <w:spacing w:before="360" w:after="120"/>
      <w:outlineLvl w:val="1"/>
    </w:pPr>
    <w:rPr>
      <w:sz w:val="32"/>
      <w:szCs w:val="32"/>
    </w:rPr>
  </w:style>
  <w:style w:type="paragraph" w:styleId="Heading3">
    <w:name w:val="heading 3"/>
    <w:basedOn w:val="Normal"/>
    <w:next w:val="Normal"/>
    <w:rsid w:val="007B5550"/>
    <w:pPr>
      <w:keepNext/>
      <w:keepLines/>
      <w:spacing w:before="320" w:after="80"/>
      <w:outlineLvl w:val="2"/>
    </w:pPr>
    <w:rPr>
      <w:color w:val="434343"/>
      <w:sz w:val="28"/>
      <w:szCs w:val="28"/>
    </w:rPr>
  </w:style>
  <w:style w:type="paragraph" w:styleId="Heading4">
    <w:name w:val="heading 4"/>
    <w:basedOn w:val="Normal"/>
    <w:next w:val="Normal"/>
    <w:rsid w:val="007B5550"/>
    <w:pPr>
      <w:keepNext/>
      <w:keepLines/>
      <w:spacing w:before="280" w:after="80"/>
      <w:outlineLvl w:val="3"/>
    </w:pPr>
    <w:rPr>
      <w:color w:val="666666"/>
      <w:sz w:val="24"/>
      <w:szCs w:val="24"/>
    </w:rPr>
  </w:style>
  <w:style w:type="paragraph" w:styleId="Heading5">
    <w:name w:val="heading 5"/>
    <w:basedOn w:val="Normal"/>
    <w:next w:val="Normal"/>
    <w:rsid w:val="007B5550"/>
    <w:pPr>
      <w:keepNext/>
      <w:keepLines/>
      <w:spacing w:after="80"/>
      <w:outlineLvl w:val="4"/>
    </w:pPr>
    <w:rPr>
      <w:color w:val="666666"/>
    </w:rPr>
  </w:style>
  <w:style w:type="paragraph" w:styleId="Heading6">
    <w:name w:val="heading 6"/>
    <w:basedOn w:val="Normal"/>
    <w:next w:val="Normal"/>
    <w:rsid w:val="007B5550"/>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B5550"/>
    <w:pPr>
      <w:keepNext/>
      <w:keepLines/>
      <w:spacing w:after="60"/>
    </w:pPr>
    <w:rPr>
      <w:sz w:val="52"/>
      <w:szCs w:val="52"/>
    </w:rPr>
  </w:style>
  <w:style w:type="paragraph" w:styleId="Subtitle">
    <w:name w:val="Subtitle"/>
    <w:basedOn w:val="Normal"/>
    <w:next w:val="Normal"/>
    <w:rsid w:val="007B5550"/>
    <w:pPr>
      <w:keepNext/>
      <w:keepLines/>
      <w:spacing w:after="320"/>
    </w:pPr>
    <w:rPr>
      <w:color w:val="666666"/>
      <w:sz w:val="30"/>
      <w:szCs w:val="30"/>
    </w:rPr>
  </w:style>
  <w:style w:type="paragraph" w:styleId="Header">
    <w:name w:val="header"/>
    <w:basedOn w:val="Normal"/>
    <w:link w:val="HeaderChar"/>
    <w:uiPriority w:val="99"/>
    <w:unhideWhenUsed/>
    <w:rsid w:val="003D005D"/>
    <w:pPr>
      <w:tabs>
        <w:tab w:val="center" w:pos="4513"/>
        <w:tab w:val="right" w:pos="9026"/>
      </w:tabs>
      <w:spacing w:line="240" w:lineRule="auto"/>
    </w:pPr>
  </w:style>
  <w:style w:type="character" w:customStyle="1" w:styleId="HeaderChar">
    <w:name w:val="Header Char"/>
    <w:basedOn w:val="DefaultParagraphFont"/>
    <w:link w:val="Header"/>
    <w:uiPriority w:val="99"/>
    <w:rsid w:val="003D005D"/>
  </w:style>
  <w:style w:type="paragraph" w:styleId="Footer">
    <w:name w:val="footer"/>
    <w:basedOn w:val="Normal"/>
    <w:link w:val="FooterChar"/>
    <w:uiPriority w:val="99"/>
    <w:unhideWhenUsed/>
    <w:rsid w:val="003D005D"/>
    <w:pPr>
      <w:tabs>
        <w:tab w:val="center" w:pos="4513"/>
        <w:tab w:val="right" w:pos="9026"/>
      </w:tabs>
      <w:spacing w:line="240" w:lineRule="auto"/>
    </w:pPr>
  </w:style>
  <w:style w:type="character" w:customStyle="1" w:styleId="FooterChar">
    <w:name w:val="Footer Char"/>
    <w:basedOn w:val="DefaultParagraphFont"/>
    <w:link w:val="Footer"/>
    <w:uiPriority w:val="99"/>
    <w:rsid w:val="003D005D"/>
  </w:style>
  <w:style w:type="paragraph" w:styleId="TOCHeading">
    <w:name w:val="TOC Heading"/>
    <w:basedOn w:val="Heading1"/>
    <w:next w:val="Normal"/>
    <w:uiPriority w:val="39"/>
    <w:unhideWhenUsed/>
    <w:qFormat/>
    <w:rsid w:val="003D005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D005D"/>
    <w:pPr>
      <w:spacing w:after="100"/>
    </w:pPr>
  </w:style>
  <w:style w:type="character" w:styleId="Hyperlink">
    <w:name w:val="Hyperlink"/>
    <w:basedOn w:val="DefaultParagraphFont"/>
    <w:uiPriority w:val="99"/>
    <w:unhideWhenUsed/>
    <w:rsid w:val="003D005D"/>
    <w:rPr>
      <w:color w:val="0000FF" w:themeColor="hyperlink"/>
      <w:u w:val="single"/>
    </w:rPr>
  </w:style>
  <w:style w:type="paragraph" w:styleId="NormalWeb">
    <w:name w:val="Normal (Web)"/>
    <w:basedOn w:val="Normal"/>
    <w:uiPriority w:val="99"/>
    <w:semiHidden/>
    <w:unhideWhenUsed/>
    <w:rsid w:val="00C142B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82945"/>
    <w:pPr>
      <w:ind w:left="720"/>
      <w:contextualSpacing/>
    </w:pPr>
  </w:style>
  <w:style w:type="paragraph" w:styleId="NoSpacing">
    <w:name w:val="No Spacing"/>
    <w:uiPriority w:val="1"/>
    <w:qFormat/>
    <w:rsid w:val="00482945"/>
    <w:pPr>
      <w:spacing w:line="240" w:lineRule="auto"/>
    </w:pPr>
  </w:style>
  <w:style w:type="paragraph" w:styleId="BalloonText">
    <w:name w:val="Balloon Text"/>
    <w:basedOn w:val="Normal"/>
    <w:link w:val="BalloonTextChar"/>
    <w:uiPriority w:val="99"/>
    <w:semiHidden/>
    <w:unhideWhenUsed/>
    <w:rsid w:val="00631B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1B1A"/>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Shradha-Gawankar/publication/336091611_A_study_on_investments_in_the_big_data-driven_supply_chain_performance_measures_and_organisational_performance_in_Indian_retail_40_context/links/5d8f901a92851c33e94628ad/A-study-on-investments-in-the-big-data-driven-supply-chain-performance-measures-and-organisational-performance-in-Indian-retail-40-context.pdf" TargetMode="External"/><Relationship Id="rId18" Type="http://schemas.openxmlformats.org/officeDocument/2006/relationships/hyperlink" Target="https://www.timreview.ca/article/1366" TargetMode="External"/><Relationship Id="rId26" Type="http://schemas.openxmlformats.org/officeDocument/2006/relationships/hyperlink" Target="https://mpra.ub.uni-muenchen.de/108578/3/MPRA_paper_108578.pdf" TargetMode="External"/><Relationship Id="rId3" Type="http://schemas.openxmlformats.org/officeDocument/2006/relationships/styles" Target="styles.xml"/><Relationship Id="rId21" Type="http://schemas.openxmlformats.org/officeDocument/2006/relationships/hyperlink" Target="https://books.google.com/books?hl=en&amp;lr=&amp;id=oB5HEAAAQBAJ&amp;oi=fnd&amp;pg=PR5&amp;dq=pestle+analysis+of+H%26M+in+india&amp;ots=7gkbZUZV-J&amp;sig=xBRG4T9BwCH4qJWv6fLBIVC3G40" TargetMode="External"/><Relationship Id="rId7" Type="http://schemas.openxmlformats.org/officeDocument/2006/relationships/endnotes" Target="endnotes.xml"/><Relationship Id="rId12" Type="http://schemas.openxmlformats.org/officeDocument/2006/relationships/hyperlink" Target="https://www.mdpi.com/2071-1050/14/10/5851/pdf" TargetMode="External"/><Relationship Id="rId17" Type="http://schemas.openxmlformats.org/officeDocument/2006/relationships/hyperlink" Target="https://123project.ir/wp-content/uploads/2020/12/Relationships-between-Hofstedes-cultural-dimensions-and-tourist-satisfaction-A-cross-country-cross-sample-examination.pdf" TargetMode="External"/><Relationship Id="rId25" Type="http://schemas.openxmlformats.org/officeDocument/2006/relationships/hyperlink" Target="https://www.theseus.fi/bitstream/handle/10024/341450/Tran_Hanh.pdf" TargetMode="External"/><Relationship Id="rId2" Type="http://schemas.openxmlformats.org/officeDocument/2006/relationships/numbering" Target="numbering.xml"/><Relationship Id="rId16" Type="http://schemas.openxmlformats.org/officeDocument/2006/relationships/hyperlink" Target="https://www.researchgate.net/profile/Ganesha-H-R/publication/342672763_Organizing_the_Unorganized_Lifestyle_Retailers_in_India_An_Integrated_Framework/links/5f478525299bf13c503d626a/Organizing-the-Unorganized-Lifestyle-Retailers-in-India-An-Integrated-Framework.pdf" TargetMode="External"/><Relationship Id="rId20" Type="http://schemas.openxmlformats.org/officeDocument/2006/relationships/hyperlink" Target="https://opus.lib.uts.edu.au/bitstream/10453/140420/2/Binder1.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jcontent.uj.ac.za/esploro/fulltext/journalArticle/Barriers-to-adoption-of-blockchain-technology/9911652607691?repId=124777160007691&amp;mId=135468760007691&amp;institution=27UOJ_INST" TargetMode="External"/><Relationship Id="rId24" Type="http://schemas.openxmlformats.org/officeDocument/2006/relationships/hyperlink" Target="https://drive.google.com/file/d/1mA4DPf3qhWhf3vfJMU4RpkLA5xVu4INH/view" TargetMode="External"/><Relationship Id="rId5" Type="http://schemas.openxmlformats.org/officeDocument/2006/relationships/webSettings" Target="webSettings.xml"/><Relationship Id="rId15" Type="http://schemas.openxmlformats.org/officeDocument/2006/relationships/hyperlink" Target="https://iopscience.iop.org/article/10.1088/1742-6596/1362/1/012121/pdf" TargetMode="External"/><Relationship Id="rId23" Type="http://schemas.openxmlformats.org/officeDocument/2006/relationships/hyperlink" Target="https://www.sciencedirect.com/science/article/pii/S0300944021003076" TargetMode="External"/><Relationship Id="rId28" Type="http://schemas.openxmlformats.org/officeDocument/2006/relationships/footer" Target="footer1.xml"/><Relationship Id="rId10" Type="http://schemas.openxmlformats.org/officeDocument/2006/relationships/hyperlink" Target="https://www.mdpi.com/2071-1050/12/6/2300/pdf" TargetMode="External"/><Relationship Id="rId19" Type="http://schemas.openxmlformats.org/officeDocument/2006/relationships/hyperlink" Target="https://www.cibgp.com/article_10898_98b20a1dbfbdb8f7084003b4a035911d.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ontiersin.org/articles/10.3389/fpsyg.2021.662604/full" TargetMode="External"/><Relationship Id="rId22" Type="http://schemas.openxmlformats.org/officeDocument/2006/relationships/hyperlink" Target="https://onlinelibrary.wiley.com/doi/abs/10.1002/9781119620532.ch12" TargetMode="External"/><Relationship Id="rId27" Type="http://schemas.openxmlformats.org/officeDocument/2006/relationships/hyperlink" Target="https://repositori.upf.edu/bitstream/handle/10230/45370/MT9%20doucette%20sliusarenko%20yang%20Thesis%20Final%20Draft.pdf?sequence=1&amp;isAllowed=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AC5D7-DE02-4ADC-A9C5-E989C03D9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3668</Words>
  <Characters>20910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AKANTA</dc:creator>
  <cp:lastModifiedBy>admin 2</cp:lastModifiedBy>
  <cp:revision>2</cp:revision>
  <dcterms:created xsi:type="dcterms:W3CDTF">2023-05-08T15:51:00Z</dcterms:created>
  <dcterms:modified xsi:type="dcterms:W3CDTF">2023-05-08T15:51:00Z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a801f3c51dece0ab4e0b8abdb980a9727765dd5a0bf2adf163891b6477520603</vt:lpwstr>
  </property>
</Properties>
</file>