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FA2" w:rsidRDefault="009876D4" w:rsidP="00517AE1">
      <w:pPr>
        <w:rPr>
          <w:rFonts w:ascii="Arial" w:hAnsi="Arial" w:cs="Arial"/>
          <w:b/>
          <w:color w:val="1F4E79" w:themeColor="accent1" w:themeShade="80"/>
          <w:sz w:val="24"/>
          <w:szCs w:val="24"/>
          <w:u w:val="single"/>
        </w:rPr>
      </w:pPr>
      <w:r>
        <w:rPr>
          <w:rFonts w:ascii="Arial" w:hAnsi="Arial" w:cs="Arial"/>
          <w:b/>
          <w:color w:val="1F4E79" w:themeColor="accent1" w:themeShade="80"/>
          <w:sz w:val="24"/>
          <w:szCs w:val="24"/>
          <w:u w:val="single"/>
        </w:rPr>
        <w:t>Task 2</w:t>
      </w:r>
      <w:r w:rsidR="00940FA2">
        <w:rPr>
          <w:rFonts w:ascii="Arial" w:hAnsi="Arial" w:cs="Arial"/>
          <w:b/>
          <w:color w:val="1F4E79" w:themeColor="accent1" w:themeShade="80"/>
          <w:sz w:val="24"/>
          <w:szCs w:val="24"/>
          <w:u w:val="single"/>
        </w:rPr>
        <w:t xml:space="preserve"> – Discussion with line manager and review of performance appraisal process.</w:t>
      </w:r>
    </w:p>
    <w:p w:rsidR="00517AE1" w:rsidRPr="00940FA2" w:rsidRDefault="00517AE1" w:rsidP="00517AE1">
      <w:pPr>
        <w:rPr>
          <w:rFonts w:ascii="Arial" w:hAnsi="Arial" w:cs="Arial"/>
          <w:b/>
          <w:color w:val="1F4E79" w:themeColor="accent1" w:themeShade="80"/>
          <w:sz w:val="24"/>
          <w:szCs w:val="24"/>
          <w:u w:val="single"/>
        </w:rPr>
      </w:pPr>
      <w:r w:rsidRPr="00940FA2">
        <w:rPr>
          <w:rFonts w:ascii="Arial" w:hAnsi="Arial" w:cs="Arial"/>
          <w:b/>
          <w:color w:val="1F4E79" w:themeColor="accent1" w:themeShade="80"/>
          <w:sz w:val="24"/>
          <w:szCs w:val="24"/>
          <w:u w:val="single"/>
        </w:rPr>
        <w:t>Background &amp; context</w:t>
      </w: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The current Performance Appraisal process has been in place since 2014 and as part of our Transformation objective to create an efficient, cost effective and modern Council, it is essential to review and update our Performance Appraisal process.</w:t>
      </w: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The new process would align to the new Service Plan priorities, our behaviour standard that reflects the preferred culture of Purpose, Learning and Results and also supports the move towards Smarter working along with the desire to be a more digitally competent organisation. </w:t>
      </w:r>
    </w:p>
    <w:p w:rsidR="00517AE1" w:rsidRPr="00940FA2" w:rsidRDefault="00517AE1" w:rsidP="00517AE1">
      <w:pPr>
        <w:rPr>
          <w:rFonts w:ascii="Arial" w:hAnsi="Arial" w:cs="Arial"/>
          <w:b/>
          <w:color w:val="1F4E79" w:themeColor="accent1" w:themeShade="80"/>
          <w:sz w:val="24"/>
          <w:szCs w:val="24"/>
          <w:u w:val="single"/>
        </w:rPr>
      </w:pPr>
      <w:r w:rsidRPr="00940FA2">
        <w:rPr>
          <w:rFonts w:ascii="Arial" w:hAnsi="Arial" w:cs="Arial"/>
          <w:b/>
          <w:color w:val="1F4E79" w:themeColor="accent1" w:themeShade="80"/>
          <w:sz w:val="24"/>
          <w:szCs w:val="24"/>
          <w:u w:val="single"/>
        </w:rPr>
        <w:t>Current status</w:t>
      </w: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Performance appraisals are currently paper based and completed on an annual basis with a mandatory interim half yearly review. Set objectives are included that align to the authorities’ Corporate and </w:t>
      </w:r>
      <w:r w:rsidR="009C6F56" w:rsidRPr="00940FA2">
        <w:rPr>
          <w:rFonts w:ascii="Arial" w:hAnsi="Arial" w:cs="Arial"/>
          <w:color w:val="1F4E79" w:themeColor="accent1" w:themeShade="80"/>
          <w:sz w:val="24"/>
          <w:szCs w:val="24"/>
        </w:rPr>
        <w:t>Service Plan priorities</w:t>
      </w:r>
      <w:r w:rsidRPr="00940FA2">
        <w:rPr>
          <w:rFonts w:ascii="Arial" w:hAnsi="Arial" w:cs="Arial"/>
          <w:color w:val="1F4E79" w:themeColor="accent1" w:themeShade="80"/>
          <w:sz w:val="24"/>
          <w:szCs w:val="24"/>
        </w:rPr>
        <w:t>.</w:t>
      </w: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There are some employee exclusions, including those on casual contracts and new starters. Group appraisals are also an option within some teams where roles and objectives are consistent e.g. Customer Service Centre staff.</w:t>
      </w: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However, reported completion statistics for Performance Appraisals shown below, highlights that there has been a potential reduction in completions since 2015</w:t>
      </w:r>
      <w:r w:rsidR="009C6F56" w:rsidRPr="00940FA2">
        <w:rPr>
          <w:rFonts w:ascii="Arial" w:hAnsi="Arial" w:cs="Arial"/>
          <w:color w:val="1F4E79" w:themeColor="accent1" w:themeShade="80"/>
          <w:sz w:val="24"/>
          <w:szCs w:val="24"/>
        </w:rPr>
        <w:t>.</w:t>
      </w:r>
    </w:p>
    <w:tbl>
      <w:tblPr>
        <w:tblStyle w:val="TableGrid"/>
        <w:tblW w:w="0" w:type="auto"/>
        <w:tblLook w:val="04A0" w:firstRow="1" w:lastRow="0" w:firstColumn="1" w:lastColumn="0" w:noHBand="0" w:noVBand="1"/>
      </w:tblPr>
      <w:tblGrid>
        <w:gridCol w:w="2296"/>
        <w:gridCol w:w="2129"/>
        <w:gridCol w:w="2295"/>
        <w:gridCol w:w="2296"/>
      </w:tblGrid>
      <w:tr w:rsidR="00940FA2" w:rsidRPr="00940FA2" w:rsidTr="007D74F7">
        <w:tc>
          <w:tcPr>
            <w:tcW w:w="2296" w:type="dxa"/>
            <w:shd w:val="clear" w:color="auto" w:fill="DEEAF6" w:themeFill="accent1" w:themeFillTint="33"/>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2015</w:t>
            </w:r>
          </w:p>
        </w:tc>
        <w:tc>
          <w:tcPr>
            <w:tcW w:w="2129" w:type="dxa"/>
            <w:shd w:val="clear" w:color="auto" w:fill="DEEAF6" w:themeFill="accent1" w:themeFillTint="33"/>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2016</w:t>
            </w:r>
          </w:p>
        </w:tc>
        <w:tc>
          <w:tcPr>
            <w:tcW w:w="2295" w:type="dxa"/>
            <w:shd w:val="clear" w:color="auto" w:fill="DEEAF6" w:themeFill="accent1" w:themeFillTint="33"/>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2017</w:t>
            </w:r>
          </w:p>
        </w:tc>
        <w:tc>
          <w:tcPr>
            <w:tcW w:w="2296" w:type="dxa"/>
            <w:shd w:val="clear" w:color="auto" w:fill="DEEAF6" w:themeFill="accent1" w:themeFillTint="33"/>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2018</w:t>
            </w:r>
          </w:p>
        </w:tc>
      </w:tr>
      <w:tr w:rsidR="00940FA2" w:rsidRPr="00940FA2" w:rsidTr="007D74F7">
        <w:tc>
          <w:tcPr>
            <w:tcW w:w="2296" w:type="dxa"/>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72%</w:t>
            </w:r>
          </w:p>
        </w:tc>
        <w:tc>
          <w:tcPr>
            <w:tcW w:w="2129" w:type="dxa"/>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74%</w:t>
            </w:r>
          </w:p>
        </w:tc>
        <w:tc>
          <w:tcPr>
            <w:tcW w:w="2295" w:type="dxa"/>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30%</w:t>
            </w:r>
          </w:p>
        </w:tc>
        <w:tc>
          <w:tcPr>
            <w:tcW w:w="2296" w:type="dxa"/>
          </w:tcPr>
          <w:p w:rsidR="00517AE1" w:rsidRPr="00940FA2" w:rsidRDefault="00517AE1" w:rsidP="007D74F7">
            <w:pPr>
              <w:jc w:val="cente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13%</w:t>
            </w:r>
          </w:p>
        </w:tc>
      </w:tr>
    </w:tbl>
    <w:p w:rsidR="00EA1265" w:rsidRPr="00940FA2" w:rsidRDefault="00EA1265">
      <w:pPr>
        <w:rPr>
          <w:color w:val="1F4E79" w:themeColor="accent1" w:themeShade="80"/>
        </w:rPr>
      </w:pPr>
    </w:p>
    <w:p w:rsidR="00517AE1" w:rsidRPr="00940FA2" w:rsidRDefault="00517AE1">
      <w:pPr>
        <w:rPr>
          <w:rFonts w:ascii="Arial" w:hAnsi="Arial" w:cs="Arial"/>
          <w:b/>
          <w:color w:val="1F4E79" w:themeColor="accent1" w:themeShade="80"/>
          <w:sz w:val="24"/>
          <w:szCs w:val="24"/>
          <w:u w:val="single"/>
        </w:rPr>
      </w:pPr>
      <w:r w:rsidRPr="00940FA2">
        <w:rPr>
          <w:rFonts w:ascii="Arial" w:hAnsi="Arial" w:cs="Arial"/>
          <w:b/>
          <w:color w:val="1F4E79" w:themeColor="accent1" w:themeShade="80"/>
          <w:sz w:val="24"/>
          <w:szCs w:val="24"/>
          <w:u w:val="single"/>
        </w:rPr>
        <w:t>Review of current process</w:t>
      </w: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The purpose of a Performance Appraisal is to achieve and maintain productivity. A good appraisal process will ensure that individual job objectives are linked to organisational goals, provide valuable feedback and consider employee development. An employee will understand how well they are performing and an effective appraisal can motivate an employee and help them to feel valued, particularly in challenging times. </w:t>
      </w:r>
    </w:p>
    <w:p w:rsidR="00517AE1" w:rsidRPr="00940FA2" w:rsidRDefault="00517AE1" w:rsidP="00517AE1">
      <w:pPr>
        <w:pStyle w:val="ListParagraph"/>
        <w:numPr>
          <w:ilvl w:val="0"/>
          <w:numId w:val="1"/>
        </w:num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Research undertaken by The Chartered Institute of Professional Development (CIPD) reveals that the annual appraisal is being replaced with regular themed performance conversations, proving to be more focused and engaging with day to day challenges.</w:t>
      </w:r>
    </w:p>
    <w:p w:rsidR="009C6F56" w:rsidRPr="00940FA2" w:rsidRDefault="009C6F56" w:rsidP="009C6F56">
      <w:pPr>
        <w:pStyle w:val="ListParagraph"/>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(CIPD Podcast Strength in numbers: What’s new in performance </w:t>
      </w:r>
      <w:r w:rsidR="00CA1511" w:rsidRPr="00940FA2">
        <w:rPr>
          <w:rFonts w:ascii="Arial" w:hAnsi="Arial" w:cs="Arial"/>
          <w:color w:val="1F4E79" w:themeColor="accent1" w:themeShade="80"/>
          <w:sz w:val="24"/>
          <w:szCs w:val="24"/>
        </w:rPr>
        <w:t xml:space="preserve">management </w:t>
      </w:r>
      <w:r w:rsidRPr="00940FA2">
        <w:rPr>
          <w:rFonts w:ascii="Arial" w:hAnsi="Arial" w:cs="Arial"/>
          <w:color w:val="1F4E79" w:themeColor="accent1" w:themeShade="80"/>
          <w:sz w:val="24"/>
          <w:szCs w:val="24"/>
        </w:rPr>
        <w:t>2017</w:t>
      </w:r>
      <w:r w:rsidR="00CA1511" w:rsidRPr="00940FA2">
        <w:rPr>
          <w:rFonts w:ascii="Arial" w:hAnsi="Arial" w:cs="Arial"/>
          <w:color w:val="1F4E79" w:themeColor="accent1" w:themeShade="80"/>
          <w:sz w:val="24"/>
          <w:szCs w:val="24"/>
        </w:rPr>
        <w:t xml:space="preserve"> a</w:t>
      </w:r>
      <w:r w:rsidRPr="00940FA2">
        <w:rPr>
          <w:rFonts w:ascii="Arial" w:hAnsi="Arial" w:cs="Arial"/>
          <w:color w:val="1F4E79" w:themeColor="accent1" w:themeShade="80"/>
          <w:sz w:val="24"/>
          <w:szCs w:val="24"/>
        </w:rPr>
        <w:t>)</w:t>
      </w:r>
    </w:p>
    <w:p w:rsidR="009C6F56" w:rsidRPr="00940FA2" w:rsidRDefault="009C6F56" w:rsidP="009C6F56">
      <w:pPr>
        <w:pStyle w:val="ListParagraph"/>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(CIPD 2016) reports </w:t>
      </w:r>
      <w:r w:rsidRPr="00940FA2">
        <w:rPr>
          <w:rFonts w:ascii="Arial" w:hAnsi="Arial" w:cs="Arial"/>
          <w:i/>
          <w:color w:val="1F4E79" w:themeColor="accent1" w:themeShade="80"/>
          <w:sz w:val="24"/>
          <w:szCs w:val="24"/>
        </w:rPr>
        <w:t xml:space="preserve">Assessing What Works in Performance Appraisals Dec 2016 and Strengths-based Performance Conversations trial </w:t>
      </w:r>
      <w:r w:rsidRPr="00940FA2">
        <w:rPr>
          <w:rFonts w:ascii="Arial" w:hAnsi="Arial" w:cs="Arial"/>
          <w:color w:val="1F4E79" w:themeColor="accent1" w:themeShade="80"/>
          <w:sz w:val="24"/>
          <w:szCs w:val="24"/>
          <w:shd w:val="clear" w:color="auto" w:fill="FFFFFF"/>
        </w:rPr>
        <w:t>(CIPD, 2017</w:t>
      </w:r>
      <w:r w:rsidR="00CA1511" w:rsidRPr="00940FA2">
        <w:rPr>
          <w:rFonts w:ascii="Arial" w:hAnsi="Arial" w:cs="Arial"/>
          <w:color w:val="1F4E79" w:themeColor="accent1" w:themeShade="80"/>
          <w:sz w:val="24"/>
          <w:szCs w:val="24"/>
          <w:shd w:val="clear" w:color="auto" w:fill="FFFFFF"/>
        </w:rPr>
        <w:t>b</w:t>
      </w:r>
      <w:r w:rsidRPr="00940FA2">
        <w:rPr>
          <w:rFonts w:ascii="Arial" w:hAnsi="Arial" w:cs="Arial"/>
          <w:color w:val="1F4E79" w:themeColor="accent1" w:themeShade="80"/>
          <w:sz w:val="24"/>
          <w:szCs w:val="24"/>
          <w:shd w:val="clear" w:color="auto" w:fill="FFFFFF"/>
        </w:rPr>
        <w:t>)</w:t>
      </w:r>
    </w:p>
    <w:p w:rsidR="009C6F56" w:rsidRPr="00940FA2" w:rsidRDefault="009C6F56" w:rsidP="009C6F56">
      <w:pPr>
        <w:pStyle w:val="ListParagraph"/>
        <w:rPr>
          <w:rFonts w:ascii="Arial" w:hAnsi="Arial" w:cs="Arial"/>
          <w:color w:val="1F4E79" w:themeColor="accent1" w:themeShade="80"/>
          <w:sz w:val="24"/>
          <w:szCs w:val="24"/>
        </w:rPr>
      </w:pPr>
    </w:p>
    <w:p w:rsidR="00517AE1" w:rsidRPr="00940FA2" w:rsidRDefault="00517AE1" w:rsidP="00517AE1">
      <w:pPr>
        <w:pStyle w:val="ListParagraph"/>
        <w:numPr>
          <w:ilvl w:val="0"/>
          <w:numId w:val="1"/>
        </w:num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A themed conversational approach has been adopted by a number of large private sector organisations including G.E. and Microsoft. In 2012 Microsoft felt that their annual Performance Appraisal approach had a negative effect. </w:t>
      </w:r>
      <w:r w:rsidRPr="00940FA2">
        <w:rPr>
          <w:rFonts w:ascii="Arial" w:hAnsi="Arial" w:cs="Arial"/>
          <w:color w:val="1F4E79" w:themeColor="accent1" w:themeShade="80"/>
          <w:sz w:val="24"/>
          <w:szCs w:val="24"/>
        </w:rPr>
        <w:lastRenderedPageBreak/>
        <w:t>In 2014, after using the conversation approach 70% of managers reported a positive impact across the organisation.</w:t>
      </w:r>
    </w:p>
    <w:p w:rsidR="009C6F56" w:rsidRPr="00940FA2" w:rsidRDefault="009C6F56" w:rsidP="009C6F56">
      <w:pPr>
        <w:pStyle w:val="ListParagraph"/>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(Baker 2013)</w:t>
      </w:r>
    </w:p>
    <w:p w:rsidR="009C6F56" w:rsidRDefault="009C6F56" w:rsidP="009C6F56">
      <w:pPr>
        <w:pStyle w:val="ListParagraph"/>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(M</w:t>
      </w:r>
      <w:r w:rsidRPr="00940FA2">
        <w:rPr>
          <w:rFonts w:ascii="Arial" w:hAnsi="Arial" w:cs="Arial"/>
          <w:color w:val="1F4E79" w:themeColor="accent1" w:themeShade="80"/>
          <w:sz w:val="24"/>
          <w:szCs w:val="24"/>
        </w:rPr>
        <w:t>ind gym Reinventing Performance Management 2016)</w:t>
      </w:r>
    </w:p>
    <w:p w:rsidR="00756AEE" w:rsidRDefault="00756AEE" w:rsidP="009C6F56">
      <w:pPr>
        <w:pStyle w:val="ListParagraph"/>
        <w:spacing w:line="240" w:lineRule="auto"/>
        <w:rPr>
          <w:rFonts w:ascii="Arial" w:hAnsi="Arial" w:cs="Arial"/>
          <w:color w:val="1F4E79" w:themeColor="accent1" w:themeShade="80"/>
          <w:sz w:val="24"/>
          <w:szCs w:val="24"/>
        </w:rPr>
      </w:pPr>
    </w:p>
    <w:p w:rsidR="00756AEE" w:rsidRDefault="00756AEE" w:rsidP="00756AEE">
      <w:pPr>
        <w:pStyle w:val="ListParagraph"/>
        <w:numPr>
          <w:ilvl w:val="0"/>
          <w:numId w:val="1"/>
        </w:numPr>
        <w:spacing w:line="240" w:lineRule="auto"/>
        <w:rPr>
          <w:rFonts w:ascii="Arial" w:hAnsi="Arial" w:cs="Arial"/>
          <w:color w:val="1F4E79" w:themeColor="accent1" w:themeShade="80"/>
          <w:sz w:val="24"/>
          <w:szCs w:val="24"/>
        </w:rPr>
      </w:pPr>
      <w:r>
        <w:rPr>
          <w:rFonts w:ascii="Arial" w:hAnsi="Arial" w:cs="Arial"/>
          <w:color w:val="1F4E79" w:themeColor="accent1" w:themeShade="80"/>
          <w:sz w:val="24"/>
          <w:szCs w:val="24"/>
        </w:rPr>
        <w:t>Comparison with other local authorities with similar demographics to be researched.</w:t>
      </w:r>
    </w:p>
    <w:p w:rsidR="009876D4" w:rsidRDefault="009876D4" w:rsidP="009C6F56">
      <w:pPr>
        <w:pStyle w:val="ListParagraph"/>
        <w:spacing w:line="240" w:lineRule="auto"/>
        <w:rPr>
          <w:rFonts w:ascii="Arial" w:hAnsi="Arial" w:cs="Arial"/>
          <w:color w:val="1F4E79" w:themeColor="accent1" w:themeShade="80"/>
          <w:sz w:val="24"/>
          <w:szCs w:val="24"/>
        </w:rPr>
      </w:pPr>
    </w:p>
    <w:p w:rsidR="009876D4" w:rsidRDefault="009876D4" w:rsidP="009876D4">
      <w:pPr>
        <w:pStyle w:val="ListParagraph"/>
        <w:numPr>
          <w:ilvl w:val="0"/>
          <w:numId w:val="1"/>
        </w:numPr>
        <w:spacing w:line="240" w:lineRule="auto"/>
        <w:rPr>
          <w:rFonts w:ascii="Arial" w:hAnsi="Arial" w:cs="Arial"/>
          <w:color w:val="1F4E79" w:themeColor="accent1" w:themeShade="80"/>
          <w:sz w:val="24"/>
          <w:szCs w:val="24"/>
        </w:rPr>
      </w:pPr>
      <w:r>
        <w:rPr>
          <w:rFonts w:ascii="Arial" w:hAnsi="Arial" w:cs="Arial"/>
          <w:color w:val="1F4E79" w:themeColor="accent1" w:themeShade="80"/>
          <w:sz w:val="24"/>
          <w:szCs w:val="24"/>
        </w:rPr>
        <w:t>Questionnaires and focus group feedback has highlighted the following employee opinions</w:t>
      </w:r>
      <w:r w:rsidR="00F21EF2">
        <w:rPr>
          <w:rFonts w:ascii="Arial" w:hAnsi="Arial" w:cs="Arial"/>
          <w:color w:val="1F4E79" w:themeColor="accent1" w:themeShade="80"/>
          <w:sz w:val="24"/>
          <w:szCs w:val="24"/>
        </w:rPr>
        <w:t xml:space="preserve"> in PCC</w:t>
      </w:r>
      <w:r>
        <w:rPr>
          <w:rFonts w:ascii="Arial" w:hAnsi="Arial" w:cs="Arial"/>
          <w:color w:val="1F4E79" w:themeColor="accent1" w:themeShade="80"/>
          <w:sz w:val="24"/>
          <w:szCs w:val="24"/>
        </w:rPr>
        <w:t>:-</w:t>
      </w:r>
    </w:p>
    <w:p w:rsidR="009876D4" w:rsidRDefault="009876D4" w:rsidP="009876D4">
      <w:pPr>
        <w:pStyle w:val="ListParagraph"/>
        <w:spacing w:line="240" w:lineRule="auto"/>
        <w:rPr>
          <w:rFonts w:ascii="Arial" w:hAnsi="Arial" w:cs="Arial"/>
          <w:color w:val="1F4E79" w:themeColor="accent1" w:themeShade="80"/>
          <w:sz w:val="24"/>
          <w:szCs w:val="24"/>
        </w:rPr>
      </w:pPr>
    </w:p>
    <w:p w:rsidR="009876D4" w:rsidRPr="00F21EF2" w:rsidRDefault="009876D4" w:rsidP="009876D4">
      <w:pPr>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Talk to my LM regularly which is much better and we have a good relationship</w:t>
      </w:r>
    </w:p>
    <w:p w:rsidR="009876D4" w:rsidRPr="00F21EF2" w:rsidRDefault="009876D4" w:rsidP="009876D4">
      <w:pPr>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Needs to be a change in focus. There is no monetary incentive and job security doesn’t exist any longer so what is the driver to do or complete them when we are all under pressure with staffing and work load. Becomes a paper/tick box exercise</w:t>
      </w:r>
    </w:p>
    <w:p w:rsidR="009876D4" w:rsidRPr="00F21EF2" w:rsidRDefault="009876D4" w:rsidP="009876D4">
      <w:pPr>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Flexibility – need to be more of a discussion, trying to fit things in to boxes</w:t>
      </w:r>
    </w:p>
    <w:p w:rsidR="009876D4" w:rsidRPr="00F21EF2" w:rsidRDefault="009876D4" w:rsidP="009876D4">
      <w:pPr>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 xml:space="preserve">Size of teams should be considered – Does everyone need to undertake one? Staff who are school cooks only working 2 days a week, no aspirations and have regular chats catch ups with them. </w:t>
      </w:r>
    </w:p>
    <w:p w:rsidR="009876D4" w:rsidRPr="00F21EF2" w:rsidRDefault="00F21EF2" w:rsidP="00F21EF2">
      <w:pPr>
        <w:spacing w:line="240" w:lineRule="auto"/>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Is out of date the minute it is written and sits in the drawer for 12 months until the next one</w:t>
      </w:r>
    </w:p>
    <w:p w:rsidR="00F21EF2" w:rsidRPr="00F21EF2" w:rsidRDefault="00F21EF2" w:rsidP="00F21EF2">
      <w:pPr>
        <w:spacing w:line="240" w:lineRule="auto"/>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70 employee out of 75 employees still felt there was a need for a performance appraisal process but with a focus on development</w:t>
      </w:r>
    </w:p>
    <w:p w:rsidR="009C6F56" w:rsidRPr="00F21EF2" w:rsidRDefault="00F21EF2" w:rsidP="00F21EF2">
      <w:pPr>
        <w:spacing w:line="240" w:lineRule="auto"/>
        <w:rPr>
          <w:rFonts w:ascii="Arial" w:hAnsi="Arial" w:cs="Arial"/>
          <w:i/>
          <w:color w:val="1F4E79" w:themeColor="accent1" w:themeShade="80"/>
          <w:sz w:val="24"/>
          <w:szCs w:val="24"/>
        </w:rPr>
      </w:pPr>
      <w:r w:rsidRPr="00F21EF2">
        <w:rPr>
          <w:rFonts w:ascii="Arial" w:hAnsi="Arial" w:cs="Arial"/>
          <w:i/>
          <w:color w:val="1F4E79" w:themeColor="accent1" w:themeShade="80"/>
          <w:sz w:val="24"/>
          <w:szCs w:val="24"/>
        </w:rPr>
        <w:t>Long drawn out paper exercise with no value, corporate spiel</w:t>
      </w:r>
    </w:p>
    <w:p w:rsidR="009C6F56" w:rsidRPr="00940FA2" w:rsidRDefault="009C6F56" w:rsidP="009C6F56">
      <w:pPr>
        <w:pStyle w:val="ListParagraph"/>
        <w:numPr>
          <w:ilvl w:val="0"/>
          <w:numId w:val="1"/>
        </w:numPr>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We nee</w:t>
      </w:r>
      <w:r w:rsidR="00F21EF2">
        <w:rPr>
          <w:rFonts w:ascii="Arial" w:hAnsi="Arial" w:cs="Arial"/>
          <w:color w:val="1F4E79" w:themeColor="accent1" w:themeShade="80"/>
          <w:sz w:val="24"/>
          <w:szCs w:val="24"/>
        </w:rPr>
        <w:t>d a process</w:t>
      </w:r>
      <w:r w:rsidR="009876D4">
        <w:rPr>
          <w:rFonts w:ascii="Arial" w:hAnsi="Arial" w:cs="Arial"/>
          <w:color w:val="1F4E79" w:themeColor="accent1" w:themeShade="80"/>
          <w:sz w:val="24"/>
          <w:szCs w:val="24"/>
        </w:rPr>
        <w:t xml:space="preserve"> that can</w:t>
      </w:r>
      <w:r w:rsidRPr="00940FA2">
        <w:rPr>
          <w:rFonts w:ascii="Arial" w:hAnsi="Arial" w:cs="Arial"/>
          <w:color w:val="1F4E79" w:themeColor="accent1" w:themeShade="80"/>
          <w:sz w:val="24"/>
          <w:szCs w:val="24"/>
        </w:rPr>
        <w:t xml:space="preserve"> integrate with</w:t>
      </w:r>
      <w:r w:rsidR="009876D4">
        <w:rPr>
          <w:rFonts w:ascii="Arial" w:hAnsi="Arial" w:cs="Arial"/>
          <w:color w:val="1F4E79" w:themeColor="accent1" w:themeShade="80"/>
          <w:sz w:val="24"/>
          <w:szCs w:val="24"/>
        </w:rPr>
        <w:t xml:space="preserve"> current</w:t>
      </w:r>
      <w:r w:rsidR="00F21EF2">
        <w:rPr>
          <w:rFonts w:ascii="Arial" w:hAnsi="Arial" w:cs="Arial"/>
          <w:color w:val="1F4E79" w:themeColor="accent1" w:themeShade="80"/>
          <w:sz w:val="24"/>
          <w:szCs w:val="24"/>
        </w:rPr>
        <w:t xml:space="preserve"> internal HR systems,</w:t>
      </w:r>
      <w:r w:rsidRPr="00940FA2">
        <w:rPr>
          <w:rFonts w:ascii="Arial" w:hAnsi="Arial" w:cs="Arial"/>
          <w:color w:val="1F4E79" w:themeColor="accent1" w:themeShade="80"/>
          <w:sz w:val="24"/>
          <w:szCs w:val="24"/>
        </w:rPr>
        <w:t xml:space="preserve"> able to provide beneficial data linking personal characteristics with productivity. </w:t>
      </w:r>
      <w:r w:rsidRPr="00940FA2">
        <w:rPr>
          <w:rFonts w:ascii="Arial" w:hAnsi="Arial" w:cs="Arial"/>
          <w:color w:val="1F4E79" w:themeColor="accent1" w:themeShade="80"/>
          <w:sz w:val="24"/>
          <w:szCs w:val="24"/>
        </w:rPr>
        <w:t xml:space="preserve">(Bolton and Payne 2013) </w:t>
      </w:r>
    </w:p>
    <w:p w:rsidR="009C6F56" w:rsidRPr="00940FA2" w:rsidRDefault="009C6F56" w:rsidP="009C6F56">
      <w:pPr>
        <w:pStyle w:val="ListParagraph"/>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(Taylor and </w:t>
      </w:r>
      <w:proofErr w:type="spellStart"/>
      <w:r w:rsidRPr="00940FA2">
        <w:rPr>
          <w:rFonts w:ascii="Arial" w:hAnsi="Arial" w:cs="Arial"/>
          <w:color w:val="1F4E79" w:themeColor="accent1" w:themeShade="80"/>
          <w:sz w:val="24"/>
          <w:szCs w:val="24"/>
        </w:rPr>
        <w:t>Woodhams</w:t>
      </w:r>
      <w:proofErr w:type="spellEnd"/>
      <w:r w:rsidRPr="00940FA2">
        <w:rPr>
          <w:rFonts w:ascii="Arial" w:hAnsi="Arial" w:cs="Arial"/>
          <w:color w:val="1F4E79" w:themeColor="accent1" w:themeShade="80"/>
          <w:sz w:val="24"/>
          <w:szCs w:val="24"/>
        </w:rPr>
        <w:t xml:space="preserve"> 2016) </w:t>
      </w:r>
    </w:p>
    <w:p w:rsidR="009C6F56" w:rsidRPr="00940FA2" w:rsidRDefault="009C6F56" w:rsidP="009C6F56">
      <w:pPr>
        <w:pStyle w:val="ListParagraph"/>
        <w:spacing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(CIPD 2020).</w:t>
      </w:r>
    </w:p>
    <w:p w:rsidR="009C6F56" w:rsidRPr="00940FA2" w:rsidRDefault="003B2048" w:rsidP="009C6F56">
      <w:pPr>
        <w:pStyle w:val="ListParagraph"/>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w:t>
      </w:r>
      <w:r w:rsidR="009C6F56" w:rsidRPr="00940FA2">
        <w:rPr>
          <w:rFonts w:ascii="Arial" w:hAnsi="Arial" w:cs="Arial"/>
          <w:color w:val="1F4E79" w:themeColor="accent1" w:themeShade="80"/>
          <w:sz w:val="24"/>
          <w:szCs w:val="24"/>
        </w:rPr>
        <w:t>T</w:t>
      </w:r>
      <w:r w:rsidRPr="00940FA2">
        <w:rPr>
          <w:rFonts w:ascii="Arial" w:hAnsi="Arial" w:cs="Arial"/>
          <w:color w:val="1F4E79" w:themeColor="accent1" w:themeShade="80"/>
          <w:sz w:val="24"/>
          <w:szCs w:val="24"/>
        </w:rPr>
        <w:t xml:space="preserve">orrington, Hall &amp; Taylor </w:t>
      </w:r>
      <w:r w:rsidR="009C6F56" w:rsidRPr="00940FA2">
        <w:rPr>
          <w:rFonts w:ascii="Arial" w:hAnsi="Arial" w:cs="Arial"/>
          <w:color w:val="1F4E79" w:themeColor="accent1" w:themeShade="80"/>
          <w:sz w:val="24"/>
          <w:szCs w:val="24"/>
        </w:rPr>
        <w:t>2008).</w:t>
      </w:r>
    </w:p>
    <w:p w:rsidR="003B2048" w:rsidRPr="00940FA2" w:rsidRDefault="003B2048" w:rsidP="009C6F56">
      <w:pPr>
        <w:pStyle w:val="ListParagraph"/>
        <w:rPr>
          <w:rFonts w:ascii="Arial" w:hAnsi="Arial" w:cs="Arial"/>
          <w:color w:val="1F4E79" w:themeColor="accent1" w:themeShade="80"/>
          <w:sz w:val="24"/>
          <w:szCs w:val="24"/>
        </w:rPr>
      </w:pPr>
    </w:p>
    <w:p w:rsidR="003B2048" w:rsidRDefault="003B2048" w:rsidP="003B2048">
      <w:pPr>
        <w:pStyle w:val="ListParagraph"/>
        <w:numPr>
          <w:ilvl w:val="0"/>
          <w:numId w:val="1"/>
        </w:num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Does one size fit all? We have a diverse workforce: - those office based in corporate style roles and those in vo</w:t>
      </w:r>
      <w:r w:rsidR="00F21EF2">
        <w:rPr>
          <w:rFonts w:ascii="Arial" w:hAnsi="Arial" w:cs="Arial"/>
          <w:color w:val="1F4E79" w:themeColor="accent1" w:themeShade="80"/>
          <w:sz w:val="24"/>
          <w:szCs w:val="24"/>
        </w:rPr>
        <w:t>cational roles.</w:t>
      </w:r>
    </w:p>
    <w:p w:rsidR="009876D4" w:rsidRPr="00940FA2" w:rsidRDefault="009876D4" w:rsidP="009876D4">
      <w:pPr>
        <w:pStyle w:val="ListParagraph"/>
        <w:rPr>
          <w:rFonts w:ascii="Arial" w:hAnsi="Arial" w:cs="Arial"/>
          <w:color w:val="1F4E79" w:themeColor="accent1" w:themeShade="80"/>
          <w:sz w:val="24"/>
          <w:szCs w:val="24"/>
        </w:rPr>
      </w:pPr>
    </w:p>
    <w:p w:rsidR="003B2048" w:rsidRPr="00940FA2" w:rsidRDefault="009876D4" w:rsidP="003B2048">
      <w:pPr>
        <w:pStyle w:val="ListParagraph"/>
        <w:numPr>
          <w:ilvl w:val="0"/>
          <w:numId w:val="1"/>
        </w:numPr>
        <w:rPr>
          <w:rFonts w:ascii="Arial" w:hAnsi="Arial" w:cs="Arial"/>
          <w:color w:val="1F4E79" w:themeColor="accent1" w:themeShade="80"/>
          <w:sz w:val="24"/>
          <w:szCs w:val="24"/>
        </w:rPr>
      </w:pPr>
      <w:r>
        <w:rPr>
          <w:rFonts w:ascii="Arial" w:hAnsi="Arial" w:cs="Arial"/>
          <w:color w:val="1F4E79" w:themeColor="accent1" w:themeShade="80"/>
          <w:sz w:val="24"/>
          <w:szCs w:val="24"/>
        </w:rPr>
        <w:t>We</w:t>
      </w:r>
      <w:r w:rsidR="003B2048" w:rsidRPr="00940FA2">
        <w:rPr>
          <w:rFonts w:ascii="Arial" w:hAnsi="Arial" w:cs="Arial"/>
          <w:color w:val="1F4E79" w:themeColor="accent1" w:themeShade="80"/>
          <w:sz w:val="24"/>
          <w:szCs w:val="24"/>
        </w:rPr>
        <w:t xml:space="preserve"> have employees who undertake more than one role in the </w:t>
      </w:r>
      <w:r w:rsidR="00F21EF2">
        <w:rPr>
          <w:rFonts w:ascii="Arial" w:hAnsi="Arial" w:cs="Arial"/>
          <w:color w:val="1F4E79" w:themeColor="accent1" w:themeShade="80"/>
          <w:sz w:val="24"/>
          <w:szCs w:val="24"/>
        </w:rPr>
        <w:t>authority.</w:t>
      </w:r>
      <w:r>
        <w:rPr>
          <w:rFonts w:ascii="Arial" w:hAnsi="Arial" w:cs="Arial"/>
          <w:color w:val="1F4E79" w:themeColor="accent1" w:themeShade="80"/>
          <w:sz w:val="24"/>
          <w:szCs w:val="24"/>
        </w:rPr>
        <w:t xml:space="preserve"> </w:t>
      </w:r>
    </w:p>
    <w:p w:rsidR="009C6F56" w:rsidRPr="00940FA2" w:rsidRDefault="009C6F56" w:rsidP="009C6F56">
      <w:pPr>
        <w:pStyle w:val="ListParagraph"/>
        <w:rPr>
          <w:rFonts w:ascii="Arial" w:hAnsi="Arial" w:cs="Arial"/>
          <w:color w:val="1F4E79" w:themeColor="accent1" w:themeShade="80"/>
          <w:sz w:val="24"/>
          <w:szCs w:val="24"/>
        </w:rPr>
      </w:pPr>
    </w:p>
    <w:p w:rsidR="00517AE1" w:rsidRPr="00F21EF2" w:rsidRDefault="00940FA2" w:rsidP="00517AE1">
      <w:pPr>
        <w:pStyle w:val="ListParagraph"/>
        <w:numPr>
          <w:ilvl w:val="0"/>
          <w:numId w:val="1"/>
        </w:numPr>
        <w:rPr>
          <w:rFonts w:ascii="Arial" w:hAnsi="Arial" w:cs="Arial"/>
          <w:b/>
          <w:color w:val="1F4E79" w:themeColor="accent1" w:themeShade="80"/>
          <w:sz w:val="24"/>
          <w:szCs w:val="24"/>
        </w:rPr>
      </w:pPr>
      <w:r w:rsidRPr="00940FA2">
        <w:rPr>
          <w:rFonts w:ascii="Arial" w:hAnsi="Arial" w:cs="Arial"/>
          <w:color w:val="1F4E79" w:themeColor="accent1" w:themeShade="80"/>
          <w:sz w:val="24"/>
          <w:szCs w:val="24"/>
        </w:rPr>
        <w:t>Cost implications will need senior management and cabinet approval.</w:t>
      </w:r>
    </w:p>
    <w:p w:rsidR="00F21EF2" w:rsidRPr="00F21EF2" w:rsidRDefault="00F21EF2" w:rsidP="00F21EF2">
      <w:pPr>
        <w:pStyle w:val="ListParagraph"/>
        <w:rPr>
          <w:rFonts w:ascii="Arial" w:hAnsi="Arial" w:cs="Arial"/>
          <w:b/>
          <w:color w:val="1F4E79" w:themeColor="accent1" w:themeShade="80"/>
          <w:sz w:val="24"/>
          <w:szCs w:val="24"/>
        </w:rPr>
      </w:pPr>
    </w:p>
    <w:p w:rsidR="00F21EF2" w:rsidRPr="00F21EF2" w:rsidRDefault="00F21EF2" w:rsidP="00F21EF2">
      <w:pPr>
        <w:rPr>
          <w:rFonts w:ascii="Arial" w:hAnsi="Arial" w:cs="Arial"/>
          <w:b/>
          <w:color w:val="1F4E79" w:themeColor="accent1" w:themeShade="80"/>
          <w:sz w:val="24"/>
          <w:szCs w:val="24"/>
        </w:rPr>
      </w:pPr>
      <w:r>
        <w:rPr>
          <w:rFonts w:ascii="Arial" w:hAnsi="Arial" w:cs="Arial"/>
          <w:b/>
          <w:color w:val="1F4E79" w:themeColor="accent1" w:themeShade="80"/>
          <w:sz w:val="24"/>
          <w:szCs w:val="24"/>
        </w:rPr>
        <w:t>The following options are to be considered.</w:t>
      </w:r>
    </w:p>
    <w:tbl>
      <w:tblPr>
        <w:tblStyle w:val="TableGrid"/>
        <w:tblW w:w="0" w:type="auto"/>
        <w:tblLook w:val="04A0" w:firstRow="1" w:lastRow="0" w:firstColumn="1" w:lastColumn="0" w:noHBand="0" w:noVBand="1"/>
      </w:tblPr>
      <w:tblGrid>
        <w:gridCol w:w="5814"/>
        <w:gridCol w:w="926"/>
        <w:gridCol w:w="1261"/>
        <w:gridCol w:w="1015"/>
      </w:tblGrid>
      <w:tr w:rsidR="00517AE1" w:rsidTr="007D74F7">
        <w:trPr>
          <w:cantSplit/>
          <w:trHeight w:val="929"/>
        </w:trPr>
        <w:tc>
          <w:tcPr>
            <w:tcW w:w="6941" w:type="dxa"/>
            <w:shd w:val="clear" w:color="auto" w:fill="BDD6EE" w:themeFill="accent1" w:themeFillTint="66"/>
            <w:vAlign w:val="center"/>
          </w:tcPr>
          <w:p w:rsidR="00517AE1" w:rsidRPr="00576957" w:rsidRDefault="00517AE1" w:rsidP="007D74F7">
            <w:pPr>
              <w:jc w:val="center"/>
              <w:rPr>
                <w:rFonts w:ascii="Arial" w:hAnsi="Arial" w:cs="Arial"/>
                <w:sz w:val="24"/>
                <w:szCs w:val="24"/>
              </w:rPr>
            </w:pPr>
            <w:r>
              <w:rPr>
                <w:rFonts w:ascii="Arial" w:hAnsi="Arial" w:cs="Arial"/>
                <w:sz w:val="24"/>
                <w:szCs w:val="24"/>
              </w:rPr>
              <w:t>Review functionalities</w:t>
            </w:r>
          </w:p>
        </w:tc>
        <w:tc>
          <w:tcPr>
            <w:tcW w:w="992" w:type="dxa"/>
            <w:shd w:val="clear" w:color="auto" w:fill="BDD6EE" w:themeFill="accent1" w:themeFillTint="66"/>
            <w:textDirection w:val="btLr"/>
          </w:tcPr>
          <w:p w:rsidR="00517AE1" w:rsidRPr="00FC08E2" w:rsidRDefault="00517AE1" w:rsidP="007D74F7">
            <w:pPr>
              <w:ind w:left="113" w:right="113"/>
              <w:jc w:val="center"/>
              <w:rPr>
                <w:rFonts w:ascii="Arial" w:hAnsi="Arial" w:cs="Arial"/>
                <w:sz w:val="20"/>
                <w:szCs w:val="20"/>
              </w:rPr>
            </w:pPr>
            <w:r w:rsidRPr="00FC08E2">
              <w:rPr>
                <w:rFonts w:ascii="Arial" w:hAnsi="Arial" w:cs="Arial"/>
                <w:sz w:val="20"/>
                <w:szCs w:val="20"/>
              </w:rPr>
              <w:t>Option 1</w:t>
            </w:r>
          </w:p>
          <w:p w:rsidR="00517AE1" w:rsidRPr="00FC08E2" w:rsidRDefault="00517AE1" w:rsidP="007D74F7">
            <w:pPr>
              <w:ind w:left="113" w:right="113"/>
              <w:jc w:val="center"/>
              <w:rPr>
                <w:rFonts w:ascii="Arial" w:hAnsi="Arial" w:cs="Arial"/>
                <w:sz w:val="20"/>
                <w:szCs w:val="20"/>
              </w:rPr>
            </w:pPr>
            <w:proofErr w:type="spellStart"/>
            <w:r w:rsidRPr="00FC08E2">
              <w:rPr>
                <w:rFonts w:ascii="Arial" w:hAnsi="Arial" w:cs="Arial"/>
                <w:sz w:val="20"/>
                <w:szCs w:val="20"/>
              </w:rPr>
              <w:t>iTrent</w:t>
            </w:r>
            <w:proofErr w:type="spellEnd"/>
          </w:p>
        </w:tc>
        <w:tc>
          <w:tcPr>
            <w:tcW w:w="1418" w:type="dxa"/>
            <w:shd w:val="clear" w:color="auto" w:fill="BDD6EE" w:themeFill="accent1" w:themeFillTint="66"/>
            <w:textDirection w:val="btLr"/>
          </w:tcPr>
          <w:p w:rsidR="00517AE1" w:rsidRPr="00FC08E2" w:rsidRDefault="00517AE1" w:rsidP="007D74F7">
            <w:pPr>
              <w:ind w:left="113" w:right="113"/>
              <w:jc w:val="center"/>
              <w:rPr>
                <w:rFonts w:ascii="Arial" w:hAnsi="Arial" w:cs="Arial"/>
                <w:sz w:val="20"/>
                <w:szCs w:val="20"/>
              </w:rPr>
            </w:pPr>
            <w:r w:rsidRPr="00FC08E2">
              <w:rPr>
                <w:rFonts w:ascii="Arial" w:hAnsi="Arial" w:cs="Arial"/>
                <w:sz w:val="20"/>
                <w:szCs w:val="20"/>
              </w:rPr>
              <w:t>Option 2</w:t>
            </w:r>
          </w:p>
          <w:p w:rsidR="00517AE1" w:rsidRPr="00FC08E2" w:rsidRDefault="00517AE1" w:rsidP="007D74F7">
            <w:pPr>
              <w:ind w:left="113" w:right="113"/>
              <w:jc w:val="center"/>
              <w:rPr>
                <w:rFonts w:ascii="Arial" w:hAnsi="Arial" w:cs="Arial"/>
                <w:sz w:val="20"/>
                <w:szCs w:val="20"/>
              </w:rPr>
            </w:pPr>
            <w:proofErr w:type="spellStart"/>
            <w:r>
              <w:rPr>
                <w:rFonts w:ascii="Arial" w:hAnsi="Arial" w:cs="Arial"/>
                <w:sz w:val="20"/>
                <w:szCs w:val="20"/>
              </w:rPr>
              <w:t>iTrent</w:t>
            </w:r>
            <w:proofErr w:type="spellEnd"/>
            <w:r>
              <w:rPr>
                <w:rFonts w:ascii="Arial" w:hAnsi="Arial" w:cs="Arial"/>
                <w:sz w:val="20"/>
                <w:szCs w:val="20"/>
              </w:rPr>
              <w:t xml:space="preserve"> </w:t>
            </w:r>
            <w:r w:rsidRPr="00FC08E2">
              <w:rPr>
                <w:rFonts w:ascii="Arial" w:hAnsi="Arial" w:cs="Arial"/>
                <w:sz w:val="20"/>
                <w:szCs w:val="20"/>
              </w:rPr>
              <w:t>Check ins’</w:t>
            </w:r>
          </w:p>
        </w:tc>
        <w:tc>
          <w:tcPr>
            <w:tcW w:w="1105" w:type="dxa"/>
            <w:shd w:val="clear" w:color="auto" w:fill="BDD6EE" w:themeFill="accent1" w:themeFillTint="66"/>
            <w:textDirection w:val="btLr"/>
          </w:tcPr>
          <w:p w:rsidR="00517AE1" w:rsidRPr="00FC08E2" w:rsidRDefault="00517AE1" w:rsidP="007D74F7">
            <w:pPr>
              <w:ind w:left="113" w:right="113"/>
              <w:jc w:val="center"/>
              <w:rPr>
                <w:rFonts w:ascii="Arial" w:hAnsi="Arial" w:cs="Arial"/>
                <w:sz w:val="20"/>
                <w:szCs w:val="20"/>
              </w:rPr>
            </w:pPr>
            <w:r w:rsidRPr="00FC08E2">
              <w:rPr>
                <w:rFonts w:ascii="Arial" w:hAnsi="Arial" w:cs="Arial"/>
                <w:sz w:val="20"/>
                <w:szCs w:val="20"/>
              </w:rPr>
              <w:t>Option 3</w:t>
            </w:r>
          </w:p>
          <w:p w:rsidR="00517AE1" w:rsidRPr="00FC08E2" w:rsidRDefault="00517AE1" w:rsidP="007D74F7">
            <w:pPr>
              <w:ind w:left="113" w:right="113"/>
              <w:jc w:val="center"/>
              <w:rPr>
                <w:rFonts w:ascii="Arial" w:hAnsi="Arial" w:cs="Arial"/>
                <w:sz w:val="20"/>
                <w:szCs w:val="20"/>
              </w:rPr>
            </w:pPr>
            <w:r w:rsidRPr="00FC08E2">
              <w:rPr>
                <w:rFonts w:ascii="Arial" w:hAnsi="Arial" w:cs="Arial"/>
                <w:sz w:val="20"/>
                <w:szCs w:val="20"/>
              </w:rPr>
              <w:t>POD</w:t>
            </w:r>
          </w:p>
        </w:tc>
      </w:tr>
      <w:tr w:rsidR="00517AE1" w:rsidTr="007D74F7">
        <w:tc>
          <w:tcPr>
            <w:tcW w:w="6941" w:type="dxa"/>
          </w:tcPr>
          <w:p w:rsidR="00517AE1" w:rsidRPr="00576957" w:rsidRDefault="00517AE1" w:rsidP="007D74F7">
            <w:pPr>
              <w:rPr>
                <w:rFonts w:ascii="Arial" w:hAnsi="Arial" w:cs="Arial"/>
                <w:sz w:val="24"/>
                <w:szCs w:val="24"/>
              </w:rPr>
            </w:pPr>
            <w:r>
              <w:rPr>
                <w:rFonts w:ascii="Arial" w:hAnsi="Arial" w:cs="Arial"/>
                <w:sz w:val="24"/>
                <w:szCs w:val="24"/>
              </w:rPr>
              <w:lastRenderedPageBreak/>
              <w:t>Access available to all staff via Employee Self-Serve</w:t>
            </w:r>
          </w:p>
        </w:tc>
        <w:tc>
          <w:tcPr>
            <w:tcW w:w="992" w:type="dxa"/>
          </w:tcPr>
          <w:p w:rsidR="00517AE1" w:rsidRPr="00576957" w:rsidRDefault="00517AE1" w:rsidP="00517AE1">
            <w:pPr>
              <w:pStyle w:val="ListParagraph"/>
              <w:numPr>
                <w:ilvl w:val="0"/>
                <w:numId w:val="2"/>
              </w:numPr>
              <w:rPr>
                <w:rFonts w:ascii="Arial" w:hAnsi="Arial" w:cs="Arial"/>
                <w:sz w:val="24"/>
                <w:szCs w:val="24"/>
              </w:rPr>
            </w:pPr>
          </w:p>
        </w:tc>
        <w:tc>
          <w:tcPr>
            <w:tcW w:w="1418" w:type="dxa"/>
          </w:tcPr>
          <w:p w:rsidR="00517AE1" w:rsidRPr="00576957" w:rsidRDefault="00517AE1" w:rsidP="00517AE1">
            <w:pPr>
              <w:pStyle w:val="ListParagraph"/>
              <w:numPr>
                <w:ilvl w:val="0"/>
                <w:numId w:val="2"/>
              </w:numPr>
              <w:rPr>
                <w:rFonts w:ascii="Arial" w:hAnsi="Arial" w:cs="Arial"/>
                <w:sz w:val="24"/>
                <w:szCs w:val="24"/>
              </w:rPr>
            </w:pPr>
          </w:p>
        </w:tc>
        <w:tc>
          <w:tcPr>
            <w:tcW w:w="1105" w:type="dxa"/>
          </w:tcPr>
          <w:p w:rsidR="00517AE1" w:rsidRPr="00576957"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Line Manager control and update of staff Performance Appraisals</w:t>
            </w:r>
          </w:p>
        </w:tc>
        <w:tc>
          <w:tcPr>
            <w:tcW w:w="992" w:type="dxa"/>
          </w:tcPr>
          <w:p w:rsidR="00517AE1" w:rsidRPr="00576957" w:rsidRDefault="00517AE1" w:rsidP="00517AE1">
            <w:pPr>
              <w:pStyle w:val="ListParagraph"/>
              <w:numPr>
                <w:ilvl w:val="0"/>
                <w:numId w:val="2"/>
              </w:numPr>
              <w:rPr>
                <w:rFonts w:ascii="Arial" w:hAnsi="Arial" w:cs="Arial"/>
                <w:sz w:val="24"/>
                <w:szCs w:val="24"/>
              </w:rPr>
            </w:pPr>
          </w:p>
        </w:tc>
        <w:tc>
          <w:tcPr>
            <w:tcW w:w="1418" w:type="dxa"/>
          </w:tcPr>
          <w:p w:rsidR="00517AE1" w:rsidRPr="00576957" w:rsidRDefault="00517AE1" w:rsidP="00517AE1">
            <w:pPr>
              <w:pStyle w:val="ListParagraph"/>
              <w:numPr>
                <w:ilvl w:val="0"/>
                <w:numId w:val="2"/>
              </w:numPr>
              <w:rPr>
                <w:rFonts w:ascii="Arial" w:hAnsi="Arial" w:cs="Arial"/>
                <w:sz w:val="24"/>
                <w:szCs w:val="24"/>
              </w:rPr>
            </w:pPr>
          </w:p>
        </w:tc>
        <w:tc>
          <w:tcPr>
            <w:tcW w:w="1105" w:type="dxa"/>
          </w:tcPr>
          <w:p w:rsidR="00517AE1" w:rsidRPr="00576957"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 xml:space="preserve">Ability to update </w:t>
            </w:r>
            <w:proofErr w:type="spellStart"/>
            <w:r>
              <w:rPr>
                <w:rFonts w:ascii="Arial" w:hAnsi="Arial" w:cs="Arial"/>
                <w:sz w:val="24"/>
                <w:szCs w:val="24"/>
              </w:rPr>
              <w:t>iTrent</w:t>
            </w:r>
            <w:proofErr w:type="spellEnd"/>
            <w:r>
              <w:rPr>
                <w:rFonts w:ascii="Arial" w:hAnsi="Arial" w:cs="Arial"/>
                <w:sz w:val="24"/>
                <w:szCs w:val="24"/>
              </w:rPr>
              <w:t xml:space="preserve"> with information</w:t>
            </w:r>
          </w:p>
        </w:tc>
        <w:tc>
          <w:tcPr>
            <w:tcW w:w="992" w:type="dxa"/>
          </w:tcPr>
          <w:p w:rsidR="00517AE1" w:rsidRPr="00576957" w:rsidRDefault="00517AE1" w:rsidP="00517AE1">
            <w:pPr>
              <w:pStyle w:val="ListParagraph"/>
              <w:numPr>
                <w:ilvl w:val="0"/>
                <w:numId w:val="2"/>
              </w:numPr>
              <w:rPr>
                <w:rFonts w:ascii="Arial" w:hAnsi="Arial" w:cs="Arial"/>
                <w:sz w:val="24"/>
                <w:szCs w:val="24"/>
              </w:rPr>
            </w:pPr>
          </w:p>
        </w:tc>
        <w:tc>
          <w:tcPr>
            <w:tcW w:w="1418" w:type="dxa"/>
          </w:tcPr>
          <w:p w:rsidR="00517AE1" w:rsidRPr="00576957" w:rsidRDefault="00517AE1" w:rsidP="00517AE1">
            <w:pPr>
              <w:pStyle w:val="ListParagraph"/>
              <w:numPr>
                <w:ilvl w:val="0"/>
                <w:numId w:val="2"/>
              </w:numPr>
              <w:rPr>
                <w:rFonts w:ascii="Arial" w:hAnsi="Arial" w:cs="Arial"/>
                <w:sz w:val="24"/>
                <w:szCs w:val="24"/>
              </w:rPr>
            </w:pPr>
          </w:p>
        </w:tc>
        <w:tc>
          <w:tcPr>
            <w:tcW w:w="1105" w:type="dxa"/>
          </w:tcPr>
          <w:p w:rsidR="00517AE1" w:rsidRPr="00576957"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Ability to audit completions with ease and store information electronically</w:t>
            </w:r>
          </w:p>
        </w:tc>
        <w:tc>
          <w:tcPr>
            <w:tcW w:w="992" w:type="dxa"/>
          </w:tcPr>
          <w:p w:rsidR="00517AE1" w:rsidRPr="00576957" w:rsidRDefault="00517AE1" w:rsidP="00517AE1">
            <w:pPr>
              <w:pStyle w:val="ListParagraph"/>
              <w:numPr>
                <w:ilvl w:val="0"/>
                <w:numId w:val="2"/>
              </w:numPr>
              <w:rPr>
                <w:rFonts w:ascii="Arial" w:hAnsi="Arial" w:cs="Arial"/>
                <w:sz w:val="24"/>
                <w:szCs w:val="24"/>
              </w:rPr>
            </w:pPr>
          </w:p>
        </w:tc>
        <w:tc>
          <w:tcPr>
            <w:tcW w:w="1418" w:type="dxa"/>
          </w:tcPr>
          <w:p w:rsidR="00517AE1" w:rsidRPr="00576957" w:rsidRDefault="00517AE1" w:rsidP="00517AE1">
            <w:pPr>
              <w:pStyle w:val="ListParagraph"/>
              <w:numPr>
                <w:ilvl w:val="0"/>
                <w:numId w:val="2"/>
              </w:numPr>
              <w:rPr>
                <w:rFonts w:ascii="Arial" w:hAnsi="Arial" w:cs="Arial"/>
                <w:sz w:val="24"/>
                <w:szCs w:val="24"/>
              </w:rPr>
            </w:pPr>
          </w:p>
        </w:tc>
        <w:tc>
          <w:tcPr>
            <w:tcW w:w="1105" w:type="dxa"/>
          </w:tcPr>
          <w:p w:rsidR="00517AE1" w:rsidRPr="00576957"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Pr="00A07554" w:rsidRDefault="00517AE1" w:rsidP="007D74F7">
            <w:pPr>
              <w:rPr>
                <w:rFonts w:ascii="Arial" w:hAnsi="Arial" w:cs="Arial"/>
                <w:sz w:val="24"/>
                <w:szCs w:val="24"/>
              </w:rPr>
            </w:pPr>
            <w:r w:rsidRPr="00A07554">
              <w:rPr>
                <w:rFonts w:ascii="Arial" w:hAnsi="Arial" w:cs="Arial"/>
                <w:sz w:val="24"/>
                <w:szCs w:val="24"/>
              </w:rPr>
              <w:t>Monthly 1-2-1 functionality</w:t>
            </w:r>
          </w:p>
        </w:tc>
        <w:tc>
          <w:tcPr>
            <w:tcW w:w="992" w:type="dxa"/>
          </w:tcPr>
          <w:p w:rsidR="00517AE1" w:rsidRDefault="00517AE1" w:rsidP="007D74F7">
            <w:pPr>
              <w:rPr>
                <w:rFonts w:ascii="Arial" w:hAnsi="Arial" w:cs="Arial"/>
                <w:sz w:val="24"/>
                <w:szCs w:val="24"/>
              </w:rPr>
            </w:pPr>
          </w:p>
        </w:tc>
        <w:tc>
          <w:tcPr>
            <w:tcW w:w="1418" w:type="dxa"/>
          </w:tcPr>
          <w:p w:rsidR="00517AE1" w:rsidRPr="00A07554" w:rsidRDefault="00517AE1" w:rsidP="00517AE1">
            <w:pPr>
              <w:pStyle w:val="ListParagraph"/>
              <w:numPr>
                <w:ilvl w:val="0"/>
                <w:numId w:val="2"/>
              </w:num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Pr="00A07554" w:rsidRDefault="00517AE1" w:rsidP="007D74F7">
            <w:pPr>
              <w:rPr>
                <w:rFonts w:ascii="Arial" w:hAnsi="Arial" w:cs="Arial"/>
                <w:sz w:val="24"/>
                <w:szCs w:val="24"/>
              </w:rPr>
            </w:pPr>
            <w:r w:rsidRPr="00A07554">
              <w:rPr>
                <w:rFonts w:ascii="Arial" w:hAnsi="Arial" w:cs="Arial"/>
                <w:sz w:val="24"/>
                <w:szCs w:val="24"/>
              </w:rPr>
              <w:t>Ability to electronically link an employee with more than one role</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Pr="00A07554" w:rsidRDefault="00517AE1" w:rsidP="007D74F7">
            <w:pPr>
              <w:rPr>
                <w:rFonts w:ascii="Arial" w:hAnsi="Arial" w:cs="Arial"/>
                <w:sz w:val="24"/>
                <w:szCs w:val="24"/>
              </w:rPr>
            </w:pPr>
            <w:r>
              <w:rPr>
                <w:rFonts w:ascii="Arial" w:hAnsi="Arial" w:cs="Arial"/>
                <w:sz w:val="24"/>
                <w:szCs w:val="24"/>
              </w:rPr>
              <w:t>Ability to create and link to an individual development plan</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Access via range of mobile devices i.e. iPad, mobile phone</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Option to develop system to incorporate sign offs for risk assessments and mandatory safety procedure training</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Option to develop system to include further corporate initiatives</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jc w:val="center"/>
              <w:rPr>
                <w:rFonts w:ascii="Arial" w:hAnsi="Arial" w:cs="Arial"/>
                <w:sz w:val="24"/>
                <w:szCs w:val="24"/>
              </w:rPr>
            </w:pPr>
            <w:r>
              <w:rPr>
                <w:rFonts w:ascii="Arial" w:hAnsi="Arial" w:cs="Arial"/>
                <w:sz w:val="24"/>
                <w:szCs w:val="24"/>
              </w:rPr>
              <w:sym w:font="Wingdings" w:char="F0FC"/>
            </w: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sidRPr="002D5EEE">
              <w:rPr>
                <w:rFonts w:ascii="Arial" w:hAnsi="Arial" w:cs="Arial"/>
                <w:sz w:val="24"/>
                <w:szCs w:val="24"/>
              </w:rPr>
              <w:t>Ability to link mandatory training to job role specification which would support induction process</w:t>
            </w:r>
            <w:r>
              <w:rPr>
                <w:rFonts w:ascii="Arial" w:hAnsi="Arial" w:cs="Arial"/>
                <w:sz w:val="24"/>
                <w:szCs w:val="24"/>
              </w:rPr>
              <w:t xml:space="preserve"> and allow for the tracking of completions and the </w:t>
            </w:r>
            <w:r w:rsidRPr="002D5EEE">
              <w:rPr>
                <w:rFonts w:ascii="Arial" w:hAnsi="Arial" w:cs="Arial"/>
                <w:sz w:val="24"/>
                <w:szCs w:val="24"/>
              </w:rPr>
              <w:t>audit of mandatory training</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r w:rsidR="00517AE1" w:rsidTr="007D74F7">
        <w:tc>
          <w:tcPr>
            <w:tcW w:w="6941" w:type="dxa"/>
          </w:tcPr>
          <w:p w:rsidR="00517AE1" w:rsidRDefault="00517AE1" w:rsidP="007D74F7">
            <w:pPr>
              <w:rPr>
                <w:rFonts w:ascii="Arial" w:hAnsi="Arial" w:cs="Arial"/>
                <w:sz w:val="24"/>
                <w:szCs w:val="24"/>
              </w:rPr>
            </w:pPr>
            <w:r>
              <w:rPr>
                <w:rFonts w:ascii="Arial" w:hAnsi="Arial" w:cs="Arial"/>
                <w:sz w:val="24"/>
                <w:szCs w:val="24"/>
              </w:rPr>
              <w:t>Ability to trigger mandatory learning renewal to Line Manager and employee</w:t>
            </w:r>
          </w:p>
        </w:tc>
        <w:tc>
          <w:tcPr>
            <w:tcW w:w="992" w:type="dxa"/>
          </w:tcPr>
          <w:p w:rsidR="00517AE1" w:rsidRDefault="00517AE1" w:rsidP="007D74F7">
            <w:pPr>
              <w:rPr>
                <w:rFonts w:ascii="Arial" w:hAnsi="Arial" w:cs="Arial"/>
                <w:sz w:val="24"/>
                <w:szCs w:val="24"/>
              </w:rPr>
            </w:pPr>
          </w:p>
        </w:tc>
        <w:tc>
          <w:tcPr>
            <w:tcW w:w="1418" w:type="dxa"/>
          </w:tcPr>
          <w:p w:rsidR="00517AE1" w:rsidRDefault="00517AE1" w:rsidP="007D74F7">
            <w:pPr>
              <w:rPr>
                <w:rFonts w:ascii="Arial" w:hAnsi="Arial" w:cs="Arial"/>
                <w:sz w:val="24"/>
                <w:szCs w:val="24"/>
              </w:rPr>
            </w:pPr>
          </w:p>
        </w:tc>
        <w:tc>
          <w:tcPr>
            <w:tcW w:w="1105" w:type="dxa"/>
          </w:tcPr>
          <w:p w:rsidR="00517AE1" w:rsidRPr="00A07554" w:rsidRDefault="00517AE1" w:rsidP="00517AE1">
            <w:pPr>
              <w:pStyle w:val="ListParagraph"/>
              <w:numPr>
                <w:ilvl w:val="0"/>
                <w:numId w:val="2"/>
              </w:numPr>
              <w:rPr>
                <w:rFonts w:ascii="Arial" w:hAnsi="Arial" w:cs="Arial"/>
                <w:sz w:val="24"/>
                <w:szCs w:val="24"/>
              </w:rPr>
            </w:pPr>
          </w:p>
        </w:tc>
      </w:tr>
    </w:tbl>
    <w:p w:rsidR="00F21EF2" w:rsidRDefault="00F21EF2" w:rsidP="00517AE1">
      <w:pPr>
        <w:rPr>
          <w:rFonts w:ascii="Arial" w:hAnsi="Arial" w:cs="Arial"/>
          <w:color w:val="1F4E79" w:themeColor="accent1" w:themeShade="80"/>
          <w:sz w:val="24"/>
          <w:szCs w:val="24"/>
        </w:rPr>
      </w:pPr>
    </w:p>
    <w:p w:rsidR="00517AE1" w:rsidRPr="00940FA2" w:rsidRDefault="00517AE1" w:rsidP="00517AE1">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None of the options explored possess a Welsh functionality. However, we would still be able to meet the required Welsh standards by providing a paper option if requested. </w:t>
      </w:r>
    </w:p>
    <w:p w:rsidR="00517AE1" w:rsidRPr="00940FA2" w:rsidRDefault="003B2048">
      <w:pPr>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This is a piece of work that is</w:t>
      </w:r>
      <w:r w:rsidR="00756AEE">
        <w:rPr>
          <w:rFonts w:ascii="Arial" w:hAnsi="Arial" w:cs="Arial"/>
          <w:color w:val="1F4E79" w:themeColor="accent1" w:themeShade="80"/>
          <w:sz w:val="24"/>
          <w:szCs w:val="24"/>
        </w:rPr>
        <w:t xml:space="preserve"> an ongoing</w:t>
      </w:r>
      <w:bookmarkStart w:id="0" w:name="_GoBack"/>
      <w:bookmarkEnd w:id="0"/>
      <w:r w:rsidRPr="00940FA2">
        <w:rPr>
          <w:rFonts w:ascii="Arial" w:hAnsi="Arial" w:cs="Arial"/>
          <w:color w:val="1F4E79" w:themeColor="accent1" w:themeShade="80"/>
          <w:sz w:val="24"/>
          <w:szCs w:val="24"/>
        </w:rPr>
        <w:t xml:space="preserve"> part of my project portfolio. The desire to ‘move’ the process online will compliment the preferred current working from home </w:t>
      </w:r>
      <w:r w:rsidR="00F21EF2">
        <w:rPr>
          <w:rFonts w:ascii="Arial" w:hAnsi="Arial" w:cs="Arial"/>
          <w:color w:val="1F4E79" w:themeColor="accent1" w:themeShade="80"/>
          <w:sz w:val="24"/>
          <w:szCs w:val="24"/>
        </w:rPr>
        <w:t xml:space="preserve">status. </w:t>
      </w:r>
      <w:r w:rsidR="00F21EF2" w:rsidRPr="00940FA2">
        <w:rPr>
          <w:rFonts w:ascii="Arial" w:hAnsi="Arial" w:cs="Arial"/>
          <w:color w:val="1F4E79" w:themeColor="accent1" w:themeShade="80"/>
          <w:sz w:val="24"/>
          <w:szCs w:val="24"/>
        </w:rPr>
        <w:t>The</w:t>
      </w:r>
      <w:r w:rsidRPr="00940FA2">
        <w:rPr>
          <w:rFonts w:ascii="Arial" w:hAnsi="Arial" w:cs="Arial"/>
          <w:color w:val="1F4E79" w:themeColor="accent1" w:themeShade="80"/>
          <w:sz w:val="24"/>
          <w:szCs w:val="24"/>
        </w:rPr>
        <w:t xml:space="preserve"> roll out of this approach will now be eased by the upskilling of employees driven by the Covid-19 pande</w:t>
      </w:r>
      <w:r w:rsidR="00F21EF2">
        <w:rPr>
          <w:rFonts w:ascii="Arial" w:hAnsi="Arial" w:cs="Arial"/>
          <w:color w:val="1F4E79" w:themeColor="accent1" w:themeShade="80"/>
          <w:sz w:val="24"/>
          <w:szCs w:val="24"/>
        </w:rPr>
        <w:t>mic and the necessity</w:t>
      </w:r>
      <w:r w:rsidRPr="00940FA2">
        <w:rPr>
          <w:rFonts w:ascii="Arial" w:hAnsi="Arial" w:cs="Arial"/>
          <w:color w:val="1F4E79" w:themeColor="accent1" w:themeShade="80"/>
          <w:sz w:val="24"/>
          <w:szCs w:val="24"/>
        </w:rPr>
        <w:t xml:space="preserve"> to effectively use and communicate online. </w:t>
      </w:r>
    </w:p>
    <w:p w:rsidR="00CA1511" w:rsidRPr="00940FA2" w:rsidRDefault="00CA1511">
      <w:pPr>
        <w:rPr>
          <w:rFonts w:ascii="Arial" w:hAnsi="Arial" w:cs="Arial"/>
          <w:b/>
          <w:color w:val="1F4E79" w:themeColor="accent1" w:themeShade="80"/>
          <w:sz w:val="24"/>
          <w:szCs w:val="24"/>
          <w:u w:val="single"/>
        </w:rPr>
      </w:pPr>
    </w:p>
    <w:p w:rsidR="00CA1511" w:rsidRPr="00940FA2" w:rsidRDefault="00CA1511">
      <w:pPr>
        <w:rPr>
          <w:rFonts w:ascii="Arial" w:hAnsi="Arial" w:cs="Arial"/>
          <w:b/>
          <w:color w:val="1F4E79" w:themeColor="accent1" w:themeShade="80"/>
          <w:sz w:val="24"/>
          <w:szCs w:val="24"/>
          <w:u w:val="single"/>
        </w:rPr>
      </w:pPr>
      <w:r w:rsidRPr="00940FA2">
        <w:rPr>
          <w:rFonts w:ascii="Arial" w:hAnsi="Arial" w:cs="Arial"/>
          <w:b/>
          <w:color w:val="1F4E79" w:themeColor="accent1" w:themeShade="80"/>
          <w:sz w:val="24"/>
          <w:szCs w:val="24"/>
          <w:u w:val="single"/>
        </w:rPr>
        <w:t>References &amp; Bibliography</w:t>
      </w:r>
    </w:p>
    <w:p w:rsidR="00CA1511" w:rsidRPr="00940FA2" w:rsidRDefault="00CA1511" w:rsidP="00CA1511">
      <w:pPr>
        <w:spacing w:after="100" w:afterAutospacing="1" w:line="240" w:lineRule="auto"/>
        <w:outlineLvl w:val="1"/>
        <w:rPr>
          <w:rFonts w:ascii="Arial" w:eastAsia="Times New Roman" w:hAnsi="Arial" w:cs="Arial"/>
          <w:color w:val="1F4E79" w:themeColor="accent1" w:themeShade="80"/>
          <w:sz w:val="24"/>
          <w:szCs w:val="24"/>
          <w:lang w:eastAsia="en-GB"/>
        </w:rPr>
      </w:pPr>
      <w:r w:rsidRPr="00940FA2">
        <w:rPr>
          <w:rFonts w:ascii="Arial" w:eastAsia="Times New Roman" w:hAnsi="Arial" w:cs="Arial"/>
          <w:color w:val="1F4E79" w:themeColor="accent1" w:themeShade="80"/>
          <w:sz w:val="24"/>
          <w:szCs w:val="24"/>
          <w:lang w:eastAsia="en-GB"/>
        </w:rPr>
        <w:t>Baker, T. (2013)</w:t>
      </w:r>
      <w:r w:rsidRPr="00940FA2">
        <w:rPr>
          <w:rFonts w:ascii="Arial" w:eastAsia="Times New Roman" w:hAnsi="Arial" w:cs="Arial"/>
          <w:i/>
          <w:color w:val="1F4E79" w:themeColor="accent1" w:themeShade="80"/>
          <w:sz w:val="24"/>
          <w:szCs w:val="24"/>
          <w:lang w:eastAsia="en-GB"/>
        </w:rPr>
        <w:t xml:space="preserve"> The End of the Performance Review. </w:t>
      </w:r>
      <w:r w:rsidRPr="00940FA2">
        <w:rPr>
          <w:rFonts w:ascii="Arial" w:eastAsia="Times New Roman" w:hAnsi="Arial" w:cs="Arial"/>
          <w:color w:val="1F4E79" w:themeColor="accent1" w:themeShade="80"/>
          <w:sz w:val="24"/>
          <w:szCs w:val="24"/>
          <w:lang w:eastAsia="en-GB"/>
        </w:rPr>
        <w:t>Hampshire: Palgrave MacMillan.</w:t>
      </w:r>
    </w:p>
    <w:p w:rsidR="00CA1511" w:rsidRPr="00940FA2" w:rsidRDefault="00CA1511" w:rsidP="00CA1511">
      <w:pPr>
        <w:spacing w:after="100" w:afterAutospacing="1" w:line="240" w:lineRule="auto"/>
        <w:outlineLvl w:val="1"/>
        <w:rPr>
          <w:rFonts w:ascii="Arial" w:eastAsia="Times New Roman" w:hAnsi="Arial" w:cs="Arial"/>
          <w:color w:val="1F4E79" w:themeColor="accent1" w:themeShade="80"/>
          <w:sz w:val="24"/>
          <w:szCs w:val="24"/>
          <w:lang w:eastAsia="en-GB"/>
        </w:rPr>
      </w:pPr>
      <w:r w:rsidRPr="00940FA2">
        <w:rPr>
          <w:rFonts w:ascii="Arial" w:eastAsia="Times New Roman" w:hAnsi="Arial" w:cs="Arial"/>
          <w:color w:val="1F4E79" w:themeColor="accent1" w:themeShade="80"/>
          <w:sz w:val="24"/>
          <w:szCs w:val="24"/>
          <w:lang w:eastAsia="en-GB"/>
        </w:rPr>
        <w:t xml:space="preserve">Bolton, R and Payne, T. (2013) People are the real numbers. HR analytics has come of age KPMG International [Online]. Available at; </w:t>
      </w:r>
      <w:hyperlink r:id="rId5" w:history="1">
        <w:r w:rsidRPr="00940FA2">
          <w:rPr>
            <w:rStyle w:val="Hyperlink"/>
            <w:rFonts w:ascii="Arial" w:eastAsia="Times New Roman" w:hAnsi="Arial" w:cs="Arial"/>
            <w:color w:val="1F4E79" w:themeColor="accent1" w:themeShade="80"/>
            <w:sz w:val="24"/>
            <w:szCs w:val="24"/>
            <w:lang w:eastAsia="en-GB"/>
          </w:rPr>
          <w:t>https://www.kpmg.com/NL/nl/IssuesAndInsights/ArticlesPublications/Documents/PDF/Management-Consulting/People-are-the-real-numbers.pdf</w:t>
        </w:r>
      </w:hyperlink>
      <w:r w:rsidRPr="00940FA2">
        <w:rPr>
          <w:rFonts w:ascii="Arial" w:eastAsia="Times New Roman" w:hAnsi="Arial" w:cs="Arial"/>
          <w:color w:val="1F4E79" w:themeColor="accent1" w:themeShade="80"/>
          <w:sz w:val="24"/>
          <w:szCs w:val="24"/>
          <w:lang w:eastAsia="en-GB"/>
        </w:rPr>
        <w:t xml:space="preserve"> [Accessed 2020].</w:t>
      </w:r>
    </w:p>
    <w:p w:rsidR="00CA1511" w:rsidRPr="00940FA2" w:rsidRDefault="00CA1511" w:rsidP="00CA1511">
      <w:pPr>
        <w:spacing w:after="180" w:line="240" w:lineRule="auto"/>
        <w:ind w:left="450" w:hanging="450"/>
        <w:rPr>
          <w:rFonts w:ascii="Arial" w:eastAsia="Times New Roman" w:hAnsi="Arial" w:cs="Arial"/>
          <w:color w:val="1F4E79" w:themeColor="accent1" w:themeShade="80"/>
          <w:sz w:val="24"/>
          <w:szCs w:val="24"/>
          <w:lang w:eastAsia="en-GB"/>
        </w:rPr>
      </w:pPr>
      <w:r w:rsidRPr="00940FA2">
        <w:rPr>
          <w:rFonts w:ascii="Arial" w:hAnsi="Arial" w:cs="Arial"/>
          <w:color w:val="1F4E79" w:themeColor="accent1" w:themeShade="80"/>
          <w:sz w:val="24"/>
          <w:szCs w:val="24"/>
          <w:shd w:val="clear" w:color="auto" w:fill="FFFFFF"/>
        </w:rPr>
        <w:t>CIPD. (2016). </w:t>
      </w:r>
      <w:r w:rsidRPr="00940FA2">
        <w:rPr>
          <w:rFonts w:ascii="Arial" w:hAnsi="Arial" w:cs="Arial"/>
          <w:i/>
          <w:iCs/>
          <w:color w:val="1F4E79" w:themeColor="accent1" w:themeShade="80"/>
          <w:sz w:val="24"/>
          <w:szCs w:val="24"/>
          <w:shd w:val="clear" w:color="auto" w:fill="FFFFFF"/>
        </w:rPr>
        <w:t xml:space="preserve">Reports Assessing What Works </w:t>
      </w:r>
      <w:proofErr w:type="gramStart"/>
      <w:r w:rsidRPr="00940FA2">
        <w:rPr>
          <w:rFonts w:ascii="Arial" w:hAnsi="Arial" w:cs="Arial"/>
          <w:i/>
          <w:iCs/>
          <w:color w:val="1F4E79" w:themeColor="accent1" w:themeShade="80"/>
          <w:sz w:val="24"/>
          <w:szCs w:val="24"/>
          <w:shd w:val="clear" w:color="auto" w:fill="FFFFFF"/>
        </w:rPr>
        <w:t>In</w:t>
      </w:r>
      <w:proofErr w:type="gramEnd"/>
      <w:r w:rsidRPr="00940FA2">
        <w:rPr>
          <w:rFonts w:ascii="Arial" w:hAnsi="Arial" w:cs="Arial"/>
          <w:i/>
          <w:iCs/>
          <w:color w:val="1F4E79" w:themeColor="accent1" w:themeShade="80"/>
          <w:sz w:val="24"/>
          <w:szCs w:val="24"/>
          <w:shd w:val="clear" w:color="auto" w:fill="FFFFFF"/>
        </w:rPr>
        <w:t xml:space="preserve"> Performance Appraisals Dec 2016</w:t>
      </w:r>
      <w:r w:rsidRPr="00940FA2">
        <w:rPr>
          <w:rFonts w:ascii="Arial" w:hAnsi="Arial" w:cs="Arial"/>
          <w:color w:val="1F4E79" w:themeColor="accent1" w:themeShade="80"/>
          <w:sz w:val="24"/>
          <w:szCs w:val="24"/>
        </w:rPr>
        <w:t xml:space="preserve"> </w:t>
      </w:r>
      <w:hyperlink r:id="rId6" w:history="1">
        <w:r w:rsidRPr="00940FA2">
          <w:rPr>
            <w:rFonts w:ascii="Arial" w:hAnsi="Arial" w:cs="Arial"/>
            <w:color w:val="1F4E79" w:themeColor="accent1" w:themeShade="80"/>
            <w:sz w:val="24"/>
            <w:szCs w:val="24"/>
            <w:u w:val="single"/>
          </w:rPr>
          <w:t>https://www.cipd.co.uk/knowledge/fundamentals/people/performance/what-works-in-performance-management-report</w:t>
        </w:r>
      </w:hyperlink>
      <w:r w:rsidRPr="00940FA2">
        <w:rPr>
          <w:rFonts w:ascii="Arial" w:hAnsi="Arial" w:cs="Arial"/>
          <w:color w:val="1F4E79" w:themeColor="accent1" w:themeShade="80"/>
          <w:sz w:val="24"/>
          <w:szCs w:val="24"/>
        </w:rPr>
        <w:t xml:space="preserve"> [Accessed 20 July</w:t>
      </w:r>
      <w:r w:rsidRPr="00940FA2">
        <w:rPr>
          <w:rFonts w:ascii="Arial" w:hAnsi="Arial" w:cs="Arial"/>
          <w:color w:val="1F4E79" w:themeColor="accent1" w:themeShade="80"/>
          <w:sz w:val="24"/>
          <w:szCs w:val="24"/>
        </w:rPr>
        <w:t xml:space="preserve"> 2020].</w:t>
      </w:r>
    </w:p>
    <w:p w:rsidR="00CA1511" w:rsidRPr="00940FA2" w:rsidRDefault="00CA1511" w:rsidP="00CA1511">
      <w:pPr>
        <w:spacing w:after="180" w:line="240" w:lineRule="auto"/>
        <w:ind w:left="450" w:hanging="450"/>
        <w:rPr>
          <w:rFonts w:ascii="Arial" w:hAnsi="Arial" w:cs="Arial"/>
          <w:color w:val="1F4E79" w:themeColor="accent1" w:themeShade="80"/>
          <w:sz w:val="24"/>
          <w:szCs w:val="24"/>
        </w:rPr>
      </w:pPr>
      <w:r w:rsidRPr="00940FA2">
        <w:rPr>
          <w:rStyle w:val="selectable"/>
          <w:rFonts w:ascii="Arial" w:hAnsi="Arial" w:cs="Arial"/>
          <w:color w:val="1F4E79" w:themeColor="accent1" w:themeShade="80"/>
          <w:sz w:val="24"/>
          <w:szCs w:val="24"/>
          <w:shd w:val="clear" w:color="auto" w:fill="FFFFFF"/>
        </w:rPr>
        <w:lastRenderedPageBreak/>
        <w:t>CIPD, (2017a). </w:t>
      </w:r>
      <w:r w:rsidRPr="00940FA2">
        <w:rPr>
          <w:rStyle w:val="selectable"/>
          <w:rFonts w:ascii="Arial" w:hAnsi="Arial" w:cs="Arial"/>
          <w:i/>
          <w:iCs/>
          <w:color w:val="1F4E79" w:themeColor="accent1" w:themeShade="80"/>
          <w:sz w:val="24"/>
          <w:szCs w:val="24"/>
          <w:shd w:val="clear" w:color="auto" w:fill="FFFFFF"/>
        </w:rPr>
        <w:t>Strength Based Conversations</w:t>
      </w:r>
      <w:r w:rsidRPr="00940FA2">
        <w:rPr>
          <w:rStyle w:val="selectable"/>
          <w:rFonts w:ascii="Arial" w:hAnsi="Arial" w:cs="Arial"/>
          <w:color w:val="1F4E79" w:themeColor="accent1" w:themeShade="80"/>
          <w:sz w:val="24"/>
          <w:szCs w:val="24"/>
          <w:shd w:val="clear" w:color="auto" w:fill="FFFFFF"/>
        </w:rPr>
        <w:t>.</w:t>
      </w:r>
      <w:r w:rsidRPr="00940FA2">
        <w:rPr>
          <w:rFonts w:ascii="Arial" w:hAnsi="Arial" w:cs="Arial"/>
          <w:color w:val="1F4E79" w:themeColor="accent1" w:themeShade="80"/>
          <w:sz w:val="24"/>
          <w:szCs w:val="24"/>
        </w:rPr>
        <w:t xml:space="preserve"> [Online] Available at: </w:t>
      </w:r>
      <w:hyperlink r:id="rId7" w:history="1">
        <w:r w:rsidRPr="00940FA2">
          <w:rPr>
            <w:rFonts w:ascii="Arial" w:hAnsi="Arial" w:cs="Arial"/>
            <w:color w:val="1F4E79" w:themeColor="accent1" w:themeShade="80"/>
            <w:sz w:val="24"/>
            <w:szCs w:val="24"/>
            <w:u w:val="single"/>
          </w:rPr>
          <w:t>https://www.cipd.co.uk/knowledge/fundamentals/people/performance/strengths-based-conversations</w:t>
        </w:r>
      </w:hyperlink>
      <w:r w:rsidRPr="00940FA2">
        <w:rPr>
          <w:rFonts w:ascii="Arial" w:hAnsi="Arial" w:cs="Arial"/>
          <w:color w:val="1F4E79" w:themeColor="accent1" w:themeShade="80"/>
          <w:sz w:val="24"/>
          <w:szCs w:val="24"/>
        </w:rPr>
        <w:t xml:space="preserve"> [Accessed </w:t>
      </w:r>
      <w:r w:rsidRPr="00940FA2">
        <w:rPr>
          <w:rFonts w:ascii="Arial" w:hAnsi="Arial" w:cs="Arial"/>
          <w:color w:val="1F4E79" w:themeColor="accent1" w:themeShade="80"/>
          <w:sz w:val="24"/>
          <w:szCs w:val="24"/>
        </w:rPr>
        <w:t>20 July</w:t>
      </w:r>
      <w:r w:rsidRPr="00940FA2">
        <w:rPr>
          <w:rFonts w:ascii="Arial" w:hAnsi="Arial" w:cs="Arial"/>
          <w:color w:val="1F4E79" w:themeColor="accent1" w:themeShade="80"/>
          <w:sz w:val="24"/>
          <w:szCs w:val="24"/>
        </w:rPr>
        <w:t xml:space="preserve"> 2020].</w:t>
      </w:r>
    </w:p>
    <w:p w:rsidR="00CA1511" w:rsidRPr="00940FA2" w:rsidRDefault="00CA1511" w:rsidP="00CA1511">
      <w:pPr>
        <w:spacing w:after="180" w:line="240" w:lineRule="auto"/>
        <w:ind w:left="450" w:hanging="450"/>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 xml:space="preserve">CIPD, (2017b). </w:t>
      </w:r>
      <w:r w:rsidRPr="00940FA2">
        <w:rPr>
          <w:rFonts w:ascii="Arial" w:hAnsi="Arial" w:cs="Arial"/>
          <w:i/>
          <w:color w:val="1F4E79" w:themeColor="accent1" w:themeShade="80"/>
          <w:sz w:val="24"/>
          <w:szCs w:val="24"/>
        </w:rPr>
        <w:t>Strength in numbers: what’s new in performance management?</w:t>
      </w:r>
      <w:r w:rsidRPr="00940FA2">
        <w:rPr>
          <w:rFonts w:ascii="Arial" w:hAnsi="Arial" w:cs="Arial"/>
          <w:color w:val="1F4E79" w:themeColor="accent1" w:themeShade="80"/>
          <w:sz w:val="24"/>
          <w:szCs w:val="24"/>
        </w:rPr>
        <w:t xml:space="preserve"> Podcast. Available at </w:t>
      </w:r>
      <w:hyperlink r:id="rId8" w:history="1">
        <w:r w:rsidRPr="00940FA2">
          <w:rPr>
            <w:rFonts w:ascii="Arial" w:hAnsi="Arial" w:cs="Arial"/>
            <w:color w:val="1F4E79" w:themeColor="accent1" w:themeShade="80"/>
            <w:sz w:val="24"/>
            <w:szCs w:val="24"/>
            <w:u w:val="single"/>
          </w:rPr>
          <w:t>https://www.cipd.co.uk/podcasts/performance-management</w:t>
        </w:r>
      </w:hyperlink>
      <w:r w:rsidRPr="00940FA2">
        <w:rPr>
          <w:rFonts w:ascii="Arial" w:hAnsi="Arial" w:cs="Arial"/>
          <w:color w:val="1F4E79" w:themeColor="accent1" w:themeShade="80"/>
          <w:sz w:val="24"/>
          <w:szCs w:val="24"/>
        </w:rPr>
        <w:t xml:space="preserve"> [Accessed July</w:t>
      </w:r>
      <w:r w:rsidRPr="00940FA2">
        <w:rPr>
          <w:rFonts w:ascii="Arial" w:hAnsi="Arial" w:cs="Arial"/>
          <w:color w:val="1F4E79" w:themeColor="accent1" w:themeShade="80"/>
          <w:sz w:val="24"/>
          <w:szCs w:val="24"/>
        </w:rPr>
        <w:t xml:space="preserve"> 2020].</w:t>
      </w:r>
    </w:p>
    <w:p w:rsidR="00364F8D" w:rsidRPr="00940FA2" w:rsidRDefault="00364F8D" w:rsidP="00364F8D">
      <w:pPr>
        <w:spacing w:after="180" w:line="240" w:lineRule="auto"/>
        <w:rPr>
          <w:rFonts w:ascii="Arial" w:hAnsi="Arial" w:cs="Arial"/>
          <w:color w:val="1F4E79" w:themeColor="accent1" w:themeShade="80"/>
          <w:sz w:val="24"/>
          <w:szCs w:val="24"/>
        </w:rPr>
      </w:pPr>
      <w:r w:rsidRPr="00940FA2">
        <w:rPr>
          <w:rFonts w:ascii="Arial" w:hAnsi="Arial" w:cs="Arial"/>
          <w:color w:val="1F4E79" w:themeColor="accent1" w:themeShade="80"/>
          <w:sz w:val="24"/>
          <w:szCs w:val="24"/>
        </w:rPr>
        <w:t>CIPD (2020b).</w:t>
      </w:r>
      <w:r w:rsidRPr="00940FA2">
        <w:rPr>
          <w:rFonts w:ascii="Arial" w:hAnsi="Arial" w:cs="Arial"/>
          <w:i/>
          <w:color w:val="1F4E79" w:themeColor="accent1" w:themeShade="80"/>
          <w:sz w:val="24"/>
          <w:szCs w:val="24"/>
        </w:rPr>
        <w:t xml:space="preserve">People Analytics. </w:t>
      </w:r>
      <w:r w:rsidRPr="00940FA2">
        <w:rPr>
          <w:rFonts w:ascii="Arial" w:eastAsia="Times New Roman" w:hAnsi="Arial" w:cs="Arial"/>
          <w:iCs/>
          <w:color w:val="1F4E79" w:themeColor="accent1" w:themeShade="80"/>
          <w:sz w:val="24"/>
          <w:szCs w:val="24"/>
          <w:lang w:eastAsia="en-GB"/>
        </w:rPr>
        <w:t xml:space="preserve">Factsheets CIPD. [Online] Available at </w:t>
      </w:r>
      <w:hyperlink r:id="rId9" w:history="1">
        <w:r w:rsidRPr="00940FA2">
          <w:rPr>
            <w:rFonts w:ascii="Arial" w:hAnsi="Arial" w:cs="Arial"/>
            <w:color w:val="1F4E79" w:themeColor="accent1" w:themeShade="80"/>
            <w:sz w:val="24"/>
            <w:szCs w:val="24"/>
            <w:u w:val="single"/>
          </w:rPr>
          <w:t>https://www.cipd.co.uk/knowledge/strategy/analytics/factsheet</w:t>
        </w:r>
      </w:hyperlink>
      <w:r w:rsidRPr="00940FA2">
        <w:rPr>
          <w:rFonts w:ascii="Arial" w:hAnsi="Arial" w:cs="Arial"/>
          <w:color w:val="1F4E79" w:themeColor="accent1" w:themeShade="80"/>
          <w:sz w:val="24"/>
          <w:szCs w:val="24"/>
        </w:rPr>
        <w:t xml:space="preserve"> [Accessed July</w:t>
      </w:r>
      <w:r w:rsidRPr="00940FA2">
        <w:rPr>
          <w:rFonts w:ascii="Arial" w:hAnsi="Arial" w:cs="Arial"/>
          <w:color w:val="1F4E79" w:themeColor="accent1" w:themeShade="80"/>
          <w:sz w:val="24"/>
          <w:szCs w:val="24"/>
        </w:rPr>
        <w:t xml:space="preserve"> 2020]</w:t>
      </w:r>
    </w:p>
    <w:p w:rsidR="00364F8D" w:rsidRPr="00940FA2" w:rsidRDefault="00364F8D" w:rsidP="00364F8D">
      <w:pPr>
        <w:spacing w:after="180" w:line="240" w:lineRule="auto"/>
        <w:rPr>
          <w:rFonts w:ascii="Arial" w:hAnsi="Arial" w:cs="Arial"/>
          <w:color w:val="1F4E79" w:themeColor="accent1" w:themeShade="80"/>
          <w:sz w:val="24"/>
          <w:szCs w:val="24"/>
          <w:shd w:val="clear" w:color="auto" w:fill="FFFFFF"/>
        </w:rPr>
      </w:pPr>
      <w:r w:rsidRPr="00940FA2">
        <w:rPr>
          <w:rFonts w:ascii="Arial" w:hAnsi="Arial" w:cs="Arial"/>
          <w:color w:val="1F4E79" w:themeColor="accent1" w:themeShade="80"/>
          <w:sz w:val="24"/>
          <w:szCs w:val="24"/>
          <w:shd w:val="clear" w:color="auto" w:fill="FFFFFF"/>
        </w:rPr>
        <w:t>Mindgym.2016. </w:t>
      </w:r>
      <w:r w:rsidRPr="00940FA2">
        <w:rPr>
          <w:rFonts w:ascii="Arial" w:hAnsi="Arial" w:cs="Arial"/>
          <w:i/>
          <w:iCs/>
          <w:color w:val="1F4E79" w:themeColor="accent1" w:themeShade="80"/>
          <w:sz w:val="24"/>
          <w:szCs w:val="24"/>
          <w:shd w:val="clear" w:color="auto" w:fill="FFFFFF"/>
        </w:rPr>
        <w:t xml:space="preserve">Reinventing Performance Management. </w:t>
      </w:r>
      <w:r w:rsidRPr="00940FA2">
        <w:rPr>
          <w:rFonts w:ascii="Arial" w:hAnsi="Arial" w:cs="Arial"/>
          <w:iCs/>
          <w:color w:val="1F4E79" w:themeColor="accent1" w:themeShade="80"/>
          <w:sz w:val="24"/>
          <w:szCs w:val="24"/>
          <w:shd w:val="clear" w:color="auto" w:fill="FFFFFF"/>
        </w:rPr>
        <w:t>Mind Gym</w:t>
      </w:r>
      <w:r w:rsidRPr="00940FA2">
        <w:rPr>
          <w:rFonts w:ascii="Arial" w:hAnsi="Arial" w:cs="Arial"/>
          <w:color w:val="1F4E79" w:themeColor="accent1" w:themeShade="80"/>
          <w:sz w:val="24"/>
          <w:szCs w:val="24"/>
          <w:shd w:val="clear" w:color="auto" w:fill="FFFFFF"/>
        </w:rPr>
        <w:t>. [Online] Available at: &lt;https://uk.themindgym.com/resources/reinventing-performanc</w:t>
      </w:r>
      <w:r w:rsidRPr="00940FA2">
        <w:rPr>
          <w:rFonts w:ascii="Arial" w:hAnsi="Arial" w:cs="Arial"/>
          <w:color w:val="1F4E79" w:themeColor="accent1" w:themeShade="80"/>
          <w:sz w:val="24"/>
          <w:szCs w:val="24"/>
          <w:shd w:val="clear" w:color="auto" w:fill="FFFFFF"/>
        </w:rPr>
        <w:t>e-management/&gt; [Accessed July</w:t>
      </w:r>
      <w:r w:rsidRPr="00940FA2">
        <w:rPr>
          <w:rFonts w:ascii="Arial" w:hAnsi="Arial" w:cs="Arial"/>
          <w:color w:val="1F4E79" w:themeColor="accent1" w:themeShade="80"/>
          <w:sz w:val="24"/>
          <w:szCs w:val="24"/>
          <w:shd w:val="clear" w:color="auto" w:fill="FFFFFF"/>
        </w:rPr>
        <w:t xml:space="preserve"> 2020].</w:t>
      </w:r>
    </w:p>
    <w:p w:rsidR="00364F8D" w:rsidRPr="00940FA2" w:rsidRDefault="00364F8D" w:rsidP="00364F8D">
      <w:pPr>
        <w:rPr>
          <w:rStyle w:val="selectable"/>
          <w:rFonts w:ascii="Arial" w:hAnsi="Arial" w:cs="Arial"/>
          <w:color w:val="1F4E79" w:themeColor="accent1" w:themeShade="80"/>
          <w:sz w:val="24"/>
          <w:szCs w:val="24"/>
          <w:shd w:val="clear" w:color="auto" w:fill="FFFFFF"/>
        </w:rPr>
      </w:pPr>
      <w:r w:rsidRPr="00940FA2">
        <w:rPr>
          <w:rStyle w:val="selectable"/>
          <w:rFonts w:ascii="Arial" w:hAnsi="Arial" w:cs="Arial"/>
          <w:color w:val="1F4E79" w:themeColor="accent1" w:themeShade="80"/>
          <w:sz w:val="24"/>
          <w:szCs w:val="24"/>
          <w:shd w:val="clear" w:color="auto" w:fill="FFFFFF"/>
        </w:rPr>
        <w:t xml:space="preserve">Taylor, S. and </w:t>
      </w:r>
      <w:proofErr w:type="spellStart"/>
      <w:r w:rsidRPr="00940FA2">
        <w:rPr>
          <w:rStyle w:val="selectable"/>
          <w:rFonts w:ascii="Arial" w:hAnsi="Arial" w:cs="Arial"/>
          <w:color w:val="1F4E79" w:themeColor="accent1" w:themeShade="80"/>
          <w:sz w:val="24"/>
          <w:szCs w:val="24"/>
          <w:shd w:val="clear" w:color="auto" w:fill="FFFFFF"/>
        </w:rPr>
        <w:t>Woodhams</w:t>
      </w:r>
      <w:proofErr w:type="spellEnd"/>
      <w:r w:rsidRPr="00940FA2">
        <w:rPr>
          <w:rStyle w:val="selectable"/>
          <w:rFonts w:ascii="Arial" w:hAnsi="Arial" w:cs="Arial"/>
          <w:color w:val="1F4E79" w:themeColor="accent1" w:themeShade="80"/>
          <w:sz w:val="24"/>
          <w:szCs w:val="24"/>
          <w:shd w:val="clear" w:color="auto" w:fill="FFFFFF"/>
        </w:rPr>
        <w:t>, C. (2016)</w:t>
      </w:r>
      <w:r w:rsidRPr="00940FA2">
        <w:rPr>
          <w:rStyle w:val="selectable"/>
          <w:rFonts w:ascii="Arial" w:hAnsi="Arial" w:cs="Arial"/>
          <w:i/>
          <w:color w:val="1F4E79" w:themeColor="accent1" w:themeShade="80"/>
          <w:sz w:val="24"/>
          <w:szCs w:val="24"/>
          <w:shd w:val="clear" w:color="auto" w:fill="FFFFFF"/>
        </w:rPr>
        <w:t xml:space="preserve"> Human Resource Management: People and Organisations.</w:t>
      </w:r>
      <w:r w:rsidRPr="00940FA2">
        <w:rPr>
          <w:rStyle w:val="selectable"/>
          <w:rFonts w:ascii="Arial" w:hAnsi="Arial" w:cs="Arial"/>
          <w:color w:val="1F4E79" w:themeColor="accent1" w:themeShade="80"/>
          <w:sz w:val="24"/>
          <w:szCs w:val="24"/>
          <w:shd w:val="clear" w:color="auto" w:fill="FFFFFF"/>
        </w:rPr>
        <w:t>2</w:t>
      </w:r>
      <w:r w:rsidRPr="00940FA2">
        <w:rPr>
          <w:rStyle w:val="selectable"/>
          <w:rFonts w:ascii="Arial" w:hAnsi="Arial" w:cs="Arial"/>
          <w:color w:val="1F4E79" w:themeColor="accent1" w:themeShade="80"/>
          <w:sz w:val="24"/>
          <w:szCs w:val="24"/>
          <w:shd w:val="clear" w:color="auto" w:fill="FFFFFF"/>
          <w:vertAlign w:val="superscript"/>
        </w:rPr>
        <w:t>nd</w:t>
      </w:r>
      <w:r w:rsidRPr="00940FA2">
        <w:rPr>
          <w:rStyle w:val="selectable"/>
          <w:rFonts w:ascii="Arial" w:hAnsi="Arial" w:cs="Arial"/>
          <w:color w:val="1F4E79" w:themeColor="accent1" w:themeShade="80"/>
          <w:sz w:val="24"/>
          <w:szCs w:val="24"/>
          <w:shd w:val="clear" w:color="auto" w:fill="FFFFFF"/>
        </w:rPr>
        <w:t xml:space="preserve"> </w:t>
      </w:r>
      <w:proofErr w:type="spellStart"/>
      <w:r w:rsidRPr="00940FA2">
        <w:rPr>
          <w:rStyle w:val="selectable"/>
          <w:rFonts w:ascii="Arial" w:hAnsi="Arial" w:cs="Arial"/>
          <w:color w:val="1F4E79" w:themeColor="accent1" w:themeShade="80"/>
          <w:sz w:val="24"/>
          <w:szCs w:val="24"/>
          <w:shd w:val="clear" w:color="auto" w:fill="FFFFFF"/>
        </w:rPr>
        <w:t>edn</w:t>
      </w:r>
      <w:proofErr w:type="spellEnd"/>
      <w:r w:rsidRPr="00940FA2">
        <w:rPr>
          <w:rStyle w:val="selectable"/>
          <w:rFonts w:ascii="Arial" w:hAnsi="Arial" w:cs="Arial"/>
          <w:color w:val="1F4E79" w:themeColor="accent1" w:themeShade="80"/>
          <w:sz w:val="24"/>
          <w:szCs w:val="24"/>
          <w:shd w:val="clear" w:color="auto" w:fill="FFFFFF"/>
        </w:rPr>
        <w:t>. London: CIPD.</w:t>
      </w:r>
    </w:p>
    <w:p w:rsidR="00364F8D" w:rsidRPr="00940FA2" w:rsidRDefault="00364F8D" w:rsidP="00364F8D">
      <w:pPr>
        <w:rPr>
          <w:rFonts w:ascii="Arial" w:hAnsi="Arial" w:cs="Arial"/>
          <w:color w:val="1F4E79" w:themeColor="accent1" w:themeShade="80"/>
          <w:sz w:val="24"/>
          <w:szCs w:val="24"/>
        </w:rPr>
      </w:pPr>
      <w:r w:rsidRPr="00940FA2">
        <w:rPr>
          <w:rStyle w:val="selectable"/>
          <w:rFonts w:ascii="Arial" w:hAnsi="Arial" w:cs="Arial"/>
          <w:color w:val="1F4E79" w:themeColor="accent1" w:themeShade="80"/>
          <w:sz w:val="24"/>
          <w:szCs w:val="24"/>
          <w:shd w:val="clear" w:color="auto" w:fill="FFFFFF"/>
        </w:rPr>
        <w:t xml:space="preserve">Torrington, D. Hall, A. Taylor, S. (2008). </w:t>
      </w:r>
      <w:r w:rsidRPr="00940FA2">
        <w:rPr>
          <w:rStyle w:val="selectable"/>
          <w:rFonts w:ascii="Arial" w:hAnsi="Arial" w:cs="Arial"/>
          <w:i/>
          <w:color w:val="1F4E79" w:themeColor="accent1" w:themeShade="80"/>
          <w:sz w:val="24"/>
          <w:szCs w:val="24"/>
          <w:shd w:val="clear" w:color="auto" w:fill="FFFFFF"/>
        </w:rPr>
        <w:t>Human Resource Management.</w:t>
      </w:r>
      <w:r w:rsidRPr="00940FA2">
        <w:rPr>
          <w:rStyle w:val="selectable"/>
          <w:rFonts w:ascii="Arial" w:hAnsi="Arial" w:cs="Arial"/>
          <w:color w:val="1F4E79" w:themeColor="accent1" w:themeShade="80"/>
          <w:sz w:val="24"/>
          <w:szCs w:val="24"/>
          <w:shd w:val="clear" w:color="auto" w:fill="FFFFFF"/>
        </w:rPr>
        <w:t xml:space="preserve"> 7</w:t>
      </w:r>
      <w:r w:rsidRPr="00940FA2">
        <w:rPr>
          <w:rStyle w:val="selectable"/>
          <w:rFonts w:ascii="Arial" w:hAnsi="Arial" w:cs="Arial"/>
          <w:color w:val="1F4E79" w:themeColor="accent1" w:themeShade="80"/>
          <w:sz w:val="24"/>
          <w:szCs w:val="24"/>
          <w:shd w:val="clear" w:color="auto" w:fill="FFFFFF"/>
          <w:vertAlign w:val="superscript"/>
        </w:rPr>
        <w:t>th</w:t>
      </w:r>
      <w:r w:rsidRPr="00940FA2">
        <w:rPr>
          <w:rStyle w:val="selectable"/>
          <w:rFonts w:ascii="Arial" w:hAnsi="Arial" w:cs="Arial"/>
          <w:color w:val="1F4E79" w:themeColor="accent1" w:themeShade="80"/>
          <w:sz w:val="24"/>
          <w:szCs w:val="24"/>
          <w:shd w:val="clear" w:color="auto" w:fill="FFFFFF"/>
        </w:rPr>
        <w:t xml:space="preserve"> </w:t>
      </w:r>
      <w:proofErr w:type="spellStart"/>
      <w:r w:rsidRPr="00940FA2">
        <w:rPr>
          <w:rStyle w:val="selectable"/>
          <w:rFonts w:ascii="Arial" w:hAnsi="Arial" w:cs="Arial"/>
          <w:color w:val="1F4E79" w:themeColor="accent1" w:themeShade="80"/>
          <w:sz w:val="24"/>
          <w:szCs w:val="24"/>
          <w:shd w:val="clear" w:color="auto" w:fill="FFFFFF"/>
        </w:rPr>
        <w:t>edn</w:t>
      </w:r>
      <w:proofErr w:type="spellEnd"/>
      <w:r w:rsidRPr="00940FA2">
        <w:rPr>
          <w:rStyle w:val="selectable"/>
          <w:rFonts w:ascii="Arial" w:hAnsi="Arial" w:cs="Arial"/>
          <w:color w:val="1F4E79" w:themeColor="accent1" w:themeShade="80"/>
          <w:sz w:val="24"/>
          <w:szCs w:val="24"/>
          <w:shd w:val="clear" w:color="auto" w:fill="FFFFFF"/>
        </w:rPr>
        <w:t>. England: Prentice Hall.</w:t>
      </w:r>
    </w:p>
    <w:p w:rsidR="00CA1511" w:rsidRPr="00940FA2" w:rsidRDefault="00CA1511">
      <w:pPr>
        <w:rPr>
          <w:rFonts w:ascii="Arial" w:hAnsi="Arial" w:cs="Arial"/>
          <w:b/>
          <w:color w:val="1F4E79" w:themeColor="accent1" w:themeShade="80"/>
          <w:sz w:val="24"/>
          <w:szCs w:val="24"/>
          <w:u w:val="single"/>
        </w:rPr>
      </w:pPr>
    </w:p>
    <w:sectPr w:rsidR="00CA1511" w:rsidRPr="00940F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D290F"/>
    <w:multiLevelType w:val="hybridMultilevel"/>
    <w:tmpl w:val="28048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940A71"/>
    <w:multiLevelType w:val="multilevel"/>
    <w:tmpl w:val="71AC7220"/>
    <w:lvl w:ilvl="0">
      <w:start w:val="1"/>
      <w:numFmt w:val="bullet"/>
      <w:lvlText w:val=""/>
      <w:lvlJc w:val="left"/>
      <w:pPr>
        <w:ind w:left="502" w:hanging="360"/>
      </w:pPr>
      <w:rPr>
        <w:rFonts w:ascii="Wingdings" w:hAnsi="Wingding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2" w15:restartNumberingAfterBreak="0">
    <w:nsid w:val="64FC5CE9"/>
    <w:multiLevelType w:val="hybridMultilevel"/>
    <w:tmpl w:val="38DC9C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2A"/>
    <w:rsid w:val="0034672A"/>
    <w:rsid w:val="00364F8D"/>
    <w:rsid w:val="003B2048"/>
    <w:rsid w:val="00517AE1"/>
    <w:rsid w:val="005F7736"/>
    <w:rsid w:val="00756AEE"/>
    <w:rsid w:val="00940FA2"/>
    <w:rsid w:val="009876D4"/>
    <w:rsid w:val="009C6F56"/>
    <w:rsid w:val="00CA1511"/>
    <w:rsid w:val="00EA1265"/>
    <w:rsid w:val="00F21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33CEC"/>
  <w15:chartTrackingRefBased/>
  <w15:docId w15:val="{C54A573C-CBCF-449D-856D-43448ACA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A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7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7AE1"/>
    <w:pPr>
      <w:ind w:left="720"/>
      <w:contextualSpacing/>
    </w:pPr>
  </w:style>
  <w:style w:type="character" w:customStyle="1" w:styleId="selectable">
    <w:name w:val="selectable"/>
    <w:basedOn w:val="DefaultParagraphFont"/>
    <w:rsid w:val="00CA1511"/>
  </w:style>
  <w:style w:type="character" w:styleId="Hyperlink">
    <w:name w:val="Hyperlink"/>
    <w:basedOn w:val="DefaultParagraphFont"/>
    <w:uiPriority w:val="99"/>
    <w:unhideWhenUsed/>
    <w:rsid w:val="00CA15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podcasts/performance-management" TargetMode="External"/><Relationship Id="rId3" Type="http://schemas.openxmlformats.org/officeDocument/2006/relationships/settings" Target="settings.xml"/><Relationship Id="rId7" Type="http://schemas.openxmlformats.org/officeDocument/2006/relationships/hyperlink" Target="https://www.cipd.co.uk/knowledge/fundamentals/people/performance/strengths-based-convers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fundamentals/people/performance/what-works-in-performance-management-report" TargetMode="External"/><Relationship Id="rId11" Type="http://schemas.openxmlformats.org/officeDocument/2006/relationships/theme" Target="theme/theme1.xml"/><Relationship Id="rId5" Type="http://schemas.openxmlformats.org/officeDocument/2006/relationships/hyperlink" Target="https://www.kpmg.com/NL/nl/IssuesAndInsights/ArticlesPublications/Documents/PDF/Management-Consulting/People-are-the-real-numbers.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strategy/analytic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Wendy</dc:creator>
  <cp:keywords/>
  <dc:description/>
  <cp:lastModifiedBy>Harris, Wendy</cp:lastModifiedBy>
  <cp:revision>5</cp:revision>
  <dcterms:created xsi:type="dcterms:W3CDTF">2020-07-20T11:49:00Z</dcterms:created>
  <dcterms:modified xsi:type="dcterms:W3CDTF">2020-07-20T13:26:00Z</dcterms:modified>
</cp:coreProperties>
</file>