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A60096" w14:textId="77777777" w:rsidR="00A9373B" w:rsidRPr="00FE4664" w:rsidRDefault="00000000">
      <w:pPr>
        <w:jc w:val="right"/>
        <w:rPr>
          <w:rFonts w:ascii="Arial" w:hAnsi="Arial" w:cs="Arial"/>
        </w:rPr>
      </w:pPr>
      <w:r w:rsidRPr="00FE4664">
        <w:rPr>
          <w:rFonts w:ascii="Arial" w:hAnsi="Arial" w:cs="Arial"/>
          <w:i/>
          <w:color w:val="5A738E"/>
          <w:sz w:val="20"/>
        </w:rPr>
        <w:t>IT CONSULTING REPORT | STRATEGIC TRANSFORMATION PROPOSAL</w:t>
      </w:r>
      <w:r w:rsidRPr="00FE4664">
        <w:rPr>
          <w:rFonts w:ascii="Arial" w:hAnsi="Arial" w:cs="Arial"/>
          <w:i/>
          <w:color w:val="5A738E"/>
          <w:sz w:val="20"/>
        </w:rPr>
        <w:br/>
        <w:t>Prepared for: Maldiva Ltd.</w:t>
      </w:r>
      <w:r w:rsidRPr="00FE4664">
        <w:rPr>
          <w:rFonts w:ascii="Arial" w:hAnsi="Arial" w:cs="Arial"/>
          <w:i/>
          <w:color w:val="5A738E"/>
          <w:sz w:val="20"/>
        </w:rPr>
        <w:br/>
        <w:t>Date: July 2026</w:t>
      </w:r>
    </w:p>
    <w:p w14:paraId="237158FB" w14:textId="77777777" w:rsidR="00A9373B" w:rsidRPr="00FE4664" w:rsidRDefault="00000000">
      <w:pPr>
        <w:spacing w:before="720" w:after="480"/>
        <w:rPr>
          <w:rFonts w:ascii="Arial" w:hAnsi="Arial" w:cs="Arial"/>
          <w:sz w:val="40"/>
          <w:szCs w:val="40"/>
        </w:rPr>
      </w:pPr>
      <w:r w:rsidRPr="00FE4664">
        <w:rPr>
          <w:rFonts w:ascii="Arial" w:hAnsi="Arial" w:cs="Arial"/>
          <w:b/>
          <w:color w:val="1F4E79"/>
          <w:sz w:val="40"/>
          <w:szCs w:val="40"/>
        </w:rPr>
        <w:t>PROPOSAL FOR ENTERPRISE INFORMATION SYSTEMS TRANSFORMATION</w:t>
      </w:r>
    </w:p>
    <w:p w14:paraId="4E6F4A88" w14:textId="77777777" w:rsidR="00A9373B" w:rsidRPr="00FE4664" w:rsidRDefault="00000000">
      <w:pPr>
        <w:keepNext/>
        <w:spacing w:before="360" w:after="120"/>
        <w:rPr>
          <w:rFonts w:ascii="Arial" w:hAnsi="Arial" w:cs="Arial"/>
        </w:rPr>
      </w:pPr>
      <w:r w:rsidRPr="00FE4664">
        <w:rPr>
          <w:rFonts w:ascii="Arial" w:hAnsi="Arial" w:cs="Arial"/>
          <w:b/>
          <w:color w:val="1F4E79"/>
          <w:sz w:val="32"/>
        </w:rPr>
        <w:t>Executive Summary</w:t>
      </w:r>
    </w:p>
    <w:p w14:paraId="1E8B29D6"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Maldiva Ltd. is experiencing rapid business growth across its 30 physical retail stores and digital e-commerce platform. However, this scaling has strained its legacy, fragmented information systems architecture, causing severe operational risks. Key deficiencies include multi-day inventory sync latency resulting in customer order stockouts, fragmented and localized customer data silos, slow and error-prone manual spreadsheet financial reporting, and non-compliance with the General Data Protection Regulation (GDPR) due to absent access controls.</w:t>
      </w:r>
    </w:p>
    <w:p w14:paraId="5BD0B5D5" w14:textId="77777777" w:rsidR="00A9373B" w:rsidRPr="00FE4664" w:rsidRDefault="00000000" w:rsidP="00FE4664">
      <w:pPr>
        <w:spacing w:after="120" w:line="360" w:lineRule="auto"/>
        <w:jc w:val="both"/>
        <w:rPr>
          <w:rFonts w:ascii="Arial" w:hAnsi="Arial" w:cs="Arial"/>
          <w:color w:val="333333"/>
        </w:rPr>
      </w:pPr>
      <w:r w:rsidRPr="00FE4664">
        <w:rPr>
          <w:rFonts w:ascii="Arial" w:hAnsi="Arial" w:cs="Arial"/>
          <w:color w:val="333333"/>
        </w:rPr>
        <w:t>To eliminate these bottlenecks and secure market competitiveness, this proposal recommends the immediate implementation of a unified, cloud-based Enterprise Resource Planning (ERP) and Customer Relationship Management (CRM) platform (such as Microsoft Dynamics 365 or Oracle NetSuite). This strategic solution establishes a real-time single source of truth, automating inventory reconciliation across all commerce channels, providing advanced predictive analytics dashboards, and enforcing strict data compliance governance via Role-Based Access Control (RBAC).</w:t>
      </w:r>
    </w:p>
    <w:p w14:paraId="04A8B85C" w14:textId="77777777" w:rsidR="00FC04DC" w:rsidRDefault="00FC04DC">
      <w:pPr>
        <w:spacing w:after="120"/>
        <w:rPr>
          <w:rFonts w:ascii="Calibri" w:hAnsi="Calibri"/>
          <w:color w:val="333333"/>
        </w:rPr>
      </w:pPr>
    </w:p>
    <w:p w14:paraId="63EB48AF" w14:textId="77777777" w:rsidR="00FC04DC" w:rsidRDefault="00FC04DC">
      <w:pPr>
        <w:spacing w:after="120"/>
        <w:rPr>
          <w:rFonts w:ascii="Calibri" w:hAnsi="Calibri"/>
          <w:color w:val="333333"/>
        </w:rPr>
      </w:pPr>
    </w:p>
    <w:p w14:paraId="29E96ACC" w14:textId="77777777" w:rsidR="00FC04DC" w:rsidRDefault="00FC04DC">
      <w:pPr>
        <w:spacing w:after="120"/>
        <w:rPr>
          <w:rFonts w:ascii="Calibri" w:hAnsi="Calibri"/>
          <w:color w:val="333333"/>
        </w:rPr>
      </w:pPr>
    </w:p>
    <w:p w14:paraId="387FCD14" w14:textId="77777777" w:rsidR="00FC04DC" w:rsidRDefault="00FC04DC">
      <w:pPr>
        <w:spacing w:after="120"/>
        <w:rPr>
          <w:rFonts w:ascii="Calibri" w:hAnsi="Calibri"/>
          <w:color w:val="333333"/>
        </w:rPr>
      </w:pPr>
    </w:p>
    <w:p w14:paraId="717AC158" w14:textId="77777777" w:rsidR="00FC04DC" w:rsidRDefault="00FC04DC">
      <w:pPr>
        <w:spacing w:after="120"/>
        <w:rPr>
          <w:rFonts w:ascii="Calibri" w:hAnsi="Calibri"/>
          <w:color w:val="333333"/>
        </w:rPr>
      </w:pPr>
    </w:p>
    <w:p w14:paraId="0C8D45A7" w14:textId="77777777" w:rsidR="00FC04DC" w:rsidRDefault="00FC04DC">
      <w:pPr>
        <w:spacing w:after="120"/>
        <w:rPr>
          <w:rFonts w:ascii="Calibri" w:hAnsi="Calibri"/>
          <w:color w:val="333333"/>
        </w:rPr>
      </w:pPr>
    </w:p>
    <w:p w14:paraId="343EF09B" w14:textId="77777777" w:rsidR="00FC04DC" w:rsidRDefault="00FC04DC">
      <w:pPr>
        <w:spacing w:after="120"/>
        <w:rPr>
          <w:rFonts w:ascii="Calibri" w:hAnsi="Calibri"/>
          <w:color w:val="333333"/>
        </w:rPr>
      </w:pPr>
    </w:p>
    <w:p w14:paraId="5B75FD5E" w14:textId="77777777" w:rsidR="00FC04DC" w:rsidRDefault="00FC04DC">
      <w:pPr>
        <w:spacing w:after="120"/>
        <w:rPr>
          <w:rFonts w:ascii="Calibri" w:hAnsi="Calibri"/>
          <w:color w:val="333333"/>
        </w:rPr>
      </w:pPr>
    </w:p>
    <w:p w14:paraId="248E54CE" w14:textId="77777777" w:rsidR="00FC04DC" w:rsidRDefault="00FC04DC">
      <w:pPr>
        <w:spacing w:after="120"/>
        <w:rPr>
          <w:rFonts w:ascii="Calibri" w:hAnsi="Calibri"/>
          <w:color w:val="333333"/>
        </w:rPr>
      </w:pPr>
    </w:p>
    <w:p w14:paraId="70DC83F8" w14:textId="2465C40E" w:rsidR="00A9373B" w:rsidRDefault="00A9373B">
      <w:pPr>
        <w:keepNext/>
        <w:spacing w:before="360" w:after="120"/>
        <w:rPr>
          <w:rFonts w:ascii="Calibri" w:hAnsi="Calibri"/>
          <w:b/>
          <w:color w:val="1F4E79"/>
          <w:sz w:val="32"/>
        </w:rPr>
      </w:pPr>
    </w:p>
    <w:p w14:paraId="21948D56" w14:textId="33A13F54" w:rsidR="00FC04DC" w:rsidRDefault="00FC04DC"/>
    <w:sdt>
      <w:sdtPr>
        <w:rPr>
          <w:lang w:val="en-GB"/>
        </w:rPr>
        <w:id w:val="1495296895"/>
        <w:docPartObj>
          <w:docPartGallery w:val="Table of Contents"/>
          <w:docPartUnique/>
        </w:docPartObj>
      </w:sdtPr>
      <w:sdtEndPr>
        <w:rPr>
          <w:rFonts w:asciiTheme="minorHAnsi" w:eastAsiaTheme="minorEastAsia" w:hAnsiTheme="minorHAnsi" w:cstheme="minorBidi"/>
          <w:color w:val="auto"/>
          <w:sz w:val="22"/>
          <w:szCs w:val="22"/>
          <w:lang w:val="en-US"/>
        </w:rPr>
      </w:sdtEndPr>
      <w:sdtContent>
        <w:p w14:paraId="5AFEE85E" w14:textId="6FBB811A" w:rsidR="00FC04DC" w:rsidRDefault="00FE4664">
          <w:pPr>
            <w:pStyle w:val="TOCHeading"/>
          </w:pPr>
          <w:r>
            <w:rPr>
              <w:lang w:val="en-GB"/>
            </w:rPr>
            <w:t xml:space="preserve">Table of </w:t>
          </w:r>
          <w:r w:rsidR="00FC04DC">
            <w:rPr>
              <w:lang w:val="en-GB"/>
            </w:rPr>
            <w:t>Contents</w:t>
          </w:r>
        </w:p>
        <w:p w14:paraId="482CFBFA" w14:textId="146BA62C"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r>
            <w:fldChar w:fldCharType="begin"/>
          </w:r>
          <w:r>
            <w:instrText xml:space="preserve"> TOC \o "1-3" \h \z \u </w:instrText>
          </w:r>
          <w:r>
            <w:fldChar w:fldCharType="separate"/>
          </w:r>
          <w:hyperlink w:anchor="_Toc234742696" w:history="1">
            <w:r w:rsidRPr="00FE4664">
              <w:rPr>
                <w:rStyle w:val="Hyperlink"/>
                <w:rFonts w:ascii="Arial" w:hAnsi="Arial" w:cs="Arial"/>
                <w:noProof/>
              </w:rPr>
              <w:t>1. Introduction</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_Toc234742696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3</w:t>
            </w:r>
            <w:r w:rsidRPr="00FE4664">
              <w:rPr>
                <w:rFonts w:ascii="Arial" w:hAnsi="Arial" w:cs="Arial"/>
                <w:noProof/>
                <w:webHidden/>
              </w:rPr>
              <w:fldChar w:fldCharType="end"/>
            </w:r>
          </w:hyperlink>
        </w:p>
        <w:p w14:paraId="00CB7360" w14:textId="2E698698"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697" w:history="1">
            <w:r w:rsidRPr="00FE4664">
              <w:rPr>
                <w:rStyle w:val="Hyperlink"/>
                <w:rFonts w:ascii="Arial" w:hAnsi="Arial" w:cs="Arial"/>
                <w:noProof/>
              </w:rPr>
              <w:t>1.1 Overview of the Business Case</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_Toc234742697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3</w:t>
            </w:r>
            <w:r w:rsidRPr="00FE4664">
              <w:rPr>
                <w:rFonts w:ascii="Arial" w:hAnsi="Arial" w:cs="Arial"/>
                <w:noProof/>
                <w:webHidden/>
              </w:rPr>
              <w:fldChar w:fldCharType="end"/>
            </w:r>
          </w:hyperlink>
        </w:p>
        <w:p w14:paraId="1815DD47" w14:textId="13A63003"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698" w:history="1">
            <w:r w:rsidRPr="00FE4664">
              <w:rPr>
                <w:rStyle w:val="Hyperlink"/>
                <w:rFonts w:ascii="Arial" w:hAnsi="Arial" w:cs="Arial"/>
                <w:noProof/>
              </w:rPr>
              <w:t>1.2 Identification of Key Challenges</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_Toc234742698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3</w:t>
            </w:r>
            <w:r w:rsidRPr="00FE4664">
              <w:rPr>
                <w:rFonts w:ascii="Arial" w:hAnsi="Arial" w:cs="Arial"/>
                <w:noProof/>
                <w:webHidden/>
              </w:rPr>
              <w:fldChar w:fldCharType="end"/>
            </w:r>
          </w:hyperlink>
        </w:p>
        <w:p w14:paraId="19D6B780" w14:textId="55740C80"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hyperlink w:anchor="_Toc234742699" w:history="1">
            <w:r w:rsidRPr="00FE4664">
              <w:rPr>
                <w:rStyle w:val="Hyperlink"/>
                <w:rFonts w:ascii="Arial" w:hAnsi="Arial" w:cs="Arial"/>
                <w:noProof/>
              </w:rPr>
              <w:t>2. Evaluation of Existing Systems</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_Toc234742699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4</w:t>
            </w:r>
            <w:r w:rsidRPr="00FE4664">
              <w:rPr>
                <w:rFonts w:ascii="Arial" w:hAnsi="Arial" w:cs="Arial"/>
                <w:noProof/>
                <w:webHidden/>
              </w:rPr>
              <w:fldChar w:fldCharType="end"/>
            </w:r>
          </w:hyperlink>
        </w:p>
        <w:p w14:paraId="5D4A6C26" w14:textId="723EF43F"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0" w:history="1">
            <w:r w:rsidRPr="00FE4664">
              <w:rPr>
                <w:rStyle w:val="Hyperlink"/>
                <w:rFonts w:ascii="Arial" w:hAnsi="Arial" w:cs="Arial"/>
                <w:noProof/>
              </w:rPr>
              <w:t>2.1 Analysis of Current Information Systems Architecture</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_Toc234742700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4</w:t>
            </w:r>
            <w:r w:rsidRPr="00FE4664">
              <w:rPr>
                <w:rFonts w:ascii="Arial" w:hAnsi="Arial" w:cs="Arial"/>
                <w:noProof/>
                <w:webHidden/>
              </w:rPr>
              <w:fldChar w:fldCharType="end"/>
            </w:r>
          </w:hyperlink>
        </w:p>
        <w:p w14:paraId="0B23CA4F" w14:textId="7DE5A3D3"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1" w:history="1">
            <w:r w:rsidRPr="00FE4664">
              <w:rPr>
                <w:rStyle w:val="Hyperlink"/>
                <w:rFonts w:ascii="Arial" w:hAnsi="Arial" w:cs="Arial"/>
                <w:noProof/>
              </w:rPr>
              <w:t>2.2 Identification of Inefficiencies and Technological Gaps</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_Toc234742701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4</w:t>
            </w:r>
            <w:r w:rsidRPr="00FE4664">
              <w:rPr>
                <w:rFonts w:ascii="Arial" w:hAnsi="Arial" w:cs="Arial"/>
                <w:noProof/>
                <w:webHidden/>
              </w:rPr>
              <w:fldChar w:fldCharType="end"/>
            </w:r>
          </w:hyperlink>
        </w:p>
        <w:p w14:paraId="7714E20E" w14:textId="186710B9"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hyperlink w:anchor="_Toc234742702" w:history="1">
            <w:r w:rsidRPr="00FE4664">
              <w:rPr>
                <w:rStyle w:val="Hyperlink"/>
                <w:rFonts w:ascii="Arial" w:hAnsi="Arial" w:cs="Arial"/>
                <w:noProof/>
              </w:rPr>
              <w:t>3. Recommended Solution</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_Toc234742702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5</w:t>
            </w:r>
            <w:r w:rsidRPr="00FE4664">
              <w:rPr>
                <w:rFonts w:ascii="Arial" w:hAnsi="Arial" w:cs="Arial"/>
                <w:noProof/>
                <w:webHidden/>
              </w:rPr>
              <w:fldChar w:fldCharType="end"/>
            </w:r>
          </w:hyperlink>
        </w:p>
        <w:p w14:paraId="77313D7A" w14:textId="2B62B72D"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3" w:history="1">
            <w:r w:rsidRPr="00FE4664">
              <w:rPr>
                <w:rStyle w:val="Hyperlink"/>
                <w:rFonts w:ascii="Arial" w:hAnsi="Arial" w:cs="Arial"/>
                <w:noProof/>
              </w:rPr>
              <w:t>3.1 Proposal of a Strategic Solution Architecture</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_Toc234742703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5</w:t>
            </w:r>
            <w:r w:rsidRPr="00FE4664">
              <w:rPr>
                <w:rFonts w:ascii="Arial" w:hAnsi="Arial" w:cs="Arial"/>
                <w:noProof/>
                <w:webHidden/>
              </w:rPr>
              <w:fldChar w:fldCharType="end"/>
            </w:r>
          </w:hyperlink>
        </w:p>
        <w:p w14:paraId="37105E0B" w14:textId="509ED54E"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4" w:history="1">
            <w:r w:rsidRPr="00FE4664">
              <w:rPr>
                <w:rStyle w:val="Hyperlink"/>
                <w:rFonts w:ascii="Arial" w:hAnsi="Arial" w:cs="Arial"/>
                <w:noProof/>
              </w:rPr>
              <w:t>3.2 Strategic Justification of the Recommendation</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_Toc234742704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5</w:t>
            </w:r>
            <w:r w:rsidRPr="00FE4664">
              <w:rPr>
                <w:rFonts w:ascii="Arial" w:hAnsi="Arial" w:cs="Arial"/>
                <w:noProof/>
                <w:webHidden/>
              </w:rPr>
              <w:fldChar w:fldCharType="end"/>
            </w:r>
          </w:hyperlink>
        </w:p>
        <w:p w14:paraId="09F4950E" w14:textId="11AC77D1"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5" w:history="1">
            <w:r w:rsidRPr="00FE4664">
              <w:rPr>
                <w:rStyle w:val="Hyperlink"/>
                <w:rFonts w:ascii="Arial" w:hAnsi="Arial" w:cs="Arial"/>
                <w:noProof/>
              </w:rPr>
              <w:t>3.3 Expected Improvements in Operations, Analytics, and Data Governance</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_Toc234742705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6</w:t>
            </w:r>
            <w:r w:rsidRPr="00FE4664">
              <w:rPr>
                <w:rFonts w:ascii="Arial" w:hAnsi="Arial" w:cs="Arial"/>
                <w:noProof/>
                <w:webHidden/>
              </w:rPr>
              <w:fldChar w:fldCharType="end"/>
            </w:r>
          </w:hyperlink>
        </w:p>
        <w:p w14:paraId="0706F163" w14:textId="01D16D70"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hyperlink w:anchor="_Toc234742706" w:history="1">
            <w:r w:rsidRPr="00FE4664">
              <w:rPr>
                <w:rStyle w:val="Hyperlink"/>
                <w:rFonts w:ascii="Arial" w:hAnsi="Arial" w:cs="Arial"/>
                <w:noProof/>
              </w:rPr>
              <w:t>4. Implementation Plan</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_Toc234742706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7</w:t>
            </w:r>
            <w:r w:rsidRPr="00FE4664">
              <w:rPr>
                <w:rFonts w:ascii="Arial" w:hAnsi="Arial" w:cs="Arial"/>
                <w:noProof/>
                <w:webHidden/>
              </w:rPr>
              <w:fldChar w:fldCharType="end"/>
            </w:r>
          </w:hyperlink>
        </w:p>
        <w:p w14:paraId="30671864" w14:textId="31249470"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7" w:history="1">
            <w:r w:rsidRPr="00FE4664">
              <w:rPr>
                <w:rStyle w:val="Hyperlink"/>
                <w:rFonts w:ascii="Arial" w:hAnsi="Arial" w:cs="Arial"/>
                <w:noProof/>
              </w:rPr>
              <w:t>4.1 System Development Life Cycle (SDLC) Phase Matrix</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_Toc234742707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7</w:t>
            </w:r>
            <w:r w:rsidRPr="00FE4664">
              <w:rPr>
                <w:rFonts w:ascii="Arial" w:hAnsi="Arial" w:cs="Arial"/>
                <w:noProof/>
                <w:webHidden/>
              </w:rPr>
              <w:fldChar w:fldCharType="end"/>
            </w:r>
          </w:hyperlink>
        </w:p>
        <w:p w14:paraId="7E1F7B5B" w14:textId="59C86A6F"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8" w:history="1">
            <w:r w:rsidRPr="00FE4664">
              <w:rPr>
                <w:rStyle w:val="Hyperlink"/>
                <w:rFonts w:ascii="Arial" w:hAnsi="Arial" w:cs="Arial"/>
                <w:noProof/>
              </w:rPr>
              <w:t>4.2 Comprehensive Implementation Considerations</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_Toc234742708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7</w:t>
            </w:r>
            <w:r w:rsidRPr="00FE4664">
              <w:rPr>
                <w:rFonts w:ascii="Arial" w:hAnsi="Arial" w:cs="Arial"/>
                <w:noProof/>
                <w:webHidden/>
              </w:rPr>
              <w:fldChar w:fldCharType="end"/>
            </w:r>
          </w:hyperlink>
        </w:p>
        <w:p w14:paraId="18CC59C2" w14:textId="6369196A" w:rsidR="00FC04DC" w:rsidRPr="00FE4664" w:rsidRDefault="00FC04DC" w:rsidP="00FE4664">
          <w:pPr>
            <w:pStyle w:val="TOC2"/>
            <w:tabs>
              <w:tab w:val="right" w:leader="dot" w:pos="9350"/>
            </w:tabs>
            <w:spacing w:line="360" w:lineRule="auto"/>
            <w:rPr>
              <w:rFonts w:ascii="Arial" w:hAnsi="Arial" w:cs="Arial"/>
              <w:noProof/>
              <w:kern w:val="2"/>
              <w:sz w:val="24"/>
              <w:szCs w:val="24"/>
              <w14:ligatures w14:val="standardContextual"/>
            </w:rPr>
          </w:pPr>
          <w:hyperlink w:anchor="_Toc234742709" w:history="1">
            <w:r w:rsidRPr="00FE4664">
              <w:rPr>
                <w:rStyle w:val="Hyperlink"/>
                <w:rFonts w:ascii="Arial" w:hAnsi="Arial" w:cs="Arial"/>
                <w:noProof/>
              </w:rPr>
              <w:t>4.3 Risk Management, Challenges, and Mitigation Framework</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_Toc234742709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8</w:t>
            </w:r>
            <w:r w:rsidRPr="00FE4664">
              <w:rPr>
                <w:rFonts w:ascii="Arial" w:hAnsi="Arial" w:cs="Arial"/>
                <w:noProof/>
                <w:webHidden/>
              </w:rPr>
              <w:fldChar w:fldCharType="end"/>
            </w:r>
          </w:hyperlink>
        </w:p>
        <w:p w14:paraId="729C1927" w14:textId="07577362"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hyperlink w:anchor="_Toc234742710" w:history="1">
            <w:r w:rsidRPr="00FE4664">
              <w:rPr>
                <w:rStyle w:val="Hyperlink"/>
                <w:rFonts w:ascii="Arial" w:hAnsi="Arial" w:cs="Arial"/>
                <w:noProof/>
              </w:rPr>
              <w:t>5. Conclusion</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_Toc234742710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8</w:t>
            </w:r>
            <w:r w:rsidRPr="00FE4664">
              <w:rPr>
                <w:rFonts w:ascii="Arial" w:hAnsi="Arial" w:cs="Arial"/>
                <w:noProof/>
                <w:webHidden/>
              </w:rPr>
              <w:fldChar w:fldCharType="end"/>
            </w:r>
          </w:hyperlink>
        </w:p>
        <w:p w14:paraId="697DD76A" w14:textId="259B4F0F" w:rsidR="00FC04DC" w:rsidRPr="00FE4664" w:rsidRDefault="00FC04DC" w:rsidP="00FE4664">
          <w:pPr>
            <w:pStyle w:val="TOC1"/>
            <w:tabs>
              <w:tab w:val="right" w:leader="dot" w:pos="9350"/>
            </w:tabs>
            <w:spacing w:line="360" w:lineRule="auto"/>
            <w:rPr>
              <w:rFonts w:ascii="Arial" w:hAnsi="Arial" w:cs="Arial"/>
              <w:noProof/>
              <w:kern w:val="2"/>
              <w:sz w:val="24"/>
              <w:szCs w:val="24"/>
              <w14:ligatures w14:val="standardContextual"/>
            </w:rPr>
          </w:pPr>
          <w:hyperlink w:anchor="_Toc234742711" w:history="1">
            <w:r w:rsidRPr="00FE4664">
              <w:rPr>
                <w:rStyle w:val="Hyperlink"/>
                <w:rFonts w:ascii="Arial" w:hAnsi="Arial" w:cs="Arial"/>
                <w:noProof/>
              </w:rPr>
              <w:t>6. References</w:t>
            </w:r>
            <w:r w:rsidRPr="00FE4664">
              <w:rPr>
                <w:rFonts w:ascii="Arial" w:hAnsi="Arial" w:cs="Arial"/>
                <w:noProof/>
                <w:webHidden/>
              </w:rPr>
              <w:tab/>
            </w:r>
            <w:r w:rsidRPr="00FE4664">
              <w:rPr>
                <w:rFonts w:ascii="Arial" w:hAnsi="Arial" w:cs="Arial"/>
                <w:noProof/>
                <w:webHidden/>
              </w:rPr>
              <w:fldChar w:fldCharType="begin"/>
            </w:r>
            <w:r w:rsidRPr="00FE4664">
              <w:rPr>
                <w:rFonts w:ascii="Arial" w:hAnsi="Arial" w:cs="Arial"/>
                <w:noProof/>
                <w:webHidden/>
              </w:rPr>
              <w:instrText xml:space="preserve"> PAGEREF _Toc234742711 \h </w:instrText>
            </w:r>
            <w:r w:rsidRPr="00FE4664">
              <w:rPr>
                <w:rFonts w:ascii="Arial" w:hAnsi="Arial" w:cs="Arial"/>
                <w:noProof/>
                <w:webHidden/>
              </w:rPr>
            </w:r>
            <w:r w:rsidRPr="00FE4664">
              <w:rPr>
                <w:rFonts w:ascii="Arial" w:hAnsi="Arial" w:cs="Arial"/>
                <w:noProof/>
                <w:webHidden/>
              </w:rPr>
              <w:fldChar w:fldCharType="separate"/>
            </w:r>
            <w:r w:rsidR="00591987">
              <w:rPr>
                <w:rFonts w:ascii="Arial" w:hAnsi="Arial" w:cs="Arial"/>
                <w:noProof/>
                <w:webHidden/>
              </w:rPr>
              <w:t>9</w:t>
            </w:r>
            <w:r w:rsidRPr="00FE4664">
              <w:rPr>
                <w:rFonts w:ascii="Arial" w:hAnsi="Arial" w:cs="Arial"/>
                <w:noProof/>
                <w:webHidden/>
              </w:rPr>
              <w:fldChar w:fldCharType="end"/>
            </w:r>
          </w:hyperlink>
        </w:p>
        <w:p w14:paraId="00254CF9" w14:textId="05E9A748" w:rsidR="00FC04DC" w:rsidRDefault="00FC04DC">
          <w:r>
            <w:rPr>
              <w:b/>
              <w:bCs/>
            </w:rPr>
            <w:fldChar w:fldCharType="end"/>
          </w:r>
        </w:p>
      </w:sdtContent>
    </w:sdt>
    <w:p w14:paraId="56BFA7E5" w14:textId="1D367890" w:rsidR="00A9373B" w:rsidRDefault="00A9373B"/>
    <w:p w14:paraId="1198DE20" w14:textId="77777777" w:rsidR="00A9373B" w:rsidRDefault="00000000">
      <w:r>
        <w:fldChar w:fldCharType="begin"/>
      </w:r>
      <w:r>
        <w:instrText>TOC \o "1-3" \h \z \u</w:instrText>
      </w:r>
      <w:r>
        <w:fldChar w:fldCharType="separate"/>
      </w:r>
      <w:r>
        <w:fldChar w:fldCharType="end"/>
      </w:r>
    </w:p>
    <w:p w14:paraId="308E349D" w14:textId="76AFBFA3" w:rsidR="00A9373B" w:rsidRDefault="00000000">
      <w:r>
        <w:br w:type="page"/>
      </w:r>
    </w:p>
    <w:p w14:paraId="5A852D58" w14:textId="76AFBFA3" w:rsidR="00A9373B" w:rsidRDefault="00000000" w:rsidP="00FC04DC">
      <w:pPr>
        <w:pStyle w:val="Heading1"/>
      </w:pPr>
      <w:bookmarkStart w:id="0" w:name="_Toc234742696"/>
      <w:r>
        <w:lastRenderedPageBreak/>
        <w:t>1</w:t>
      </w:r>
      <w:r w:rsidRPr="00FE4664">
        <w:rPr>
          <w:rFonts w:ascii="Arial" w:hAnsi="Arial" w:cs="Arial"/>
        </w:rPr>
        <w:t>. Introduction</w:t>
      </w:r>
      <w:bookmarkEnd w:id="0"/>
    </w:p>
    <w:p w14:paraId="42297FA8" w14:textId="77777777" w:rsidR="00A9373B" w:rsidRPr="00FE4664" w:rsidRDefault="00000000" w:rsidP="00FC04DC">
      <w:pPr>
        <w:pStyle w:val="Heading2"/>
        <w:rPr>
          <w:rFonts w:ascii="Arial" w:hAnsi="Arial" w:cs="Arial"/>
        </w:rPr>
      </w:pPr>
      <w:bookmarkStart w:id="1" w:name="_Toc234742697"/>
      <w:r w:rsidRPr="00FE4664">
        <w:rPr>
          <w:rFonts w:ascii="Arial" w:hAnsi="Arial" w:cs="Arial"/>
        </w:rPr>
        <w:t>1.1 Overview of the Business Case</w:t>
      </w:r>
      <w:bookmarkEnd w:id="1"/>
    </w:p>
    <w:p w14:paraId="4D131F15" w14:textId="77777777" w:rsidR="00A9373B" w:rsidRPr="00FE4664" w:rsidRDefault="00000000" w:rsidP="00FE4664">
      <w:pPr>
        <w:spacing w:after="120" w:line="360" w:lineRule="auto"/>
        <w:jc w:val="both"/>
        <w:rPr>
          <w:rFonts w:ascii="Arial" w:hAnsi="Arial" w:cs="Arial"/>
        </w:rPr>
      </w:pPr>
      <w:proofErr w:type="spellStart"/>
      <w:r w:rsidRPr="00FE4664">
        <w:rPr>
          <w:rFonts w:ascii="Arial" w:hAnsi="Arial" w:cs="Arial"/>
          <w:color w:val="333333"/>
        </w:rPr>
        <w:t>Maldiva</w:t>
      </w:r>
      <w:proofErr w:type="spellEnd"/>
      <w:r w:rsidRPr="00FE4664">
        <w:rPr>
          <w:rFonts w:ascii="Arial" w:hAnsi="Arial" w:cs="Arial"/>
          <w:color w:val="333333"/>
        </w:rPr>
        <w:t xml:space="preserve"> Ltd. is a fast-growing consumer electronics retailer operating a hybrid commerce model consisting of 30 brick-and-mortar stores alongside a rapidly expanding e-commerce platform. Over the past fiscal year, the organization has experienced significant sales growth, validating its market position and product-market fit. This rapid scaling, however, has exposed severe structural vulnerabilities within the company’s internal operations. The underlying information systems architecture remains tailored to a small-scale operation, relying on disparate legacy systems and manual human intervention. Consequently, administrative overhead, operational friction, and customer friction points have increased, threatening the sustainability of Maldiva Ltd.’s market expansion.</w:t>
      </w:r>
    </w:p>
    <w:p w14:paraId="719C344E" w14:textId="77777777" w:rsidR="00A9373B" w:rsidRPr="00FE4664" w:rsidRDefault="00000000" w:rsidP="00FC04DC">
      <w:pPr>
        <w:pStyle w:val="Heading2"/>
        <w:rPr>
          <w:rFonts w:ascii="Arial" w:hAnsi="Arial" w:cs="Arial"/>
        </w:rPr>
      </w:pPr>
      <w:bookmarkStart w:id="2" w:name="_Toc234742698"/>
      <w:r w:rsidRPr="00FE4664">
        <w:rPr>
          <w:rFonts w:ascii="Arial" w:hAnsi="Arial" w:cs="Arial"/>
        </w:rPr>
        <w:t>1.2 Identification of Key Challenges</w:t>
      </w:r>
      <w:bookmarkEnd w:id="2"/>
    </w:p>
    <w:p w14:paraId="108F7FB6"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Maldiva Ltd.’s operational vulnerabilities span five distinct operational silos, categorized as follows:</w:t>
      </w:r>
    </w:p>
    <w:p w14:paraId="6C2327D4" w14:textId="77777777" w:rsidR="00A9373B" w:rsidRPr="00FE4664" w:rsidRDefault="00000000" w:rsidP="00FE4664">
      <w:pPr>
        <w:pStyle w:val="ListBullet"/>
        <w:spacing w:after="60" w:line="360" w:lineRule="auto"/>
        <w:jc w:val="both"/>
        <w:rPr>
          <w:rFonts w:ascii="Arial" w:hAnsi="Arial" w:cs="Arial"/>
        </w:rPr>
      </w:pPr>
      <w:r w:rsidRPr="00FE4664">
        <w:rPr>
          <w:rFonts w:ascii="Arial" w:hAnsi="Arial" w:cs="Arial"/>
          <w:b/>
          <w:color w:val="333333"/>
        </w:rPr>
        <w:t>Inventory Synchronisation Discrepancies:</w:t>
      </w:r>
      <w:r w:rsidRPr="00FE4664">
        <w:rPr>
          <w:rFonts w:ascii="Arial" w:hAnsi="Arial" w:cs="Arial"/>
          <w:color w:val="333333"/>
        </w:rPr>
        <w:t xml:space="preserve"> The use of manual inventory tracking creates a structural disconnect between physical store levels and online stock availability. This results in stockouts, unfulfilled digital orders, frequent customer refunds, and a deterioration of brand equity (Laudon &amp; Laudon 2020).</w:t>
      </w:r>
    </w:p>
    <w:p w14:paraId="1BBBF17F" w14:textId="77777777" w:rsidR="00A9373B" w:rsidRPr="00FE4664" w:rsidRDefault="00000000" w:rsidP="00FE4664">
      <w:pPr>
        <w:pStyle w:val="ListBullet"/>
        <w:spacing w:after="60" w:line="360" w:lineRule="auto"/>
        <w:jc w:val="both"/>
        <w:rPr>
          <w:rFonts w:ascii="Arial" w:hAnsi="Arial" w:cs="Arial"/>
        </w:rPr>
      </w:pPr>
      <w:r w:rsidRPr="00FE4664">
        <w:rPr>
          <w:rFonts w:ascii="Arial" w:hAnsi="Arial" w:cs="Arial"/>
          <w:b/>
          <w:color w:val="333333"/>
        </w:rPr>
        <w:t>Fragmented Customer Relationship Management (CRM):</w:t>
      </w:r>
      <w:r w:rsidRPr="00FE4664">
        <w:rPr>
          <w:rFonts w:ascii="Arial" w:hAnsi="Arial" w:cs="Arial"/>
          <w:color w:val="333333"/>
        </w:rPr>
        <w:t xml:space="preserve"> Customer data is distributed across multiple, isolated systems. This lack of a single customer view prevents the marketing team from deploying segmented promotions and leaves the customer support team unable to resolve complaints due to inaccessible purchase records (Buttle &amp; Maklan 2019).</w:t>
      </w:r>
    </w:p>
    <w:p w14:paraId="142C43D2" w14:textId="77777777" w:rsidR="00A9373B" w:rsidRPr="00FE4664" w:rsidRDefault="00000000" w:rsidP="00FE4664">
      <w:pPr>
        <w:pStyle w:val="ListBullet"/>
        <w:spacing w:after="60" w:line="360" w:lineRule="auto"/>
        <w:jc w:val="both"/>
        <w:rPr>
          <w:rFonts w:ascii="Arial" w:hAnsi="Arial" w:cs="Arial"/>
        </w:rPr>
      </w:pPr>
      <w:r w:rsidRPr="00FE4664">
        <w:rPr>
          <w:rFonts w:ascii="Arial" w:hAnsi="Arial" w:cs="Arial"/>
          <w:b/>
          <w:color w:val="333333"/>
        </w:rPr>
        <w:t>Informed Decision-Making Deficiencies:</w:t>
      </w:r>
      <w:r w:rsidRPr="00FE4664">
        <w:rPr>
          <w:rFonts w:ascii="Arial" w:hAnsi="Arial" w:cs="Arial"/>
          <w:color w:val="333333"/>
        </w:rPr>
        <w:t xml:space="preserve"> Executive decision-making is severely bottlenecked by manual spreadsheet-based reporting. This introduces human data entry errors, latency in trend identification, and poor forecasting capabilities (Sharda, Delen &amp; Turban 2020).</w:t>
      </w:r>
    </w:p>
    <w:p w14:paraId="013288FD" w14:textId="77777777" w:rsidR="00A9373B" w:rsidRPr="00FE4664" w:rsidRDefault="00000000" w:rsidP="00FE4664">
      <w:pPr>
        <w:pStyle w:val="ListBullet"/>
        <w:spacing w:after="60" w:line="360" w:lineRule="auto"/>
        <w:jc w:val="both"/>
        <w:rPr>
          <w:rFonts w:ascii="Arial" w:hAnsi="Arial" w:cs="Arial"/>
        </w:rPr>
      </w:pPr>
      <w:r w:rsidRPr="00FE4664">
        <w:rPr>
          <w:rFonts w:ascii="Arial" w:hAnsi="Arial" w:cs="Arial"/>
          <w:b/>
          <w:color w:val="333333"/>
        </w:rPr>
        <w:t>Regulatory Non-Compliance and Data Security Vulnerabilities:</w:t>
      </w:r>
      <w:r w:rsidRPr="00FE4664">
        <w:rPr>
          <w:rFonts w:ascii="Arial" w:hAnsi="Arial" w:cs="Arial"/>
          <w:color w:val="333333"/>
        </w:rPr>
        <w:t xml:space="preserve"> The current infrastructure lacks access control configurations, role-based security architectures, and data encryption mechanisms. This leaves Maldiva Ltd. in breach of data protection frameworks such as the General Data Protection Regulation (GDPR), exposing the business to major legal penalties and cyber risks (Chapple, Stewart &amp; Gibson 2021).</w:t>
      </w:r>
    </w:p>
    <w:p w14:paraId="0ABE0025" w14:textId="77777777" w:rsidR="00A9373B" w:rsidRPr="00FE4664" w:rsidRDefault="00000000" w:rsidP="00FE4664">
      <w:pPr>
        <w:pStyle w:val="ListBullet"/>
        <w:spacing w:after="60" w:line="360" w:lineRule="auto"/>
        <w:jc w:val="both"/>
        <w:rPr>
          <w:rFonts w:ascii="Arial" w:hAnsi="Arial" w:cs="Arial"/>
        </w:rPr>
      </w:pPr>
      <w:r w:rsidRPr="00FE4664">
        <w:rPr>
          <w:rFonts w:ascii="Arial" w:hAnsi="Arial" w:cs="Arial"/>
          <w:b/>
          <w:color w:val="333333"/>
        </w:rPr>
        <w:lastRenderedPageBreak/>
        <w:t>Interdepartmental Silos and System Fragmentation:</w:t>
      </w:r>
      <w:r w:rsidRPr="00FE4664">
        <w:rPr>
          <w:rFonts w:ascii="Arial" w:hAnsi="Arial" w:cs="Arial"/>
          <w:color w:val="333333"/>
        </w:rPr>
        <w:t xml:space="preserve"> The core business functions—Sales, Finance, and Inventory—rely on disparate software applications. The lack of application programming interfaces (APIs) or middleware necessitates manual data reentry, lowering operational throughput and increasing data duplicity (Chofreh et al. 2020).</w:t>
      </w:r>
    </w:p>
    <w:p w14:paraId="361841B1" w14:textId="77777777" w:rsidR="00A9373B" w:rsidRDefault="00000000" w:rsidP="00FC04DC">
      <w:pPr>
        <w:pStyle w:val="Heading1"/>
      </w:pPr>
      <w:bookmarkStart w:id="3" w:name="_Toc234742699"/>
      <w:r>
        <w:t xml:space="preserve">2. </w:t>
      </w:r>
      <w:r w:rsidRPr="00FE4664">
        <w:rPr>
          <w:rFonts w:ascii="Arial" w:hAnsi="Arial" w:cs="Arial"/>
        </w:rPr>
        <w:t>Evaluation of Existing Systems</w:t>
      </w:r>
      <w:bookmarkEnd w:id="3"/>
    </w:p>
    <w:p w14:paraId="5B9CF5C2" w14:textId="77777777" w:rsidR="00A9373B" w:rsidRPr="00FE4664" w:rsidRDefault="00000000" w:rsidP="00FC04DC">
      <w:pPr>
        <w:pStyle w:val="Heading2"/>
        <w:rPr>
          <w:rFonts w:ascii="Arial" w:hAnsi="Arial" w:cs="Arial"/>
        </w:rPr>
      </w:pPr>
      <w:bookmarkStart w:id="4" w:name="_Toc234742700"/>
      <w:r w:rsidRPr="00FE4664">
        <w:rPr>
          <w:rFonts w:ascii="Arial" w:hAnsi="Arial" w:cs="Arial"/>
        </w:rPr>
        <w:t>2.1 Analysis of Current Information Systems Architecture</w:t>
      </w:r>
      <w:bookmarkEnd w:id="4"/>
    </w:p>
    <w:p w14:paraId="2F8CFC87"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The current information systems infrastructure at Maldiva Ltd. is classified as a fragmented legacy architecture. Each department functions within a distinct information silo, lacking automated transactional processing capabilities. Inventory is managed via local point-of-sale (POS) systems or physical stock ledgers at store locations. These systems operate on batch processing or manual updates rather than real-time transactional synchronization (Stair &amp; Reynolds 2018).</w:t>
      </w:r>
    </w:p>
    <w:p w14:paraId="4EC093D8"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The e-commerce platform utilizes an isolated database that operates independently of physical store inventories. Customer interaction data is similarly siloed within localized customer service mailboxes or point-of-sale machines, creating a fragmented footprint of consumer behavior. Business intelligence is non-existent. Instead, reporting relies on standard desktop spreadsheet applications (e.g., Microsoft Excel). Data from various departments is manually aggregated into these sheets to generate high-level summaries for executive teams.</w:t>
      </w:r>
    </w:p>
    <w:p w14:paraId="4CF4A647" w14:textId="77777777" w:rsidR="00A9373B" w:rsidRPr="00FE4664" w:rsidRDefault="00000000" w:rsidP="00FC04DC">
      <w:pPr>
        <w:pStyle w:val="Heading2"/>
        <w:rPr>
          <w:rStyle w:val="Heading2Char"/>
          <w:rFonts w:ascii="Arial" w:hAnsi="Arial" w:cs="Arial"/>
        </w:rPr>
      </w:pPr>
      <w:bookmarkStart w:id="5" w:name="_Toc234742701"/>
      <w:r w:rsidRPr="00FE4664">
        <w:rPr>
          <w:rFonts w:ascii="Arial" w:hAnsi="Arial" w:cs="Arial"/>
          <w:color w:val="5A738E"/>
        </w:rPr>
        <w:t>2.</w:t>
      </w:r>
      <w:r w:rsidRPr="00FE4664">
        <w:rPr>
          <w:rStyle w:val="Heading2Char"/>
          <w:rFonts w:ascii="Arial" w:hAnsi="Arial" w:cs="Arial"/>
        </w:rPr>
        <w:t>2 Identification of Inefficiencies and Technological Gaps</w:t>
      </w:r>
      <w:bookmarkEnd w:id="5"/>
    </w:p>
    <w:p w14:paraId="609BBF58"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An evaluation of this architectural framework reveals several critical systemic flaws:</w:t>
      </w:r>
    </w:p>
    <w:tbl>
      <w:tblPr>
        <w:tblW w:w="0" w:type="auto"/>
        <w:jc w:val="center"/>
        <w:tblLayout w:type="fixed"/>
        <w:tblLook w:val="04A0" w:firstRow="1" w:lastRow="0" w:firstColumn="1" w:lastColumn="0" w:noHBand="0" w:noVBand="1"/>
      </w:tblPr>
      <w:tblGrid>
        <w:gridCol w:w="2160"/>
        <w:gridCol w:w="3168"/>
        <w:gridCol w:w="4032"/>
      </w:tblGrid>
      <w:tr w:rsidR="00A9373B" w14:paraId="64A9C370" w14:textId="77777777">
        <w:trPr>
          <w:jc w:val="center"/>
        </w:trPr>
        <w:tc>
          <w:tcPr>
            <w:tcW w:w="2160" w:type="dxa"/>
            <w:shd w:val="clear" w:color="auto" w:fill="1F4E79"/>
          </w:tcPr>
          <w:p w14:paraId="52086CBB" w14:textId="77777777" w:rsidR="00A9373B" w:rsidRPr="00FE4664" w:rsidRDefault="00000000" w:rsidP="00FE4664">
            <w:pPr>
              <w:spacing w:line="360" w:lineRule="auto"/>
              <w:jc w:val="center"/>
              <w:rPr>
                <w:rFonts w:ascii="Arial" w:hAnsi="Arial" w:cs="Arial"/>
              </w:rPr>
            </w:pPr>
            <w:r w:rsidRPr="00FE4664">
              <w:rPr>
                <w:rFonts w:ascii="Arial" w:hAnsi="Arial" w:cs="Arial"/>
                <w:b/>
                <w:color w:val="FFFFFF"/>
                <w:sz w:val="20"/>
              </w:rPr>
              <w:t>Functional Area</w:t>
            </w:r>
          </w:p>
        </w:tc>
        <w:tc>
          <w:tcPr>
            <w:tcW w:w="3168" w:type="dxa"/>
            <w:shd w:val="clear" w:color="auto" w:fill="1F4E79"/>
          </w:tcPr>
          <w:p w14:paraId="28403301" w14:textId="77777777" w:rsidR="00A9373B" w:rsidRPr="00FE4664" w:rsidRDefault="00000000" w:rsidP="00FE4664">
            <w:pPr>
              <w:spacing w:line="360" w:lineRule="auto"/>
              <w:jc w:val="center"/>
              <w:rPr>
                <w:rFonts w:ascii="Arial" w:hAnsi="Arial" w:cs="Arial"/>
              </w:rPr>
            </w:pPr>
            <w:r w:rsidRPr="00FE4664">
              <w:rPr>
                <w:rFonts w:ascii="Arial" w:hAnsi="Arial" w:cs="Arial"/>
                <w:b/>
                <w:color w:val="FFFFFF"/>
                <w:sz w:val="20"/>
              </w:rPr>
              <w:t>Current State</w:t>
            </w:r>
          </w:p>
        </w:tc>
        <w:tc>
          <w:tcPr>
            <w:tcW w:w="4032" w:type="dxa"/>
            <w:shd w:val="clear" w:color="auto" w:fill="1F4E79"/>
          </w:tcPr>
          <w:p w14:paraId="41F16483" w14:textId="77777777" w:rsidR="00A9373B" w:rsidRPr="00FE4664" w:rsidRDefault="00000000" w:rsidP="00FE4664">
            <w:pPr>
              <w:spacing w:line="360" w:lineRule="auto"/>
              <w:jc w:val="center"/>
              <w:rPr>
                <w:rFonts w:ascii="Arial" w:hAnsi="Arial" w:cs="Arial"/>
              </w:rPr>
            </w:pPr>
            <w:r w:rsidRPr="00FE4664">
              <w:rPr>
                <w:rFonts w:ascii="Arial" w:hAnsi="Arial" w:cs="Arial"/>
                <w:b/>
                <w:color w:val="FFFFFF"/>
                <w:sz w:val="20"/>
              </w:rPr>
              <w:t>Systemic Impact</w:t>
            </w:r>
          </w:p>
        </w:tc>
      </w:tr>
      <w:tr w:rsidR="00A9373B" w14:paraId="71A54E76" w14:textId="77777777">
        <w:trPr>
          <w:jc w:val="center"/>
        </w:trPr>
        <w:tc>
          <w:tcPr>
            <w:tcW w:w="2160" w:type="dxa"/>
            <w:shd w:val="clear" w:color="auto" w:fill="FFFFFF"/>
          </w:tcPr>
          <w:p w14:paraId="5FBB9553"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Stock Tracking</w:t>
            </w:r>
          </w:p>
        </w:tc>
        <w:tc>
          <w:tcPr>
            <w:tcW w:w="3168" w:type="dxa"/>
            <w:shd w:val="clear" w:color="auto" w:fill="FFFFFF"/>
          </w:tcPr>
          <w:p w14:paraId="3A5C71BC"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Manual batch updates</w:t>
            </w:r>
          </w:p>
        </w:tc>
        <w:tc>
          <w:tcPr>
            <w:tcW w:w="4032" w:type="dxa"/>
            <w:shd w:val="clear" w:color="auto" w:fill="FFFFFF"/>
          </w:tcPr>
          <w:p w14:paraId="0784184F"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Ghost inventory, e-commerce cancellations</w:t>
            </w:r>
          </w:p>
        </w:tc>
      </w:tr>
      <w:tr w:rsidR="00A9373B" w14:paraId="15991CAE" w14:textId="77777777">
        <w:trPr>
          <w:jc w:val="center"/>
        </w:trPr>
        <w:tc>
          <w:tcPr>
            <w:tcW w:w="2160" w:type="dxa"/>
            <w:shd w:val="clear" w:color="auto" w:fill="F2F4F7"/>
          </w:tcPr>
          <w:p w14:paraId="6DBFF4CF"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Customer Data</w:t>
            </w:r>
          </w:p>
        </w:tc>
        <w:tc>
          <w:tcPr>
            <w:tcW w:w="3168" w:type="dxa"/>
            <w:shd w:val="clear" w:color="auto" w:fill="F2F4F7"/>
          </w:tcPr>
          <w:p w14:paraId="781F916C"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Decentralized, fragmented files</w:t>
            </w:r>
          </w:p>
        </w:tc>
        <w:tc>
          <w:tcPr>
            <w:tcW w:w="4032" w:type="dxa"/>
            <w:shd w:val="clear" w:color="auto" w:fill="F2F4F7"/>
          </w:tcPr>
          <w:p w14:paraId="6E1ACF8C"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Inefficient support, untargeted ads</w:t>
            </w:r>
          </w:p>
        </w:tc>
      </w:tr>
      <w:tr w:rsidR="00A9373B" w14:paraId="2F747C5C" w14:textId="77777777">
        <w:trPr>
          <w:jc w:val="center"/>
        </w:trPr>
        <w:tc>
          <w:tcPr>
            <w:tcW w:w="2160" w:type="dxa"/>
            <w:shd w:val="clear" w:color="auto" w:fill="FFFFFF"/>
          </w:tcPr>
          <w:p w14:paraId="2DEE0B90"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Reporting</w:t>
            </w:r>
          </w:p>
        </w:tc>
        <w:tc>
          <w:tcPr>
            <w:tcW w:w="3168" w:type="dxa"/>
            <w:shd w:val="clear" w:color="auto" w:fill="FFFFFF"/>
          </w:tcPr>
          <w:p w14:paraId="203E70AD"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Manual spreadsheet consolidation</w:t>
            </w:r>
          </w:p>
        </w:tc>
        <w:tc>
          <w:tcPr>
            <w:tcW w:w="4032" w:type="dxa"/>
            <w:shd w:val="clear" w:color="auto" w:fill="FFFFFF"/>
          </w:tcPr>
          <w:p w14:paraId="16755CC4"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High latency, calculation errors</w:t>
            </w:r>
          </w:p>
        </w:tc>
      </w:tr>
      <w:tr w:rsidR="00A9373B" w14:paraId="6CADA850" w14:textId="77777777">
        <w:trPr>
          <w:jc w:val="center"/>
        </w:trPr>
        <w:tc>
          <w:tcPr>
            <w:tcW w:w="2160" w:type="dxa"/>
            <w:shd w:val="clear" w:color="auto" w:fill="F2F4F7"/>
          </w:tcPr>
          <w:p w14:paraId="22D38EE5"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Data Security</w:t>
            </w:r>
          </w:p>
        </w:tc>
        <w:tc>
          <w:tcPr>
            <w:tcW w:w="3168" w:type="dxa"/>
            <w:shd w:val="clear" w:color="auto" w:fill="F2F4F7"/>
          </w:tcPr>
          <w:p w14:paraId="291DA6E2"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Shared access, no encryption</w:t>
            </w:r>
          </w:p>
        </w:tc>
        <w:tc>
          <w:tcPr>
            <w:tcW w:w="4032" w:type="dxa"/>
            <w:shd w:val="clear" w:color="auto" w:fill="F2F4F7"/>
          </w:tcPr>
          <w:p w14:paraId="7197EEB6"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High risk of GDPR non-compliance</w:t>
            </w:r>
          </w:p>
        </w:tc>
      </w:tr>
      <w:tr w:rsidR="00A9373B" w14:paraId="28B5D604" w14:textId="77777777">
        <w:trPr>
          <w:jc w:val="center"/>
        </w:trPr>
        <w:tc>
          <w:tcPr>
            <w:tcW w:w="2160" w:type="dxa"/>
            <w:shd w:val="clear" w:color="auto" w:fill="FFFFFF"/>
          </w:tcPr>
          <w:p w14:paraId="5D1EE9FD"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Inter-dept. Workflows</w:t>
            </w:r>
          </w:p>
        </w:tc>
        <w:tc>
          <w:tcPr>
            <w:tcW w:w="3168" w:type="dxa"/>
            <w:shd w:val="clear" w:color="auto" w:fill="FFFFFF"/>
          </w:tcPr>
          <w:p w14:paraId="06038287"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Disconnected software programs</w:t>
            </w:r>
          </w:p>
        </w:tc>
        <w:tc>
          <w:tcPr>
            <w:tcW w:w="4032" w:type="dxa"/>
            <w:shd w:val="clear" w:color="auto" w:fill="FFFFFF"/>
          </w:tcPr>
          <w:p w14:paraId="4FB332EF" w14:textId="77777777" w:rsidR="00A9373B" w:rsidRPr="00FE4664" w:rsidRDefault="00000000" w:rsidP="00FE4664">
            <w:pPr>
              <w:spacing w:line="360" w:lineRule="auto"/>
              <w:rPr>
                <w:rFonts w:ascii="Arial" w:hAnsi="Arial" w:cs="Arial"/>
              </w:rPr>
            </w:pPr>
            <w:r w:rsidRPr="00FE4664">
              <w:rPr>
                <w:rFonts w:ascii="Arial" w:hAnsi="Arial" w:cs="Arial"/>
                <w:color w:val="333333"/>
                <w:sz w:val="20"/>
              </w:rPr>
              <w:t>High labor overhead, data duplication</w:t>
            </w:r>
          </w:p>
        </w:tc>
      </w:tr>
    </w:tbl>
    <w:p w14:paraId="62E00D1A" w14:textId="77777777" w:rsidR="00A9373B" w:rsidRDefault="00A9373B">
      <w:pPr>
        <w:spacing w:after="120"/>
      </w:pPr>
    </w:p>
    <w:p w14:paraId="48637A62"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lastRenderedPageBreak/>
        <w:t>Because databases are updated manually or via batch processing, there is a significant lag between a physical transaction and its recording. This creates 'ghost inventory' where items appear available online but have already been sold in-store, causing delivery failures and administrative overhead (Waller, Fawcett &amp; Johnson 2015). Manually consolidating multiple departmental spreadsheets introduces significant opportunities for human calculation and data entry errors. The resulting delay means leadership receives descriptive data that reflects past performance rather than real-time insights, preventing agile response to shifts in the consumer electronics market (Turban, Outland &amp; King 2018).</w:t>
      </w:r>
    </w:p>
    <w:p w14:paraId="2B5AD692" w14:textId="77777777" w:rsidR="00A9373B" w:rsidRPr="00FE4664" w:rsidRDefault="00000000" w:rsidP="00FE4664">
      <w:pPr>
        <w:spacing w:after="120" w:line="360" w:lineRule="auto"/>
        <w:jc w:val="both"/>
        <w:rPr>
          <w:rFonts w:ascii="Arial" w:hAnsi="Arial" w:cs="Arial"/>
        </w:rPr>
      </w:pPr>
      <w:r w:rsidRPr="00FE4664">
        <w:rPr>
          <w:rFonts w:ascii="Arial" w:hAnsi="Arial" w:cs="Arial"/>
          <w:color w:val="333333"/>
        </w:rPr>
        <w:t>The lack of granular, role-based access control (RBAC) allows unauthorized staff access to personally identifiable information (PII). This architectural vulnerability violates Article 25 and Article 32 of the GDPR, which mandate data protection by design and by default, exposing Maldiva Ltd. to regulatory fines of up to 4% of global annual turnover (Voigt &amp; Von dem Bussche 2017). Manually transferring data across disconnected software platforms introduces significant labor costs and operational friction. This reduces organizational agility, limits throughput, and degrades the overall customer experience.</w:t>
      </w:r>
    </w:p>
    <w:p w14:paraId="56E67821" w14:textId="77777777" w:rsidR="00A9373B" w:rsidRPr="00FE4664" w:rsidRDefault="00000000" w:rsidP="00FC04DC">
      <w:pPr>
        <w:pStyle w:val="Heading1"/>
        <w:rPr>
          <w:rFonts w:ascii="Arial" w:hAnsi="Arial" w:cs="Arial"/>
        </w:rPr>
      </w:pPr>
      <w:bookmarkStart w:id="6" w:name="_Toc234742702"/>
      <w:r w:rsidRPr="00FE4664">
        <w:rPr>
          <w:rFonts w:ascii="Arial" w:hAnsi="Arial" w:cs="Arial"/>
        </w:rPr>
        <w:t>3. Recommended Solution</w:t>
      </w:r>
      <w:bookmarkEnd w:id="6"/>
    </w:p>
    <w:p w14:paraId="629B62B4" w14:textId="77777777" w:rsidR="00A9373B" w:rsidRPr="00FE4664" w:rsidRDefault="00000000" w:rsidP="00FC04DC">
      <w:pPr>
        <w:pStyle w:val="Heading2"/>
        <w:rPr>
          <w:rFonts w:ascii="Arial" w:hAnsi="Arial" w:cs="Arial"/>
        </w:rPr>
      </w:pPr>
      <w:bookmarkStart w:id="7" w:name="_Toc234742703"/>
      <w:r w:rsidRPr="00FE4664">
        <w:rPr>
          <w:rFonts w:ascii="Arial" w:hAnsi="Arial" w:cs="Arial"/>
        </w:rPr>
        <w:t>3.1 Proposal of a Strategic Solution Architecture</w:t>
      </w:r>
      <w:bookmarkEnd w:id="7"/>
    </w:p>
    <w:p w14:paraId="7E266FA0"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To resolve these systemic inefficiencies, Maldiva Ltd. should phase out its legacy architecture and implement a cloud-based Enterprise Resource Planning (ERP) platform integrated with a specialized, native Customer Relationship Management (CRM) module. This report recommends industry-standard enterprise applications such as Microsoft Dynamics 365 or Oracle NetSuite. This unified enterprise architecture operates on a single, centralized database utilizing a Software-as-a-Service (SaaS) delivery model. By replacing disparate departmental systems with a single data repository, Maldiva Ltd. can consolidate all transactions, inventory shifts, customer profiles, and financial ledgers into a single source of truth.</w:t>
      </w:r>
    </w:p>
    <w:p w14:paraId="23953DF8" w14:textId="77777777" w:rsidR="00A9373B" w:rsidRPr="00591987" w:rsidRDefault="00000000" w:rsidP="00FC04DC">
      <w:pPr>
        <w:pStyle w:val="Heading2"/>
        <w:rPr>
          <w:rFonts w:ascii="Arial" w:hAnsi="Arial" w:cs="Arial"/>
        </w:rPr>
      </w:pPr>
      <w:bookmarkStart w:id="8" w:name="_Toc234742704"/>
      <w:r w:rsidRPr="00591987">
        <w:rPr>
          <w:rFonts w:ascii="Arial" w:hAnsi="Arial" w:cs="Arial"/>
        </w:rPr>
        <w:t>3.2 Strategic Justification of the Recommendation</w:t>
      </w:r>
      <w:bookmarkEnd w:id="8"/>
    </w:p>
    <w:p w14:paraId="2F771BDA"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Alignment with Business Requirements:</w:t>
      </w:r>
      <w:r w:rsidRPr="00591987">
        <w:rPr>
          <w:rFonts w:ascii="Arial" w:hAnsi="Arial" w:cs="Arial"/>
          <w:color w:val="333333"/>
        </w:rPr>
        <w:t xml:space="preserve"> A cloud ERP natively addresses Maldiva Ltd.’s core operational challenges. The inventory management module uses real-time transactional synchronization across all 30 retail locations and the e-commerce platform. When a consumer electronics product is scanned at a brick-and-mortar register, the system updates the centralized database via an API, instantly adjusting online stock availability to prevent overselling (Monk &amp; Wagner 2013).</w:t>
      </w:r>
    </w:p>
    <w:p w14:paraId="07743BFC"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lastRenderedPageBreak/>
        <w:t>Process Efficiency:</w:t>
      </w:r>
      <w:r w:rsidRPr="00591987">
        <w:rPr>
          <w:rFonts w:ascii="Arial" w:hAnsi="Arial" w:cs="Arial"/>
          <w:color w:val="333333"/>
        </w:rPr>
        <w:t xml:space="preserve"> By automating cross-functional workflows, the ERP removes the need for manual data entry between departments. For example, an online purchase instantly updates inventory records, records the sale in the financial ledger, and updates the customer profile without human intervention. This optimization minimizes operational errors and accelerates order fulfillment (Romero &amp; Vernadat 2016).</w:t>
      </w:r>
    </w:p>
    <w:p w14:paraId="112DF875"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Financial and Economic Justification:</w:t>
      </w:r>
      <w:r w:rsidRPr="00591987">
        <w:rPr>
          <w:rFonts w:ascii="Arial" w:hAnsi="Arial" w:cs="Arial"/>
          <w:color w:val="333333"/>
        </w:rPr>
        <w:t xml:space="preserve"> Adopting a SaaS cloud model converts upfront capital expenditure (CapEx) into predictable operating expenditure (OpEx). Maldiva Ltd. can avoid major initial investments in localized server hardware, climate-controlled data centers, and specialized network infrastructure (Rainer &amp; Prince 2020). Reduced administrative overhead and fewer stock write-offs provide a clear path to return on investment (ROI).</w:t>
      </w:r>
    </w:p>
    <w:p w14:paraId="2BA1660A"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Enterprise Scalability:</w:t>
      </w:r>
      <w:r w:rsidRPr="00591987">
        <w:rPr>
          <w:rFonts w:ascii="Arial" w:hAnsi="Arial" w:cs="Arial"/>
          <w:color w:val="333333"/>
        </w:rPr>
        <w:t xml:space="preserve"> The proposed cloud infrastructure easily scales alongside the company’s physical and digital expansion plans. Adding new retail stores, distribution centers, or e-commerce storefronts requires no architectural redesign; new endpoints can be provisioned within the existing cloud framework as needed (Valacich &amp; Schneider 2018).</w:t>
      </w:r>
    </w:p>
    <w:p w14:paraId="69D456B0" w14:textId="77777777" w:rsidR="00A9373B" w:rsidRPr="00591987" w:rsidRDefault="00000000" w:rsidP="00FC04DC">
      <w:pPr>
        <w:pStyle w:val="Heading2"/>
        <w:rPr>
          <w:rFonts w:ascii="Arial" w:hAnsi="Arial" w:cs="Arial"/>
        </w:rPr>
      </w:pPr>
      <w:bookmarkStart w:id="9" w:name="_Toc234742705"/>
      <w:r w:rsidRPr="00591987">
        <w:rPr>
          <w:rFonts w:ascii="Arial" w:hAnsi="Arial" w:cs="Arial"/>
        </w:rPr>
        <w:t>3.3 Expected Improvements in Operations, Analytics, and Data Governance</w:t>
      </w:r>
      <w:bookmarkEnd w:id="9"/>
    </w:p>
    <w:p w14:paraId="120E7B9A"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 xml:space="preserve">Omnichannel fulfillment methods, such as Buy Online, Pick Up </w:t>
      </w:r>
      <w:proofErr w:type="gramStart"/>
      <w:r w:rsidRPr="00591987">
        <w:rPr>
          <w:rFonts w:ascii="Arial" w:hAnsi="Arial" w:cs="Arial"/>
          <w:color w:val="333333"/>
        </w:rPr>
        <w:t>In</w:t>
      </w:r>
      <w:proofErr w:type="gramEnd"/>
      <w:r w:rsidRPr="00591987">
        <w:rPr>
          <w:rFonts w:ascii="Arial" w:hAnsi="Arial" w:cs="Arial"/>
          <w:color w:val="333333"/>
        </w:rPr>
        <w:t xml:space="preserve"> Store (BOPIS) and ship-from-store, become operationally viable because the system maintains a real-time view of inventory locations (Christopher 2016). This agility optimizes supply chain throughput and significantly improves order fulfillment metrics. Integrated Business Intelligence (BI) engines, such as Microsoft Power BI or NetSuite Analytics, extract transactional and operational data directly from the unified database. This provides leadership with real-time dashboards tracking sales margins, inventory turns, and shifting consumer trends, allowing for accurate predictive forecasting (Davenport 2018; Davenport &amp; Harris 2017).</w:t>
      </w:r>
    </w:p>
    <w:p w14:paraId="50A8785E"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Cloud-based enterprise applications provide robust compliance tools to help meet strict global standards like the GDPR (Hefferman 2021). Security administrators can implement granular Role-Based Access Control (RBAC), ensuring employees only access data required for their specific duties. Advanced auditing logs record every data view, modification, and deletion, while built-in encryption protects personally identifiable information (PII) both at rest and in transit (Sallam &amp; Awad 2020).</w:t>
      </w:r>
    </w:p>
    <w:p w14:paraId="6A1E9B8B" w14:textId="77777777" w:rsidR="00A9373B" w:rsidRPr="00591987" w:rsidRDefault="00000000" w:rsidP="00FC04DC">
      <w:pPr>
        <w:pStyle w:val="Heading1"/>
        <w:rPr>
          <w:rFonts w:ascii="Arial" w:hAnsi="Arial" w:cs="Arial"/>
        </w:rPr>
      </w:pPr>
      <w:bookmarkStart w:id="10" w:name="_Toc234742706"/>
      <w:r w:rsidRPr="00591987">
        <w:rPr>
          <w:rFonts w:ascii="Arial" w:hAnsi="Arial" w:cs="Arial"/>
        </w:rPr>
        <w:lastRenderedPageBreak/>
        <w:t>4. Implementation Plan</w:t>
      </w:r>
      <w:bookmarkEnd w:id="10"/>
    </w:p>
    <w:p w14:paraId="334204D4" w14:textId="77777777" w:rsidR="00A9373B" w:rsidRPr="00591987" w:rsidRDefault="00000000" w:rsidP="00FC04DC">
      <w:pPr>
        <w:pStyle w:val="Heading2"/>
        <w:rPr>
          <w:rFonts w:ascii="Arial" w:hAnsi="Arial" w:cs="Arial"/>
        </w:rPr>
      </w:pPr>
      <w:bookmarkStart w:id="11" w:name="_Toc234742707"/>
      <w:r w:rsidRPr="00591987">
        <w:rPr>
          <w:rFonts w:ascii="Arial" w:hAnsi="Arial" w:cs="Arial"/>
        </w:rPr>
        <w:t>4.1 System Development Life Cycle (SDLC) Phase Matrix</w:t>
      </w:r>
      <w:bookmarkEnd w:id="11"/>
    </w:p>
    <w:p w14:paraId="06C010FC"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A phased, structured methodology minimizes operational downtime and deployment risks. This project will follow a structured System Development Life Cycle (SDLC) divided into six distinct stages (Marakas &amp; O'Brien 2013):</w:t>
      </w:r>
    </w:p>
    <w:p w14:paraId="11585077"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1: Discovery &amp; Analysis (Weeks 1-4) -</w:t>
      </w:r>
      <w:r w:rsidRPr="00591987">
        <w:rPr>
          <w:rFonts w:ascii="Arial" w:hAnsi="Arial" w:cs="Arial"/>
          <w:color w:val="333333"/>
        </w:rPr>
        <w:t xml:space="preserve"> Define business processes, data flows, and configuration requirements.</w:t>
      </w:r>
    </w:p>
    <w:p w14:paraId="0413B28F"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2: Architecture &amp; Design (Weeks 5-10) -</w:t>
      </w:r>
      <w:r w:rsidRPr="00591987">
        <w:rPr>
          <w:rFonts w:ascii="Arial" w:hAnsi="Arial" w:cs="Arial"/>
          <w:color w:val="333333"/>
        </w:rPr>
        <w:t xml:space="preserve"> Design target schemas, API integrations, and RBAC security models.</w:t>
      </w:r>
    </w:p>
    <w:p w14:paraId="02B5DCD0"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3: Development &amp; Configuration (Weeks 11-18) -</w:t>
      </w:r>
      <w:r w:rsidRPr="00591987">
        <w:rPr>
          <w:rFonts w:ascii="Arial" w:hAnsi="Arial" w:cs="Arial"/>
          <w:color w:val="333333"/>
        </w:rPr>
        <w:t xml:space="preserve"> Configure cloud instances, build data pipelines, and migrate legacy data.</w:t>
      </w:r>
    </w:p>
    <w:p w14:paraId="15E4C845"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4: Testing &amp; Quality Assurance (Weeks 19-22) -</w:t>
      </w:r>
      <w:r w:rsidRPr="00591987">
        <w:rPr>
          <w:rFonts w:ascii="Arial" w:hAnsi="Arial" w:cs="Arial"/>
          <w:color w:val="333333"/>
        </w:rPr>
        <w:t xml:space="preserve"> Conduct full system integration testing (SIT) and user acceptance testing (UAT) across business units.</w:t>
      </w:r>
    </w:p>
    <w:p w14:paraId="04E3B519"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5: Deployment &amp; Go-Live (Weeks 23-24) -</w:t>
      </w:r>
      <w:r w:rsidRPr="00591987">
        <w:rPr>
          <w:rFonts w:ascii="Arial" w:hAnsi="Arial" w:cs="Arial"/>
          <w:color w:val="333333"/>
        </w:rPr>
        <w:t xml:space="preserve"> Execute a phased regional rollout with a hypercare support window.</w:t>
      </w:r>
    </w:p>
    <w:p w14:paraId="2EA722C6" w14:textId="77777777" w:rsidR="00A9373B" w:rsidRPr="00591987" w:rsidRDefault="00000000" w:rsidP="00591987">
      <w:pPr>
        <w:pStyle w:val="ListBullet"/>
        <w:spacing w:after="60" w:line="360" w:lineRule="auto"/>
        <w:jc w:val="both"/>
        <w:rPr>
          <w:rFonts w:ascii="Arial" w:hAnsi="Arial" w:cs="Arial"/>
        </w:rPr>
      </w:pPr>
      <w:r w:rsidRPr="00591987">
        <w:rPr>
          <w:rFonts w:ascii="Arial" w:hAnsi="Arial" w:cs="Arial"/>
          <w:b/>
          <w:color w:val="333333"/>
        </w:rPr>
        <w:t>Phase 6: Post-Implementation Review (Ongoing) -</w:t>
      </w:r>
      <w:r w:rsidRPr="00591987">
        <w:rPr>
          <w:rFonts w:ascii="Arial" w:hAnsi="Arial" w:cs="Arial"/>
          <w:color w:val="333333"/>
        </w:rPr>
        <w:t xml:space="preserve"> Continuous optimization, system auditing, and iterative refinement.</w:t>
      </w:r>
    </w:p>
    <w:p w14:paraId="5CEDE397" w14:textId="77777777" w:rsidR="00A9373B" w:rsidRPr="00591987" w:rsidRDefault="00000000" w:rsidP="00FC04DC">
      <w:pPr>
        <w:pStyle w:val="Heading2"/>
        <w:rPr>
          <w:rFonts w:ascii="Arial" w:hAnsi="Arial" w:cs="Arial"/>
        </w:rPr>
      </w:pPr>
      <w:bookmarkStart w:id="12" w:name="_Toc234742708"/>
      <w:r w:rsidRPr="00591987">
        <w:rPr>
          <w:rFonts w:ascii="Arial" w:hAnsi="Arial" w:cs="Arial"/>
        </w:rPr>
        <w:t>4.2 Comprehensive Implementation Considerations</w:t>
      </w:r>
      <w:bookmarkEnd w:id="12"/>
    </w:p>
    <w:p w14:paraId="2D40F3A5"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Migrating customer records, vendor files, and historical transactional data out of siloed legacy databases and unstructured spreadsheets requires a structured Extract, Transform, Load (ETL) framework. Data must be extracted from existing sources and cleansed to remove duplicate profiles and formatting anomalies. It is then transformed to fit the new system's relational schema before being securely loaded into the production database.</w:t>
      </w:r>
    </w:p>
    <w:p w14:paraId="2FCFC7FA" w14:textId="77777777" w:rsidR="00A9373B" w:rsidRPr="00591987" w:rsidRDefault="00000000" w:rsidP="00591987">
      <w:pPr>
        <w:spacing w:after="120" w:line="360" w:lineRule="auto"/>
        <w:jc w:val="both"/>
        <w:rPr>
          <w:rFonts w:ascii="Arial" w:hAnsi="Arial" w:cs="Arial"/>
        </w:rPr>
      </w:pPr>
      <w:r w:rsidRPr="00591987">
        <w:rPr>
          <w:rFonts w:ascii="Arial" w:hAnsi="Arial" w:cs="Arial"/>
          <w:color w:val="333333"/>
        </w:rPr>
        <w:t>The new platform will connect to Maldiva Ltd.’s current e-commerce engine using secure, RESTful Application Programming Interfaces (APIs). Transactional details are sent to the ERP in real time via JSON format, while inventory levels sync back to the e-commerce storefront automatically. Employee resistance is a common point of failure for large-scale enterprise system rollouts (Ward &amp; Peppard 2016). To manage this transition, Maldiva Ltd. will use a 'Train-the-Trainer' approach. Selected department heads and senior store managers will receive deep, early access training to become internal system champions, who will then run hands-on, role-specific sessions.</w:t>
      </w:r>
    </w:p>
    <w:p w14:paraId="51377CCA" w14:textId="77777777" w:rsidR="00A9373B" w:rsidRPr="00591987" w:rsidRDefault="00000000" w:rsidP="00FC04DC">
      <w:pPr>
        <w:pStyle w:val="Heading2"/>
        <w:rPr>
          <w:rFonts w:ascii="Arial" w:hAnsi="Arial" w:cs="Arial"/>
        </w:rPr>
      </w:pPr>
      <w:bookmarkStart w:id="13" w:name="_Toc234742709"/>
      <w:r w:rsidRPr="00591987">
        <w:rPr>
          <w:rFonts w:ascii="Arial" w:hAnsi="Arial" w:cs="Arial"/>
        </w:rPr>
        <w:lastRenderedPageBreak/>
        <w:t>4.3 Risk Management, Challenges, and Mitigation Framework</w:t>
      </w:r>
      <w:bookmarkEnd w:id="13"/>
    </w:p>
    <w:tbl>
      <w:tblPr>
        <w:tblW w:w="0" w:type="auto"/>
        <w:jc w:val="center"/>
        <w:tblLayout w:type="fixed"/>
        <w:tblLook w:val="04A0" w:firstRow="1" w:lastRow="0" w:firstColumn="1" w:lastColumn="0" w:noHBand="0" w:noVBand="1"/>
      </w:tblPr>
      <w:tblGrid>
        <w:gridCol w:w="2880"/>
        <w:gridCol w:w="6480"/>
      </w:tblGrid>
      <w:tr w:rsidR="00A9373B" w14:paraId="47593A5C" w14:textId="77777777">
        <w:trPr>
          <w:jc w:val="center"/>
        </w:trPr>
        <w:tc>
          <w:tcPr>
            <w:tcW w:w="2880" w:type="dxa"/>
            <w:shd w:val="clear" w:color="auto" w:fill="1F4E79"/>
          </w:tcPr>
          <w:p w14:paraId="58BB2959" w14:textId="77777777" w:rsidR="00A9373B" w:rsidRPr="00591987" w:rsidRDefault="00000000" w:rsidP="00591987">
            <w:pPr>
              <w:spacing w:line="360" w:lineRule="auto"/>
              <w:jc w:val="center"/>
              <w:rPr>
                <w:rFonts w:ascii="Arial" w:hAnsi="Arial" w:cs="Arial"/>
              </w:rPr>
            </w:pPr>
            <w:r w:rsidRPr="00591987">
              <w:rPr>
                <w:rFonts w:ascii="Arial" w:hAnsi="Arial" w:cs="Arial"/>
                <w:b/>
                <w:color w:val="FFFFFF"/>
                <w:sz w:val="20"/>
              </w:rPr>
              <w:t>Identified Project Risk</w:t>
            </w:r>
          </w:p>
        </w:tc>
        <w:tc>
          <w:tcPr>
            <w:tcW w:w="6480" w:type="dxa"/>
            <w:shd w:val="clear" w:color="auto" w:fill="1F4E79"/>
          </w:tcPr>
          <w:p w14:paraId="1F2E1E9D" w14:textId="77777777" w:rsidR="00A9373B" w:rsidRPr="00591987" w:rsidRDefault="00000000" w:rsidP="00591987">
            <w:pPr>
              <w:spacing w:line="360" w:lineRule="auto"/>
              <w:jc w:val="center"/>
              <w:rPr>
                <w:rFonts w:ascii="Arial" w:hAnsi="Arial" w:cs="Arial"/>
              </w:rPr>
            </w:pPr>
            <w:r w:rsidRPr="00591987">
              <w:rPr>
                <w:rFonts w:ascii="Arial" w:hAnsi="Arial" w:cs="Arial"/>
                <w:b/>
                <w:color w:val="FFFFFF"/>
                <w:sz w:val="20"/>
              </w:rPr>
              <w:t>Strategic Mitigation Framework</w:t>
            </w:r>
          </w:p>
        </w:tc>
      </w:tr>
      <w:tr w:rsidR="00A9373B" w14:paraId="3E224C1D" w14:textId="77777777">
        <w:trPr>
          <w:jc w:val="center"/>
        </w:trPr>
        <w:tc>
          <w:tcPr>
            <w:tcW w:w="2880" w:type="dxa"/>
            <w:shd w:val="clear" w:color="auto" w:fill="FFFFFF"/>
          </w:tcPr>
          <w:p w14:paraId="4520C6A5"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Scope Creep</w:t>
            </w:r>
          </w:p>
        </w:tc>
        <w:tc>
          <w:tcPr>
            <w:tcW w:w="6480" w:type="dxa"/>
            <w:shd w:val="clear" w:color="auto" w:fill="FFFFFF"/>
          </w:tcPr>
          <w:p w14:paraId="15717F03"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Implement a strict change control board (CCB). Changes outside the original project scope require clear business validation and approval.</w:t>
            </w:r>
          </w:p>
        </w:tc>
      </w:tr>
      <w:tr w:rsidR="00A9373B" w14:paraId="34F79A54" w14:textId="77777777">
        <w:trPr>
          <w:jc w:val="center"/>
        </w:trPr>
        <w:tc>
          <w:tcPr>
            <w:tcW w:w="2880" w:type="dxa"/>
            <w:shd w:val="clear" w:color="auto" w:fill="F2F4F7"/>
          </w:tcPr>
          <w:p w14:paraId="44CECCF3"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Operational Business Interruption</w:t>
            </w:r>
          </w:p>
        </w:tc>
        <w:tc>
          <w:tcPr>
            <w:tcW w:w="6480" w:type="dxa"/>
            <w:shd w:val="clear" w:color="auto" w:fill="F2F4F7"/>
          </w:tcPr>
          <w:p w14:paraId="4C996D01"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Avoid a 'Big Bang' cutover. Use a phased regional rollout, deploying to groups of 5-10 stores at a time to isolate and manage initial issues.</w:t>
            </w:r>
          </w:p>
        </w:tc>
      </w:tr>
      <w:tr w:rsidR="00A9373B" w14:paraId="36088CA8" w14:textId="77777777">
        <w:trPr>
          <w:jc w:val="center"/>
        </w:trPr>
        <w:tc>
          <w:tcPr>
            <w:tcW w:w="2880" w:type="dxa"/>
            <w:shd w:val="clear" w:color="auto" w:fill="FFFFFF"/>
          </w:tcPr>
          <w:p w14:paraId="19E84FA0"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Data Contamination during ETL</w:t>
            </w:r>
          </w:p>
        </w:tc>
        <w:tc>
          <w:tcPr>
            <w:tcW w:w="6480" w:type="dxa"/>
            <w:shd w:val="clear" w:color="auto" w:fill="FFFFFF"/>
          </w:tcPr>
          <w:p w14:paraId="00436F11" w14:textId="77777777" w:rsidR="00A9373B" w:rsidRPr="00591987" w:rsidRDefault="00000000" w:rsidP="00591987">
            <w:pPr>
              <w:spacing w:line="360" w:lineRule="auto"/>
              <w:rPr>
                <w:rFonts w:ascii="Arial" w:hAnsi="Arial" w:cs="Arial"/>
              </w:rPr>
            </w:pPr>
            <w:r w:rsidRPr="00591987">
              <w:rPr>
                <w:rFonts w:ascii="Arial" w:hAnsi="Arial" w:cs="Arial"/>
                <w:color w:val="333333"/>
                <w:sz w:val="20"/>
              </w:rPr>
              <w:t>Run comprehensive schema validation and dry-run migrations in an isolated sandbox environment before moving any production data.</w:t>
            </w:r>
          </w:p>
        </w:tc>
      </w:tr>
    </w:tbl>
    <w:p w14:paraId="0108ECB1" w14:textId="77777777" w:rsidR="00A9373B" w:rsidRDefault="00A9373B">
      <w:pPr>
        <w:spacing w:after="120"/>
      </w:pPr>
    </w:p>
    <w:p w14:paraId="4E6CF421" w14:textId="77777777" w:rsidR="00A9373B" w:rsidRPr="00591987" w:rsidRDefault="00000000" w:rsidP="00FC04DC">
      <w:pPr>
        <w:pStyle w:val="Heading1"/>
        <w:rPr>
          <w:rFonts w:ascii="Arial" w:hAnsi="Arial" w:cs="Arial"/>
        </w:rPr>
      </w:pPr>
      <w:bookmarkStart w:id="14" w:name="_Toc234742710"/>
      <w:r w:rsidRPr="00591987">
        <w:rPr>
          <w:rFonts w:ascii="Arial" w:hAnsi="Arial" w:cs="Arial"/>
        </w:rPr>
        <w:t>5. Conclusion</w:t>
      </w:r>
      <w:bookmarkEnd w:id="14"/>
    </w:p>
    <w:p w14:paraId="44DE67D0" w14:textId="77777777" w:rsidR="00A9373B" w:rsidRDefault="00000000" w:rsidP="00591987">
      <w:pPr>
        <w:spacing w:after="120" w:line="360" w:lineRule="auto"/>
        <w:jc w:val="both"/>
        <w:rPr>
          <w:rFonts w:ascii="Arial" w:hAnsi="Arial" w:cs="Arial"/>
          <w:color w:val="333333"/>
        </w:rPr>
      </w:pPr>
      <w:r w:rsidRPr="00591987">
        <w:rPr>
          <w:rFonts w:ascii="Arial" w:hAnsi="Arial" w:cs="Arial"/>
          <w:color w:val="333333"/>
        </w:rPr>
        <w:t>Maldiva Ltd.’s current reliance on disconnected legacy systems and manual tracking creates significant operational bottlenecks that limit its growth. The lack of synchronized inventory tracking, isolated customer records, slow manual reporting, and vulnerabilities in data security present clear risks to the company's financial health and regulatory compliance. Transitioning to an integrated, cloud-based ERP and CRM architecture solves these core operational issues. This investment replaces disconnected silos with a single, real-time source of truth, automating cross-functional workflows and protecting customer data. With an organized, phased implementation plan and a focus on change management, Maldiva Ltd. can reduce administrative friction, ensure long-term regulatory compliance, and support a scalable omnichannel strategy for future market expansion.</w:t>
      </w:r>
    </w:p>
    <w:p w14:paraId="3068F7C5" w14:textId="77777777" w:rsidR="00591987" w:rsidRDefault="00591987" w:rsidP="00591987">
      <w:pPr>
        <w:spacing w:after="120" w:line="360" w:lineRule="auto"/>
        <w:jc w:val="both"/>
        <w:rPr>
          <w:rFonts w:ascii="Arial" w:hAnsi="Arial" w:cs="Arial"/>
          <w:color w:val="333333"/>
        </w:rPr>
      </w:pPr>
    </w:p>
    <w:p w14:paraId="7EF2B0B8" w14:textId="77777777" w:rsidR="00591987" w:rsidRDefault="00591987" w:rsidP="00591987">
      <w:pPr>
        <w:spacing w:after="120" w:line="360" w:lineRule="auto"/>
        <w:jc w:val="both"/>
        <w:rPr>
          <w:rFonts w:ascii="Arial" w:hAnsi="Arial" w:cs="Arial"/>
          <w:color w:val="333333"/>
        </w:rPr>
      </w:pPr>
    </w:p>
    <w:p w14:paraId="4B689BA7" w14:textId="77777777" w:rsidR="00591987" w:rsidRDefault="00591987" w:rsidP="00591987">
      <w:pPr>
        <w:spacing w:after="120" w:line="360" w:lineRule="auto"/>
        <w:jc w:val="both"/>
        <w:rPr>
          <w:rFonts w:ascii="Arial" w:hAnsi="Arial" w:cs="Arial"/>
          <w:color w:val="333333"/>
        </w:rPr>
      </w:pPr>
    </w:p>
    <w:p w14:paraId="62E99F37" w14:textId="77777777" w:rsidR="00591987" w:rsidRDefault="00591987" w:rsidP="00591987">
      <w:pPr>
        <w:spacing w:after="120" w:line="360" w:lineRule="auto"/>
        <w:jc w:val="both"/>
        <w:rPr>
          <w:rFonts w:ascii="Arial" w:hAnsi="Arial" w:cs="Arial"/>
          <w:color w:val="333333"/>
        </w:rPr>
      </w:pPr>
    </w:p>
    <w:p w14:paraId="1F594852" w14:textId="77777777" w:rsidR="00591987" w:rsidRDefault="00591987" w:rsidP="00591987">
      <w:pPr>
        <w:spacing w:after="120" w:line="360" w:lineRule="auto"/>
        <w:jc w:val="both"/>
        <w:rPr>
          <w:rFonts w:ascii="Arial" w:hAnsi="Arial" w:cs="Arial"/>
          <w:color w:val="333333"/>
        </w:rPr>
      </w:pPr>
    </w:p>
    <w:p w14:paraId="5A5E900F" w14:textId="77777777" w:rsidR="00591987" w:rsidRDefault="00591987" w:rsidP="00591987">
      <w:pPr>
        <w:spacing w:after="120" w:line="360" w:lineRule="auto"/>
        <w:jc w:val="both"/>
        <w:rPr>
          <w:rFonts w:ascii="Arial" w:hAnsi="Arial" w:cs="Arial"/>
          <w:color w:val="333333"/>
        </w:rPr>
      </w:pPr>
    </w:p>
    <w:p w14:paraId="33102CDE" w14:textId="77777777" w:rsidR="00591987" w:rsidRPr="00591987" w:rsidRDefault="00591987" w:rsidP="00591987">
      <w:pPr>
        <w:spacing w:after="120" w:line="360" w:lineRule="auto"/>
        <w:jc w:val="both"/>
        <w:rPr>
          <w:rFonts w:ascii="Arial" w:hAnsi="Arial" w:cs="Arial"/>
        </w:rPr>
      </w:pPr>
    </w:p>
    <w:p w14:paraId="234162FE" w14:textId="77777777" w:rsidR="00A9373B" w:rsidRPr="00591987" w:rsidRDefault="00000000" w:rsidP="00FC04DC">
      <w:pPr>
        <w:pStyle w:val="Heading1"/>
        <w:rPr>
          <w:rFonts w:ascii="Arial" w:hAnsi="Arial" w:cs="Arial"/>
        </w:rPr>
      </w:pPr>
      <w:bookmarkStart w:id="15" w:name="_Toc234742711"/>
      <w:r w:rsidRPr="00591987">
        <w:rPr>
          <w:rFonts w:ascii="Arial" w:hAnsi="Arial" w:cs="Arial"/>
        </w:rPr>
        <w:lastRenderedPageBreak/>
        <w:t>6. References</w:t>
      </w:r>
      <w:bookmarkEnd w:id="15"/>
    </w:p>
    <w:p w14:paraId="1E7F683E"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Buttle, F. and Maklan, S., 2019. Customer Relationship Management: Concepts and Technologies. 4th ed. London: Routledge.</w:t>
      </w:r>
    </w:p>
    <w:p w14:paraId="18CECE52"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Chapple, S., Stewart, J.M. and Gibson, D., 2021. Certified Information Systems Security Professional (CISSP) Official Study Guide. 9th ed. Indianapolis: John Wiley &amp; Sons.</w:t>
      </w:r>
    </w:p>
    <w:p w14:paraId="50CDD151"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Chofreh, A.G., Goni, F.A., Malik, M.N., Khan, H.H. and Klemeš, J.J., 2020. The performance and sustainability of enterprise resource planning implementation. Journal of Cleaner Production, 256, p. 120402.</w:t>
      </w:r>
    </w:p>
    <w:p w14:paraId="02E3ECBE"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Christopher, M., 2016. Logistics &amp; Supply Chain Management. 5th ed. New York: Pearson.</w:t>
      </w:r>
    </w:p>
    <w:p w14:paraId="7CFDE01B"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Davenport, T.H., 2018. From Analytics to AI: What Every Manager Needs to Know About Big Data and Artificial Intelligence. Boston: Harvard Business Review Press.</w:t>
      </w:r>
    </w:p>
    <w:p w14:paraId="328B56A9"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Davenport, T.H. and Harris, J., 2017. Competing on Analytics: The New Science of Winning. Boston: Harvard Business Review Press.</w:t>
      </w:r>
    </w:p>
    <w:p w14:paraId="26885CB3"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Hefferman, J., 2021. Data Protection and GDPR Compliance in Retail Systems. London: Academic Press.</w:t>
      </w:r>
    </w:p>
    <w:p w14:paraId="5859078F"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Laudon, K.C. and Laudon, J.P., 2020. Management Information Systems: Managing the Digital Firm. 16th ed. Boston: Pearson.</w:t>
      </w:r>
    </w:p>
    <w:p w14:paraId="6A83CC31"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Marakas, G.M. and O'Brien, J.A., 2013. Introduction to Information Systems. 16th ed. New York: McGraw-Hill/Irwin.</w:t>
      </w:r>
    </w:p>
    <w:p w14:paraId="5D3D6C6F"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Monk, E. and Wagner, B., 2013. Concepts in Enterprise Resource Planning. 4th ed. Boston: Cengage Learning.</w:t>
      </w:r>
    </w:p>
    <w:p w14:paraId="1875C91A"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Rainer, R.K. and Prince, B., 2020. Introduction to Information Systems. 8th ed. Hoboken: John Wiley &amp; Sons.</w:t>
      </w:r>
    </w:p>
    <w:p w14:paraId="79B097B3"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Romero, D. and Vernadat, F., 2016. Enterprise architecture, integration and interoperability: Past, present and future. Computers in Industry, 79, pp. 32-47.</w:t>
      </w:r>
    </w:p>
    <w:p w14:paraId="06B8A325"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Sallam, M. and Awad, W., 2020. Cloud ERP compliance with GDPR: A proposed security framework. International Journal of Advanced Computer Science and Applications, 11(4), pp. 234-241.</w:t>
      </w:r>
    </w:p>
    <w:p w14:paraId="74577251"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Sharda, R., Delen, D. and Turban, E., 2020. Analytics, Data Science, &amp; Artificial Intelligence: Systems for Decision Support. 11th ed. Boston: Pearson.</w:t>
      </w:r>
    </w:p>
    <w:p w14:paraId="59C99040"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Stair, R. and Reynolds, G., 2018. Principles of Information Systems. 13th ed. Boston: Cengage Learning.</w:t>
      </w:r>
    </w:p>
    <w:p w14:paraId="24AFC6C9"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Turban, E., Outland, J. and King, D., 2018. Electronic Commerce 2018: A Managerial and Social Networks Perspective. Cham: Springer.</w:t>
      </w:r>
    </w:p>
    <w:p w14:paraId="0669D734"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lastRenderedPageBreak/>
        <w:t>Valacich, J. and Schneider, C., 2018. Information Systems Today: Managing in the Digital World. 8th ed. Boston: Pearson.</w:t>
      </w:r>
    </w:p>
    <w:p w14:paraId="257192A0"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Voigt, P. and Von dem Bussche, A., 2017. The EU General Data Protection Regulation (GDPR): A Practical Guide. Cham: Springer.</w:t>
      </w:r>
    </w:p>
    <w:p w14:paraId="1112C876"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Waller, M.A., Fawcett, S.E. and Johnson, J.L., 2015. Inventory sharing in omnichannel retail supply chains. Journal of Business Logistics, 36(4), pp. 321-334.</w:t>
      </w:r>
    </w:p>
    <w:p w14:paraId="18A12386" w14:textId="77777777" w:rsidR="00A9373B" w:rsidRPr="00591987" w:rsidRDefault="00000000" w:rsidP="00591987">
      <w:pPr>
        <w:spacing w:after="80" w:line="360" w:lineRule="auto"/>
        <w:ind w:left="360"/>
        <w:jc w:val="both"/>
        <w:rPr>
          <w:rFonts w:ascii="Arial" w:hAnsi="Arial" w:cs="Arial"/>
        </w:rPr>
      </w:pPr>
      <w:r w:rsidRPr="00591987">
        <w:rPr>
          <w:rFonts w:ascii="Arial" w:hAnsi="Arial" w:cs="Arial"/>
          <w:color w:val="333333"/>
          <w:sz w:val="20"/>
        </w:rPr>
        <w:t>Ward, J. and Peppard, J., 2016. The Strategic Management of Information Systems: Building a Digital Strategy. 4th ed. Chichester: John Wiley &amp; Sons.</w:t>
      </w:r>
    </w:p>
    <w:sectPr w:rsidR="00A9373B" w:rsidRPr="00591987"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49AE2" w14:textId="77777777" w:rsidR="006478DC" w:rsidRDefault="006478DC" w:rsidP="00591987">
      <w:pPr>
        <w:spacing w:after="0" w:line="240" w:lineRule="auto"/>
      </w:pPr>
      <w:r>
        <w:separator/>
      </w:r>
    </w:p>
  </w:endnote>
  <w:endnote w:type="continuationSeparator" w:id="0">
    <w:p w14:paraId="59A3EA77" w14:textId="77777777" w:rsidR="006478DC" w:rsidRDefault="006478DC" w:rsidP="005919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6158796"/>
      <w:docPartObj>
        <w:docPartGallery w:val="Page Numbers (Bottom of Page)"/>
        <w:docPartUnique/>
      </w:docPartObj>
    </w:sdtPr>
    <w:sdtContent>
      <w:p w14:paraId="03DB4B77" w14:textId="2600CA1A" w:rsidR="00591987" w:rsidRDefault="00591987">
        <w:pPr>
          <w:pStyle w:val="Footer"/>
          <w:jc w:val="center"/>
        </w:pPr>
        <w:r>
          <w:fldChar w:fldCharType="begin"/>
        </w:r>
        <w:r>
          <w:instrText>PAGE   \* MERGEFORMAT</w:instrText>
        </w:r>
        <w:r>
          <w:fldChar w:fldCharType="separate"/>
        </w:r>
        <w:r>
          <w:rPr>
            <w:lang w:val="en-GB"/>
          </w:rPr>
          <w:t>2</w:t>
        </w:r>
        <w:r>
          <w:fldChar w:fldCharType="end"/>
        </w:r>
      </w:p>
    </w:sdtContent>
  </w:sdt>
  <w:p w14:paraId="3D3908A1" w14:textId="77777777" w:rsidR="00591987" w:rsidRDefault="005919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D098E" w14:textId="77777777" w:rsidR="006478DC" w:rsidRDefault="006478DC" w:rsidP="00591987">
      <w:pPr>
        <w:spacing w:after="0" w:line="240" w:lineRule="auto"/>
      </w:pPr>
      <w:r>
        <w:separator/>
      </w:r>
    </w:p>
  </w:footnote>
  <w:footnote w:type="continuationSeparator" w:id="0">
    <w:p w14:paraId="08281219" w14:textId="77777777" w:rsidR="006478DC" w:rsidRDefault="006478DC" w:rsidP="005919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25203906">
    <w:abstractNumId w:val="8"/>
  </w:num>
  <w:num w:numId="2" w16cid:durableId="1515219404">
    <w:abstractNumId w:val="6"/>
  </w:num>
  <w:num w:numId="3" w16cid:durableId="973561956">
    <w:abstractNumId w:val="5"/>
  </w:num>
  <w:num w:numId="4" w16cid:durableId="881594631">
    <w:abstractNumId w:val="4"/>
  </w:num>
  <w:num w:numId="5" w16cid:durableId="690886287">
    <w:abstractNumId w:val="7"/>
  </w:num>
  <w:num w:numId="6" w16cid:durableId="1285192858">
    <w:abstractNumId w:val="3"/>
  </w:num>
  <w:num w:numId="7" w16cid:durableId="601960664">
    <w:abstractNumId w:val="2"/>
  </w:num>
  <w:num w:numId="8" w16cid:durableId="1353533325">
    <w:abstractNumId w:val="1"/>
  </w:num>
  <w:num w:numId="9" w16cid:durableId="20487250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1450F"/>
    <w:rsid w:val="00034616"/>
    <w:rsid w:val="0006063C"/>
    <w:rsid w:val="0015074B"/>
    <w:rsid w:val="0029639D"/>
    <w:rsid w:val="00326F90"/>
    <w:rsid w:val="00591987"/>
    <w:rsid w:val="006478DC"/>
    <w:rsid w:val="00A9373B"/>
    <w:rsid w:val="00AA1D8D"/>
    <w:rsid w:val="00B47730"/>
    <w:rsid w:val="00CB0664"/>
    <w:rsid w:val="00FC04DC"/>
    <w:rsid w:val="00FC693F"/>
    <w:rsid w:val="00FE466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114B464"/>
  <w14:defaultImageDpi w14:val="300"/>
  <w15:docId w15:val="{165C70E2-9813-4A8D-9EF4-868F35B3F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FC04DC"/>
    <w:pPr>
      <w:spacing w:after="100" w:line="259" w:lineRule="auto"/>
      <w:ind w:left="220"/>
    </w:pPr>
    <w:rPr>
      <w:rFonts w:cs="Times New Roman"/>
      <w:lang w:val="en-GB" w:eastAsia="en-GB"/>
    </w:rPr>
  </w:style>
  <w:style w:type="paragraph" w:styleId="TOC1">
    <w:name w:val="toc 1"/>
    <w:basedOn w:val="Normal"/>
    <w:next w:val="Normal"/>
    <w:autoRedefine/>
    <w:uiPriority w:val="39"/>
    <w:unhideWhenUsed/>
    <w:rsid w:val="00FC04DC"/>
    <w:pPr>
      <w:spacing w:after="100" w:line="259" w:lineRule="auto"/>
    </w:pPr>
    <w:rPr>
      <w:rFonts w:cs="Times New Roman"/>
      <w:lang w:val="en-GB" w:eastAsia="en-GB"/>
    </w:rPr>
  </w:style>
  <w:style w:type="paragraph" w:styleId="TOC3">
    <w:name w:val="toc 3"/>
    <w:basedOn w:val="Normal"/>
    <w:next w:val="Normal"/>
    <w:autoRedefine/>
    <w:uiPriority w:val="39"/>
    <w:unhideWhenUsed/>
    <w:rsid w:val="00FC04DC"/>
    <w:pPr>
      <w:spacing w:after="100" w:line="259" w:lineRule="auto"/>
      <w:ind w:left="440"/>
    </w:pPr>
    <w:rPr>
      <w:rFonts w:cs="Times New Roman"/>
      <w:lang w:val="en-GB" w:eastAsia="en-GB"/>
    </w:rPr>
  </w:style>
  <w:style w:type="character" w:styleId="Hyperlink">
    <w:name w:val="Hyperlink"/>
    <w:basedOn w:val="DefaultParagraphFont"/>
    <w:uiPriority w:val="99"/>
    <w:unhideWhenUsed/>
    <w:rsid w:val="00FC04D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2826</Words>
  <Characters>16109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18898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Mihaela Amisculesei</cp:lastModifiedBy>
  <cp:revision>2</cp:revision>
  <dcterms:created xsi:type="dcterms:W3CDTF">2013-12-23T23:15:00Z</dcterms:created>
  <dcterms:modified xsi:type="dcterms:W3CDTF">2026-07-12T09:15:00Z</dcterms:modified>
  <cp:category/>
</cp:coreProperties>
</file>