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D8D8D8" w:themeColor="background1" w:themeShade="D8"/>
  <w:body>
    <w:p w14:paraId="2F3A3616" w14:textId="1FFBF747" w:rsidR="00951AD2" w:rsidRDefault="00951AD2"/>
    <w:p w14:paraId="0C8B662E" w14:textId="1AA6155D" w:rsidR="00814B4C" w:rsidRDefault="007540F8">
      <w:r>
        <w:rPr>
          <w:noProof/>
        </w:rPr>
        <w:lastRenderedPageBreak/>
        <w:drawing>
          <wp:inline distT="0" distB="0" distL="0" distR="0" wp14:anchorId="23BA5DD3" wp14:editId="2B92B165">
            <wp:extent cx="5731510" cy="8107680"/>
            <wp:effectExtent l="0" t="0" r="2540" b="7620"/>
            <wp:docPr id="68473356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4733562" name="Picture 684733562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08E46F5" wp14:editId="1C98C38D">
            <wp:extent cx="5731510" cy="8107680"/>
            <wp:effectExtent l="0" t="0" r="2540" b="7620"/>
            <wp:docPr id="202999204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9992042" name="Picture 2029992042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4DC601" w14:textId="77777777" w:rsidR="00814B4C" w:rsidRDefault="00814B4C" w:rsidP="00814B4C">
      <w:pPr>
        <w:rPr>
          <w:b/>
          <w:bCs/>
          <w:sz w:val="28"/>
          <w:szCs w:val="28"/>
        </w:rPr>
      </w:pPr>
    </w:p>
    <w:tbl>
      <w:tblPr>
        <w:tblpPr w:leftFromText="180" w:rightFromText="180" w:vertAnchor="text" w:horzAnchor="margin" w:tblpX="-147" w:tblpY="-191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410"/>
      </w:tblGrid>
      <w:tr w:rsidR="00814B4C" w14:paraId="45BBBE4B" w14:textId="77777777" w:rsidTr="00814B4C">
        <w:trPr>
          <w:trHeight w:val="516"/>
        </w:trPr>
        <w:tc>
          <w:tcPr>
            <w:tcW w:w="2410" w:type="dxa"/>
            <w:shd w:val="clear" w:color="auto" w:fill="E8E8E8" w:themeFill="background2"/>
          </w:tcPr>
          <w:p w14:paraId="42AEC4AB" w14:textId="49BCC965" w:rsidR="00814B4C" w:rsidRDefault="00814B4C" w:rsidP="00814B4C">
            <w:pPr>
              <w:rPr>
                <w:b/>
                <w:bCs/>
                <w:sz w:val="28"/>
                <w:szCs w:val="28"/>
              </w:rPr>
            </w:pPr>
            <w:r w:rsidRPr="00DA031D">
              <w:rPr>
                <w:b/>
                <w:bCs/>
                <w:sz w:val="28"/>
                <w:szCs w:val="28"/>
              </w:rPr>
              <w:lastRenderedPageBreak/>
              <w:t>References</w:t>
            </w:r>
          </w:p>
        </w:tc>
      </w:tr>
    </w:tbl>
    <w:p w14:paraId="05A23535" w14:textId="1A277B4F" w:rsidR="00814B4C" w:rsidRPr="00EB1EB2" w:rsidRDefault="00814B4C" w:rsidP="00814B4C"/>
    <w:tbl>
      <w:tblPr>
        <w:tblW w:w="9239" w:type="dxa"/>
        <w:tblInd w:w="-14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9239"/>
      </w:tblGrid>
      <w:tr w:rsidR="00814B4C" w14:paraId="03C4392A" w14:textId="77777777" w:rsidTr="00814B4C">
        <w:trPr>
          <w:trHeight w:val="5242"/>
        </w:trPr>
        <w:tc>
          <w:tcPr>
            <w:tcW w:w="9239" w:type="dxa"/>
            <w:shd w:val="clear" w:color="auto" w:fill="E8E8E8" w:themeFill="background2"/>
          </w:tcPr>
          <w:p w14:paraId="6A1A458D" w14:textId="77777777" w:rsidR="007540F8" w:rsidRPr="007540F8" w:rsidRDefault="007540F8" w:rsidP="007540F8">
            <w:pPr>
              <w:ind w:left="144"/>
              <w:rPr>
                <w:noProof/>
              </w:rPr>
            </w:pPr>
            <w:r w:rsidRPr="007540F8">
              <w:rPr>
                <w:noProof/>
              </w:rPr>
              <w:t xml:space="preserve">Arseneault, L. (2018) ‘Annual research review: The persistent and pervasive impact of being bullied in childhood and adolescence: implications for policy and practice’, </w:t>
            </w:r>
            <w:r w:rsidRPr="007540F8">
              <w:rPr>
                <w:i/>
                <w:iCs/>
                <w:noProof/>
              </w:rPr>
              <w:t>Journal of Child Psychology and Psychiatry</w:t>
            </w:r>
            <w:r w:rsidRPr="007540F8">
              <w:rPr>
                <w:noProof/>
              </w:rPr>
              <w:t xml:space="preserve">, 59(4), pp. 405–421. Available at: </w:t>
            </w:r>
            <w:hyperlink r:id="rId6" w:history="1">
              <w:r w:rsidRPr="007540F8">
                <w:rPr>
                  <w:rStyle w:val="Hyperlink"/>
                  <w:noProof/>
                </w:rPr>
                <w:t>https://doi.org/10.1111/jcpp.12841</w:t>
              </w:r>
            </w:hyperlink>
            <w:r w:rsidRPr="007540F8">
              <w:rPr>
                <w:noProof/>
              </w:rPr>
              <w:t xml:space="preserve"> (Accessed: 24 July 2026).</w:t>
            </w:r>
          </w:p>
          <w:p w14:paraId="0CEB1F3F" w14:textId="77777777" w:rsidR="007540F8" w:rsidRPr="007540F8" w:rsidRDefault="007540F8" w:rsidP="007540F8">
            <w:pPr>
              <w:ind w:left="144"/>
              <w:rPr>
                <w:noProof/>
              </w:rPr>
            </w:pPr>
            <w:r w:rsidRPr="007540F8">
              <w:rPr>
                <w:noProof/>
              </w:rPr>
              <w:t xml:space="preserve">Aveyard, H. (2019) </w:t>
            </w:r>
            <w:r w:rsidRPr="007540F8">
              <w:rPr>
                <w:i/>
                <w:iCs/>
                <w:noProof/>
              </w:rPr>
              <w:t>Doing a literature review in health and social care: A practical guide</w:t>
            </w:r>
            <w:r w:rsidRPr="007540F8">
              <w:rPr>
                <w:noProof/>
              </w:rPr>
              <w:t>. 4th edn. Maidenhead: Open University Press.</w:t>
            </w:r>
          </w:p>
          <w:p w14:paraId="331A7261" w14:textId="77777777" w:rsidR="007540F8" w:rsidRPr="007540F8" w:rsidRDefault="007540F8" w:rsidP="007540F8">
            <w:pPr>
              <w:ind w:left="144"/>
              <w:rPr>
                <w:noProof/>
              </w:rPr>
            </w:pPr>
            <w:r w:rsidRPr="007540F8">
              <w:rPr>
                <w:noProof/>
              </w:rPr>
              <w:t xml:space="preserve">Braun, V. and Clarke, V. (2022) </w:t>
            </w:r>
            <w:r w:rsidRPr="007540F8">
              <w:rPr>
                <w:i/>
                <w:iCs/>
                <w:noProof/>
              </w:rPr>
              <w:t>Thematic analysis: A practical guide</w:t>
            </w:r>
            <w:r w:rsidRPr="007540F8">
              <w:rPr>
                <w:noProof/>
              </w:rPr>
              <w:t>. London: SAGE.</w:t>
            </w:r>
          </w:p>
          <w:p w14:paraId="18A2B973" w14:textId="77777777" w:rsidR="007540F8" w:rsidRPr="007540F8" w:rsidRDefault="007540F8" w:rsidP="007540F8">
            <w:pPr>
              <w:ind w:left="144"/>
              <w:rPr>
                <w:noProof/>
              </w:rPr>
            </w:pPr>
            <w:r w:rsidRPr="007540F8">
              <w:rPr>
                <w:noProof/>
              </w:rPr>
              <w:t xml:space="preserve">Carr, A. (2016) </w:t>
            </w:r>
            <w:r w:rsidRPr="007540F8">
              <w:rPr>
                <w:i/>
                <w:iCs/>
                <w:noProof/>
              </w:rPr>
              <w:t>The handbook of child and adolescent clinical psychology: A contextual approach</w:t>
            </w:r>
            <w:r w:rsidRPr="007540F8">
              <w:rPr>
                <w:noProof/>
              </w:rPr>
              <w:t>. 3rd edn. London: Routledge.</w:t>
            </w:r>
          </w:p>
          <w:p w14:paraId="35B12BD2" w14:textId="77777777" w:rsidR="007540F8" w:rsidRPr="007540F8" w:rsidRDefault="007540F8" w:rsidP="007540F8">
            <w:pPr>
              <w:ind w:left="144"/>
              <w:rPr>
                <w:noProof/>
              </w:rPr>
            </w:pPr>
            <w:r w:rsidRPr="007540F8">
              <w:rPr>
                <w:noProof/>
              </w:rPr>
              <w:t xml:space="preserve">Children’s Commissioner for England (2021) </w:t>
            </w:r>
            <w:r w:rsidRPr="007540F8">
              <w:rPr>
                <w:i/>
                <w:iCs/>
                <w:noProof/>
              </w:rPr>
              <w:t>The state of children’s mental health services 2020/21</w:t>
            </w:r>
            <w:r w:rsidRPr="007540F8">
              <w:rPr>
                <w:noProof/>
              </w:rPr>
              <w:t xml:space="preserve">. London: Children’s Commissioner for England. Available at: </w:t>
            </w:r>
            <w:hyperlink r:id="rId7" w:history="1">
              <w:r w:rsidRPr="007540F8">
                <w:rPr>
                  <w:rStyle w:val="Hyperlink"/>
                  <w:noProof/>
                </w:rPr>
                <w:t>https://www.childrenscommissioner.gov.uk/wp-content/uploads/2021/01/cco-the-state-of-childrens-mental-health-services-2020-21.pdf</w:t>
              </w:r>
            </w:hyperlink>
            <w:r w:rsidRPr="007540F8">
              <w:rPr>
                <w:noProof/>
              </w:rPr>
              <w:t xml:space="preserve"> (Accessed: 24 July 2026).</w:t>
            </w:r>
          </w:p>
          <w:p w14:paraId="68EAF639" w14:textId="77777777" w:rsidR="007540F8" w:rsidRPr="007540F8" w:rsidRDefault="007540F8" w:rsidP="007540F8">
            <w:pPr>
              <w:ind w:left="144"/>
              <w:rPr>
                <w:noProof/>
              </w:rPr>
            </w:pPr>
            <w:r w:rsidRPr="007540F8">
              <w:rPr>
                <w:noProof/>
              </w:rPr>
              <w:t xml:space="preserve">Fearon, R.M.P., Bakermans-Kranenburg, M.J., van IJzendoorn, M.H., Lapsley, A.-M. and Roisman, G.I. (2010) ‘The significance of insecure attachment and disorganization in the development of children’s externalizing behavior: A meta-analytic study’, </w:t>
            </w:r>
            <w:r w:rsidRPr="007540F8">
              <w:rPr>
                <w:i/>
                <w:iCs/>
                <w:noProof/>
              </w:rPr>
              <w:t>Child Development</w:t>
            </w:r>
            <w:r w:rsidRPr="007540F8">
              <w:rPr>
                <w:noProof/>
              </w:rPr>
              <w:t xml:space="preserve">, 81(2), pp. 435–456. Available at: </w:t>
            </w:r>
            <w:hyperlink r:id="rId8" w:history="1">
              <w:r w:rsidRPr="007540F8">
                <w:rPr>
                  <w:rStyle w:val="Hyperlink"/>
                  <w:noProof/>
                </w:rPr>
                <w:t>https://doi.org/10.1111/j.1467-8624.2009.01405.x</w:t>
              </w:r>
            </w:hyperlink>
            <w:r w:rsidRPr="007540F8">
              <w:rPr>
                <w:noProof/>
              </w:rPr>
              <w:t xml:space="preserve"> (Accessed: 24 July 2026).</w:t>
            </w:r>
          </w:p>
          <w:p w14:paraId="18F4C7DE" w14:textId="77777777" w:rsidR="007540F8" w:rsidRPr="007540F8" w:rsidRDefault="007540F8" w:rsidP="007540F8">
            <w:pPr>
              <w:ind w:left="144"/>
              <w:rPr>
                <w:noProof/>
              </w:rPr>
            </w:pPr>
            <w:r w:rsidRPr="007540F8">
              <w:rPr>
                <w:noProof/>
              </w:rPr>
              <w:t xml:space="preserve">Kessler, R.C., Berglund, P., Demler, O., Jin, R., Merikangas, K.R. and Walters, E.E. (2005) ‘Lifetime prevalence and age-of-onset distributions of DSM-IV disorders in the National Comorbidity Survey Replication’, </w:t>
            </w:r>
            <w:r w:rsidRPr="007540F8">
              <w:rPr>
                <w:i/>
                <w:iCs/>
                <w:noProof/>
              </w:rPr>
              <w:t>Archives of General Psychiatry</w:t>
            </w:r>
            <w:r w:rsidRPr="007540F8">
              <w:rPr>
                <w:noProof/>
              </w:rPr>
              <w:t xml:space="preserve">, 62(6), pp. 593–602. Available at: </w:t>
            </w:r>
            <w:hyperlink r:id="rId9" w:history="1">
              <w:r w:rsidRPr="007540F8">
                <w:rPr>
                  <w:rStyle w:val="Hyperlink"/>
                  <w:noProof/>
                </w:rPr>
                <w:t>https://doi.org/10.1001/archpsyc.62.6.593</w:t>
              </w:r>
            </w:hyperlink>
            <w:r w:rsidRPr="007540F8">
              <w:rPr>
                <w:noProof/>
              </w:rPr>
              <w:t xml:space="preserve"> (Accessed: 24 July 2026).</w:t>
            </w:r>
          </w:p>
          <w:p w14:paraId="01A45D5A" w14:textId="77777777" w:rsidR="007540F8" w:rsidRPr="007540F8" w:rsidRDefault="007540F8" w:rsidP="007540F8">
            <w:pPr>
              <w:ind w:left="144"/>
              <w:rPr>
                <w:noProof/>
              </w:rPr>
            </w:pPr>
            <w:r w:rsidRPr="007540F8">
              <w:rPr>
                <w:noProof/>
              </w:rPr>
              <w:t xml:space="preserve">Polanczyk, G.V., Salum, G.A., Sugaya, L.S., Caye, A. and Rohde, L.A. (2015) ‘Annual research review: A meta-analysis of the worldwide prevalence of mental disorders in children and adolescents’, </w:t>
            </w:r>
            <w:r w:rsidRPr="007540F8">
              <w:rPr>
                <w:i/>
                <w:iCs/>
                <w:noProof/>
              </w:rPr>
              <w:t>Journal of Child Psychology and Psychiatry</w:t>
            </w:r>
            <w:r w:rsidRPr="007540F8">
              <w:rPr>
                <w:noProof/>
              </w:rPr>
              <w:t xml:space="preserve">, 56(3), pp. 345–365. Available at: </w:t>
            </w:r>
            <w:hyperlink r:id="rId10" w:history="1">
              <w:r w:rsidRPr="007540F8">
                <w:rPr>
                  <w:rStyle w:val="Hyperlink"/>
                  <w:noProof/>
                </w:rPr>
                <w:t>https://doi.org/10.1111/jcpp.12381</w:t>
              </w:r>
            </w:hyperlink>
            <w:r w:rsidRPr="007540F8">
              <w:rPr>
                <w:noProof/>
              </w:rPr>
              <w:t xml:space="preserve"> (Accessed: 24 July 2026).</w:t>
            </w:r>
          </w:p>
          <w:p w14:paraId="199E0709" w14:textId="77777777" w:rsidR="007540F8" w:rsidRPr="007540F8" w:rsidRDefault="007540F8" w:rsidP="007540F8">
            <w:pPr>
              <w:ind w:left="144"/>
              <w:rPr>
                <w:noProof/>
              </w:rPr>
            </w:pPr>
            <w:r w:rsidRPr="007540F8">
              <w:rPr>
                <w:noProof/>
              </w:rPr>
              <w:t xml:space="preserve">World Health Organization (2021) </w:t>
            </w:r>
            <w:r w:rsidRPr="007540F8">
              <w:rPr>
                <w:i/>
                <w:iCs/>
                <w:noProof/>
              </w:rPr>
              <w:t>Adolescent mental health</w:t>
            </w:r>
            <w:r w:rsidRPr="007540F8">
              <w:rPr>
                <w:noProof/>
              </w:rPr>
              <w:t xml:space="preserve">. Available at: </w:t>
            </w:r>
            <w:hyperlink r:id="rId11" w:history="1">
              <w:r w:rsidRPr="007540F8">
                <w:rPr>
                  <w:rStyle w:val="Hyperlink"/>
                  <w:noProof/>
                </w:rPr>
                <w:t>https://www.who.int/news-room/fact-sheets/detail/adolescent-mental-health</w:t>
              </w:r>
            </w:hyperlink>
            <w:r w:rsidRPr="007540F8">
              <w:rPr>
                <w:noProof/>
              </w:rPr>
              <w:t xml:space="preserve"> (Accessed: 24 July 2026).</w:t>
            </w:r>
          </w:p>
          <w:p w14:paraId="1A427D0E" w14:textId="3F99E298" w:rsidR="00814B4C" w:rsidRPr="007540F8" w:rsidRDefault="00814B4C" w:rsidP="00814B4C">
            <w:pPr>
              <w:ind w:left="144"/>
              <w:rPr>
                <w:noProof/>
              </w:rPr>
            </w:pPr>
          </w:p>
        </w:tc>
      </w:tr>
    </w:tbl>
    <w:p w14:paraId="36CE3942" w14:textId="77777777" w:rsidR="00814B4C" w:rsidRDefault="00814B4C"/>
    <w:p w14:paraId="4D2B84C0" w14:textId="77777777" w:rsidR="00814B4C" w:rsidRDefault="00814B4C"/>
    <w:p w14:paraId="5CA2C0B2" w14:textId="77777777" w:rsidR="00814B4C" w:rsidRDefault="00814B4C"/>
    <w:p w14:paraId="7BFF3C7A" w14:textId="77777777" w:rsidR="00814B4C" w:rsidRDefault="00814B4C"/>
    <w:sectPr w:rsidR="00814B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4B4C"/>
    <w:rsid w:val="00262A8F"/>
    <w:rsid w:val="00452458"/>
    <w:rsid w:val="007540F8"/>
    <w:rsid w:val="00814B4C"/>
    <w:rsid w:val="00951AD2"/>
    <w:rsid w:val="00A04805"/>
    <w:rsid w:val="00C441BF"/>
    <w:rsid w:val="00DA52DE"/>
    <w:rsid w:val="00EA6E4C"/>
    <w:rsid w:val="00F31E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596CF4"/>
  <w15:chartTrackingRefBased/>
  <w15:docId w15:val="{7F7620E3-2D56-4CAB-8DB2-035F459DA9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="Arial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14B4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14B4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14B4C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14B4C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14B4C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14B4C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14B4C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14B4C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14B4C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14B4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14B4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14B4C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14B4C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14B4C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14B4C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14B4C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14B4C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14B4C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14B4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14B4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14B4C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14B4C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14B4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14B4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14B4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14B4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14B4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14B4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14B4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540F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540F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11/j.1467-8624.2009.01405.x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childrenscommissioner.gov.uk/wp-content/uploads/2021/01/cco-the-state-of-childrens-mental-health-services-2020-21.pdf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1111/jcpp.12841" TargetMode="External"/><Relationship Id="rId11" Type="http://schemas.openxmlformats.org/officeDocument/2006/relationships/hyperlink" Target="https://www.who.int/news-room/fact-sheets/detail/adolescent-mental-health" TargetMode="External"/><Relationship Id="rId5" Type="http://schemas.openxmlformats.org/officeDocument/2006/relationships/image" Target="media/image2.png"/><Relationship Id="rId10" Type="http://schemas.openxmlformats.org/officeDocument/2006/relationships/hyperlink" Target="https://doi.org/10.1111/jcpp.12381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doi.org/10.1001/archpsyc.62.6.59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4</Pages>
  <Words>399</Words>
  <Characters>2276</Characters>
  <Application>Microsoft Office Word</Application>
  <DocSecurity>0</DocSecurity>
  <Lines>18</Lines>
  <Paragraphs>5</Paragraphs>
  <ScaleCrop>false</ScaleCrop>
  <Company/>
  <LinksUpToDate>false</LinksUpToDate>
  <CharactersWithSpaces>2670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Fateha Altafi (2309157)</dc:creator>
  <cp:keywords/>
  <dc:description/>
  <cp:lastModifiedBy>Fateha Altafi (2309157)</cp:lastModifiedBy>
  <cp:revision>2</cp:revision>
  <dcterms:created xsi:type="dcterms:W3CDTF">2026-06-20T21:57:00Z</dcterms:created>
  <dcterms:modified xsi:type="dcterms:W3CDTF">2026-07-24T20:36:00Z</dcterms:modified>
</cp:coreProperties>
</file>