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517049572"/>
        <w:docPartObj>
          <w:docPartGallery w:val="Cover Pages"/>
          <w:docPartUnique/>
        </w:docPartObj>
      </w:sdtPr>
      <w:sdtEndPr>
        <w:rPr>
          <w:rFonts w:ascii="Times New Roman" w:hAnsi="Times New Roman" w:cs="Times New Roman"/>
          <w:color w:val="auto"/>
          <w:sz w:val="24"/>
          <w:szCs w:val="24"/>
        </w:rPr>
      </w:sdtEndPr>
      <w:sdtContent>
        <w:p w14:paraId="65C3F942" w14:textId="1DB295E1" w:rsidR="00745B9D" w:rsidRDefault="00745B9D">
          <w:pPr>
            <w:pStyle w:val="NoSpacing"/>
            <w:spacing w:before="1540" w:after="240"/>
            <w:jc w:val="center"/>
            <w:rPr>
              <w:color w:val="4472C4" w:themeColor="accent1"/>
            </w:rPr>
          </w:pPr>
          <w:r>
            <w:rPr>
              <w:noProof/>
              <w:color w:val="4472C4" w:themeColor="accent1"/>
            </w:rPr>
            <w:drawing>
              <wp:inline distT="0" distB="0" distL="0" distR="0" wp14:anchorId="5FC6EF28" wp14:editId="37B1F61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000000" w:themeColor="text1"/>
              <w:sz w:val="72"/>
              <w:szCs w:val="72"/>
            </w:rPr>
            <w:alias w:val="Title"/>
            <w:tag w:val=""/>
            <w:id w:val="1735040861"/>
            <w:placeholder>
              <w:docPart w:val="62F8CAE67E974F4486C1D0327A41C68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3E555C" w14:textId="3E38E343" w:rsidR="00745B9D" w:rsidRPr="00C80359" w:rsidRDefault="00745B9D">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000000" w:themeColor="text1"/>
                  <w:sz w:val="80"/>
                  <w:szCs w:val="80"/>
                </w:rPr>
              </w:pPr>
              <w:r w:rsidRPr="00C80359">
                <w:rPr>
                  <w:rFonts w:ascii="Times New Roman" w:eastAsiaTheme="majorEastAsia" w:hAnsi="Times New Roman" w:cs="Times New Roman"/>
                  <w:caps/>
                  <w:color w:val="000000" w:themeColor="text1"/>
                  <w:sz w:val="72"/>
                  <w:szCs w:val="72"/>
                </w:rPr>
                <w:t>Praise the Aten: how revolutionary was the amarna period?</w:t>
              </w:r>
            </w:p>
          </w:sdtContent>
        </w:sdt>
        <w:sdt>
          <w:sdtPr>
            <w:rPr>
              <w:rFonts w:ascii="Times New Roman" w:hAnsi="Times New Roman" w:cs="Times New Roman"/>
              <w:color w:val="000000" w:themeColor="text1"/>
              <w:sz w:val="28"/>
              <w:szCs w:val="28"/>
            </w:rPr>
            <w:alias w:val="Subtitle"/>
            <w:tag w:val=""/>
            <w:id w:val="328029620"/>
            <w:placeholder>
              <w:docPart w:val="5A3BD2477E804120890B578E2B7F4199"/>
            </w:placeholder>
            <w:dataBinding w:prefixMappings="xmlns:ns0='http://purl.org/dc/elements/1.1/' xmlns:ns1='http://schemas.openxmlformats.org/package/2006/metadata/core-properties' " w:xpath="/ns1:coreProperties[1]/ns0:subject[1]" w:storeItemID="{6C3C8BC8-F283-45AE-878A-BAB7291924A1}"/>
            <w:text/>
          </w:sdtPr>
          <w:sdtContent>
            <w:p w14:paraId="345D71FB" w14:textId="3D08F6E0" w:rsidR="00745B9D" w:rsidRPr="00C80359" w:rsidRDefault="00745B9D">
              <w:pPr>
                <w:pStyle w:val="NoSpacing"/>
                <w:jc w:val="center"/>
                <w:rPr>
                  <w:rFonts w:ascii="Times New Roman" w:hAnsi="Times New Roman" w:cs="Times New Roman"/>
                  <w:color w:val="000000" w:themeColor="text1"/>
                  <w:sz w:val="28"/>
                  <w:szCs w:val="28"/>
                </w:rPr>
              </w:pPr>
              <w:r w:rsidRPr="00C80359">
                <w:rPr>
                  <w:rFonts w:ascii="Times New Roman" w:hAnsi="Times New Roman" w:cs="Times New Roman"/>
                  <w:color w:val="000000" w:themeColor="text1"/>
                  <w:sz w:val="28"/>
                  <w:szCs w:val="28"/>
                </w:rPr>
                <w:t>By Lauren Bird-Hall (1500137)</w:t>
              </w:r>
            </w:p>
          </w:sdtContent>
        </w:sdt>
        <w:p w14:paraId="7FEA6F90" w14:textId="78F115FF" w:rsidR="00745B9D" w:rsidRDefault="00745B9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179D83C" wp14:editId="3314CAB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000000" w:themeColor="text1"/>
                                    <w:sz w:val="28"/>
                                    <w:szCs w:val="28"/>
                                  </w:rPr>
                                  <w:alias w:val="Date"/>
                                  <w:tag w:val=""/>
                                  <w:id w:val="-722134252"/>
                                  <w:dataBinding w:prefixMappings="xmlns:ns0='http://schemas.microsoft.com/office/2006/coverPageProps' " w:xpath="/ns0:CoverPageProperties[1]/ns0:PublishDate[1]" w:storeItemID="{55AF091B-3C7A-41E3-B477-F2FDAA23CFDA}"/>
                                  <w:date w:fullDate="2018-05-01T00:00:00Z">
                                    <w:dateFormat w:val="MMMM d, yyyy"/>
                                    <w:lid w:val="en-US"/>
                                    <w:storeMappedDataAs w:val="dateTime"/>
                                    <w:calendar w:val="gregorian"/>
                                  </w:date>
                                </w:sdtPr>
                                <w:sdtContent>
                                  <w:p w14:paraId="7A4B13CF" w14:textId="7267F491" w:rsidR="00B778E5" w:rsidRPr="00C80359" w:rsidRDefault="00B778E5">
                                    <w:pPr>
                                      <w:pStyle w:val="NoSpacing"/>
                                      <w:spacing w:after="40"/>
                                      <w:jc w:val="center"/>
                                      <w:rPr>
                                        <w:rFonts w:ascii="Times New Roman" w:hAnsi="Times New Roman" w:cs="Times New Roman"/>
                                        <w:caps/>
                                        <w:color w:val="000000" w:themeColor="text1"/>
                                        <w:sz w:val="28"/>
                                        <w:szCs w:val="28"/>
                                      </w:rPr>
                                    </w:pPr>
                                    <w:r>
                                      <w:rPr>
                                        <w:rFonts w:ascii="Times New Roman" w:hAnsi="Times New Roman" w:cs="Times New Roman"/>
                                        <w:caps/>
                                        <w:color w:val="000000" w:themeColor="text1"/>
                                        <w:sz w:val="28"/>
                                        <w:szCs w:val="28"/>
                                      </w:rPr>
                                      <w:t>May 1, 2018</w:t>
                                    </w:r>
                                  </w:p>
                                </w:sdtContent>
                              </w:sdt>
                              <w:p w14:paraId="2D43DD7E" w14:textId="26C03C3D" w:rsidR="00B778E5" w:rsidRPr="00C80359" w:rsidRDefault="00B778E5">
                                <w:pPr>
                                  <w:pStyle w:val="NoSpacing"/>
                                  <w:jc w:val="center"/>
                                  <w:rPr>
                                    <w:rFonts w:ascii="Times New Roman" w:hAnsi="Times New Roman" w:cs="Times New Roman"/>
                                    <w:color w:val="000000" w:themeColor="text1"/>
                                  </w:rPr>
                                </w:pPr>
                                <w:sdt>
                                  <w:sdtPr>
                                    <w:rPr>
                                      <w:rFonts w:ascii="Times New Roman" w:hAnsi="Times New Roman" w:cs="Times New Roman"/>
                                      <w:caps/>
                                      <w:color w:val="000000" w:themeColor="text1"/>
                                    </w:rPr>
                                    <w:alias w:val="Company"/>
                                    <w:tag w:val=""/>
                                    <w:id w:val="587659946"/>
                                    <w:dataBinding w:prefixMappings="xmlns:ns0='http://schemas.openxmlformats.org/officeDocument/2006/extended-properties' " w:xpath="/ns0:Properties[1]/ns0:Company[1]" w:storeItemID="{6668398D-A668-4E3E-A5EB-62B293D839F1}"/>
                                    <w:text/>
                                  </w:sdtPr>
                                  <w:sdtContent>
                                    <w:r w:rsidRPr="00C80359">
                                      <w:rPr>
                                        <w:rFonts w:ascii="Times New Roman" w:hAnsi="Times New Roman" w:cs="Times New Roman"/>
                                        <w:caps/>
                                        <w:color w:val="000000" w:themeColor="text1"/>
                                      </w:rPr>
                                      <w:t>University of wales trinity st david</w:t>
                                    </w:r>
                                  </w:sdtContent>
                                </w:sdt>
                              </w:p>
                              <w:p w14:paraId="1F94F6D4" w14:textId="44ADCFC9" w:rsidR="00B778E5" w:rsidRPr="00C80359" w:rsidRDefault="00B778E5">
                                <w:pPr>
                                  <w:pStyle w:val="NoSpacing"/>
                                  <w:jc w:val="center"/>
                                  <w:rPr>
                                    <w:rFonts w:ascii="Times New Roman" w:hAnsi="Times New Roman" w:cs="Times New Roman"/>
                                    <w:color w:val="000000" w:themeColor="text1"/>
                                  </w:rPr>
                                </w:pPr>
                                <w:sdt>
                                  <w:sdtPr>
                                    <w:rPr>
                                      <w:rFonts w:ascii="Times New Roman" w:hAnsi="Times New Roman" w:cs="Times New Roman"/>
                                      <w:color w:val="000000" w:themeColor="text1"/>
                                    </w:rPr>
                                    <w:alias w:val="Address"/>
                                    <w:tag w:val=""/>
                                    <w:id w:val="-1413158836"/>
                                    <w:dataBinding w:prefixMappings="xmlns:ns0='http://schemas.microsoft.com/office/2006/coverPageProps' " w:xpath="/ns0:CoverPageProperties[1]/ns0:CompanyAddress[1]" w:storeItemID="{55AF091B-3C7A-41E3-B477-F2FDAA23CFDA}"/>
                                    <w:text/>
                                  </w:sdtPr>
                                  <w:sdtContent>
                                    <w:r w:rsidRPr="00C80359">
                                      <w:rPr>
                                        <w:rFonts w:ascii="Times New Roman" w:hAnsi="Times New Roman" w:cs="Times New Roman"/>
                                        <w:color w:val="000000" w:themeColor="text1"/>
                                      </w:rPr>
                                      <w:t>Dissertation submitted in partial fulfillment of a B.A (Hons) in Classical Studies with Ancient Egyptian Culture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179D83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Times New Roman" w:hAnsi="Times New Roman" w:cs="Times New Roman"/>
                              <w:caps/>
                              <w:color w:val="000000" w:themeColor="text1"/>
                              <w:sz w:val="28"/>
                              <w:szCs w:val="28"/>
                            </w:rPr>
                            <w:alias w:val="Date"/>
                            <w:tag w:val=""/>
                            <w:id w:val="-722134252"/>
                            <w:dataBinding w:prefixMappings="xmlns:ns0='http://schemas.microsoft.com/office/2006/coverPageProps' " w:xpath="/ns0:CoverPageProperties[1]/ns0:PublishDate[1]" w:storeItemID="{55AF091B-3C7A-41E3-B477-F2FDAA23CFDA}"/>
                            <w:date w:fullDate="2018-05-01T00:00:00Z">
                              <w:dateFormat w:val="MMMM d, yyyy"/>
                              <w:lid w:val="en-US"/>
                              <w:storeMappedDataAs w:val="dateTime"/>
                              <w:calendar w:val="gregorian"/>
                            </w:date>
                          </w:sdtPr>
                          <w:sdtContent>
                            <w:p w14:paraId="7A4B13CF" w14:textId="7267F491" w:rsidR="00B778E5" w:rsidRPr="00C80359" w:rsidRDefault="00B778E5">
                              <w:pPr>
                                <w:pStyle w:val="NoSpacing"/>
                                <w:spacing w:after="40"/>
                                <w:jc w:val="center"/>
                                <w:rPr>
                                  <w:rFonts w:ascii="Times New Roman" w:hAnsi="Times New Roman" w:cs="Times New Roman"/>
                                  <w:caps/>
                                  <w:color w:val="000000" w:themeColor="text1"/>
                                  <w:sz w:val="28"/>
                                  <w:szCs w:val="28"/>
                                </w:rPr>
                              </w:pPr>
                              <w:r>
                                <w:rPr>
                                  <w:rFonts w:ascii="Times New Roman" w:hAnsi="Times New Roman" w:cs="Times New Roman"/>
                                  <w:caps/>
                                  <w:color w:val="000000" w:themeColor="text1"/>
                                  <w:sz w:val="28"/>
                                  <w:szCs w:val="28"/>
                                </w:rPr>
                                <w:t>May 1, 2018</w:t>
                              </w:r>
                            </w:p>
                          </w:sdtContent>
                        </w:sdt>
                        <w:p w14:paraId="2D43DD7E" w14:textId="26C03C3D" w:rsidR="00B778E5" w:rsidRPr="00C80359" w:rsidRDefault="00B778E5">
                          <w:pPr>
                            <w:pStyle w:val="NoSpacing"/>
                            <w:jc w:val="center"/>
                            <w:rPr>
                              <w:rFonts w:ascii="Times New Roman" w:hAnsi="Times New Roman" w:cs="Times New Roman"/>
                              <w:color w:val="000000" w:themeColor="text1"/>
                            </w:rPr>
                          </w:pPr>
                          <w:sdt>
                            <w:sdtPr>
                              <w:rPr>
                                <w:rFonts w:ascii="Times New Roman" w:hAnsi="Times New Roman" w:cs="Times New Roman"/>
                                <w:caps/>
                                <w:color w:val="000000" w:themeColor="text1"/>
                              </w:rPr>
                              <w:alias w:val="Company"/>
                              <w:tag w:val=""/>
                              <w:id w:val="587659946"/>
                              <w:dataBinding w:prefixMappings="xmlns:ns0='http://schemas.openxmlformats.org/officeDocument/2006/extended-properties' " w:xpath="/ns0:Properties[1]/ns0:Company[1]" w:storeItemID="{6668398D-A668-4E3E-A5EB-62B293D839F1}"/>
                              <w:text/>
                            </w:sdtPr>
                            <w:sdtContent>
                              <w:r w:rsidRPr="00C80359">
                                <w:rPr>
                                  <w:rFonts w:ascii="Times New Roman" w:hAnsi="Times New Roman" w:cs="Times New Roman"/>
                                  <w:caps/>
                                  <w:color w:val="000000" w:themeColor="text1"/>
                                </w:rPr>
                                <w:t>University of wales trinity st david</w:t>
                              </w:r>
                            </w:sdtContent>
                          </w:sdt>
                        </w:p>
                        <w:p w14:paraId="1F94F6D4" w14:textId="44ADCFC9" w:rsidR="00B778E5" w:rsidRPr="00C80359" w:rsidRDefault="00B778E5">
                          <w:pPr>
                            <w:pStyle w:val="NoSpacing"/>
                            <w:jc w:val="center"/>
                            <w:rPr>
                              <w:rFonts w:ascii="Times New Roman" w:hAnsi="Times New Roman" w:cs="Times New Roman"/>
                              <w:color w:val="000000" w:themeColor="text1"/>
                            </w:rPr>
                          </w:pPr>
                          <w:sdt>
                            <w:sdtPr>
                              <w:rPr>
                                <w:rFonts w:ascii="Times New Roman" w:hAnsi="Times New Roman" w:cs="Times New Roman"/>
                                <w:color w:val="000000" w:themeColor="text1"/>
                              </w:rPr>
                              <w:alias w:val="Address"/>
                              <w:tag w:val=""/>
                              <w:id w:val="-1413158836"/>
                              <w:dataBinding w:prefixMappings="xmlns:ns0='http://schemas.microsoft.com/office/2006/coverPageProps' " w:xpath="/ns0:CoverPageProperties[1]/ns0:CompanyAddress[1]" w:storeItemID="{55AF091B-3C7A-41E3-B477-F2FDAA23CFDA}"/>
                              <w:text/>
                            </w:sdtPr>
                            <w:sdtContent>
                              <w:r w:rsidRPr="00C80359">
                                <w:rPr>
                                  <w:rFonts w:ascii="Times New Roman" w:hAnsi="Times New Roman" w:cs="Times New Roman"/>
                                  <w:color w:val="000000" w:themeColor="text1"/>
                                </w:rPr>
                                <w:t>Dissertation submitted in partial fulfillment of a B.A (Hons) in Classical Studies with Ancient Egyptian Culture</w:t>
                              </w:r>
                            </w:sdtContent>
                          </w:sdt>
                        </w:p>
                      </w:txbxContent>
                    </v:textbox>
                    <w10:wrap anchorx="margin" anchory="page"/>
                  </v:shape>
                </w:pict>
              </mc:Fallback>
            </mc:AlternateContent>
          </w:r>
          <w:r>
            <w:rPr>
              <w:noProof/>
              <w:color w:val="4472C4" w:themeColor="accent1"/>
            </w:rPr>
            <w:drawing>
              <wp:inline distT="0" distB="0" distL="0" distR="0" wp14:anchorId="12BF8D4F" wp14:editId="599CBA0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D7CBC7" w14:textId="53E5D477" w:rsidR="00830A63" w:rsidRDefault="00C80359">
          <w:pPr>
            <w:rPr>
              <w:rFonts w:ascii="Times New Roman" w:hAnsi="Times New Roman" w:cs="Times New Roman"/>
              <w:sz w:val="24"/>
              <w:szCs w:val="24"/>
            </w:rPr>
          </w:pPr>
          <w:r w:rsidRPr="00C80359">
            <w:rPr>
              <w:noProof/>
              <w:color w:val="4472C4" w:themeColor="accent1"/>
            </w:rPr>
            <mc:AlternateContent>
              <mc:Choice Requires="wps">
                <w:drawing>
                  <wp:anchor distT="45720" distB="45720" distL="114300" distR="114300" simplePos="0" relativeHeight="251662336" behindDoc="0" locked="0" layoutInCell="1" allowOverlap="1" wp14:anchorId="688F7DFD" wp14:editId="380D1EBE">
                    <wp:simplePos x="0" y="0"/>
                    <wp:positionH relativeFrom="column">
                      <wp:posOffset>1854200</wp:posOffset>
                    </wp:positionH>
                    <wp:positionV relativeFrom="paragraph">
                      <wp:posOffset>2830830</wp:posOffset>
                    </wp:positionV>
                    <wp:extent cx="2098040" cy="343535"/>
                    <wp:effectExtent l="0" t="0" r="16510"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8040" cy="343535"/>
                            </a:xfrm>
                            <a:prstGeom prst="rect">
                              <a:avLst/>
                            </a:prstGeom>
                            <a:solidFill>
                              <a:srgbClr val="FFFFFF"/>
                            </a:solidFill>
                            <a:ln w="9525">
                              <a:solidFill>
                                <a:srgbClr val="000000"/>
                              </a:solidFill>
                              <a:miter lim="800000"/>
                              <a:headEnd/>
                              <a:tailEnd/>
                            </a:ln>
                          </wps:spPr>
                          <wps:txbx>
                            <w:txbxContent>
                              <w:p w14:paraId="663B4946" w14:textId="4844A68C" w:rsidR="00B778E5" w:rsidRPr="00C80359" w:rsidRDefault="00B778E5" w:rsidP="00C80359">
                                <w:pPr>
                                  <w:pStyle w:val="NoSpacing"/>
                                  <w:rPr>
                                    <w:rFonts w:ascii="Times New Roman" w:hAnsi="Times New Roman" w:cs="Times New Roman"/>
                                    <w:sz w:val="28"/>
                                    <w:szCs w:val="28"/>
                                  </w:rPr>
                                </w:pPr>
                                <w:r>
                                  <w:rPr>
                                    <w:rFonts w:ascii="Times New Roman" w:hAnsi="Times New Roman" w:cs="Times New Roman"/>
                                    <w:sz w:val="28"/>
                                    <w:szCs w:val="28"/>
                                  </w:rPr>
                                  <w:t xml:space="preserve">         Words: 10,075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8F7DFD" id="Text Box 2" o:spid="_x0000_s1027" type="#_x0000_t202" style="position:absolute;margin-left:146pt;margin-top:222.9pt;width:165.2pt;height:27.0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">
                    <v:textbox>
                      <w:txbxContent>
                        <w:p w14:paraId="663B4946" w14:textId="4844A68C" w:rsidR="00B778E5" w:rsidRPr="00C80359" w:rsidRDefault="00B778E5" w:rsidP="00C80359">
                          <w:pPr>
                            <w:pStyle w:val="NoSpacing"/>
                            <w:rPr>
                              <w:rFonts w:ascii="Times New Roman" w:hAnsi="Times New Roman" w:cs="Times New Roman"/>
                              <w:sz w:val="28"/>
                              <w:szCs w:val="28"/>
                            </w:rPr>
                          </w:pPr>
                          <w:r>
                            <w:rPr>
                              <w:rFonts w:ascii="Times New Roman" w:hAnsi="Times New Roman" w:cs="Times New Roman"/>
                              <w:sz w:val="28"/>
                              <w:szCs w:val="28"/>
                            </w:rPr>
                            <w:t xml:space="preserve">         Words: 10,075</w:t>
                          </w:r>
                        </w:p>
                      </w:txbxContent>
                    </v:textbox>
                    <w10:wrap type="square"/>
                  </v:shape>
                </w:pict>
              </mc:Fallback>
            </mc:AlternateContent>
          </w:r>
          <w:r w:rsidR="00745B9D" w:rsidRPr="00745B9D">
            <w:rPr>
              <w:noProof/>
            </w:rPr>
            <w:drawing>
              <wp:anchor distT="0" distB="0" distL="114300" distR="114300" simplePos="0" relativeHeight="251660288" behindDoc="1" locked="0" layoutInCell="1" allowOverlap="1" wp14:anchorId="278D5017" wp14:editId="7961E9D9">
                <wp:simplePos x="0" y="0"/>
                <wp:positionH relativeFrom="margin">
                  <wp:align>center</wp:align>
                </wp:positionH>
                <wp:positionV relativeFrom="paragraph">
                  <wp:posOffset>295275</wp:posOffset>
                </wp:positionV>
                <wp:extent cx="1816100" cy="2424430"/>
                <wp:effectExtent l="0" t="0" r="0" b="0"/>
                <wp:wrapTight wrapText="bothSides">
                  <wp:wrapPolygon edited="0">
                    <wp:start x="0" y="0"/>
                    <wp:lineTo x="0" y="21385"/>
                    <wp:lineTo x="21298" y="21385"/>
                    <wp:lineTo x="2129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816100" cy="2424430"/>
                        </a:xfrm>
                        <a:prstGeom prst="rect">
                          <a:avLst/>
                        </a:prstGeom>
                      </pic:spPr>
                    </pic:pic>
                  </a:graphicData>
                </a:graphic>
                <wp14:sizeRelH relativeFrom="page">
                  <wp14:pctWidth>0</wp14:pctWidth>
                </wp14:sizeRelH>
                <wp14:sizeRelV relativeFrom="page">
                  <wp14:pctHeight>0</wp14:pctHeight>
                </wp14:sizeRelV>
              </wp:anchor>
            </w:drawing>
          </w:r>
          <w:r w:rsidR="00745B9D">
            <w:rPr>
              <w:rFonts w:ascii="Times New Roman" w:hAnsi="Times New Roman" w:cs="Times New Roman"/>
              <w:sz w:val="24"/>
              <w:szCs w:val="24"/>
            </w:rPr>
            <w:br w:type="page"/>
          </w:r>
        </w:p>
        <w:p w14:paraId="47F06A8A" w14:textId="66EBA127" w:rsidR="00F26153" w:rsidRPr="00C80359" w:rsidRDefault="00F26153" w:rsidP="00F26153">
          <w:pPr>
            <w:pStyle w:val="Heading1"/>
            <w:rPr>
              <w:rFonts w:ascii="Times New Roman" w:hAnsi="Times New Roman" w:cs="Times New Roman"/>
              <w:color w:val="000000" w:themeColor="text1"/>
            </w:rPr>
          </w:pPr>
          <w:bookmarkStart w:id="0" w:name="_Toc513620239"/>
          <w:r w:rsidRPr="00C80359">
            <w:rPr>
              <w:rFonts w:ascii="Times New Roman" w:hAnsi="Times New Roman" w:cs="Times New Roman"/>
              <w:color w:val="000000" w:themeColor="text1"/>
            </w:rPr>
            <w:lastRenderedPageBreak/>
            <w:t>Acknowledgements</w:t>
          </w:r>
          <w:bookmarkEnd w:id="0"/>
        </w:p>
        <w:p w14:paraId="78923C6B" w14:textId="1D24BA40" w:rsidR="00F26153" w:rsidRPr="00F43025" w:rsidRDefault="00F26153" w:rsidP="00F26153">
          <w:pPr>
            <w:rPr>
              <w:rFonts w:ascii="Times New Roman" w:hAnsi="Times New Roman" w:cs="Times New Roman"/>
            </w:rPr>
          </w:pPr>
        </w:p>
        <w:p w14:paraId="2509F9F3" w14:textId="5AFD4113" w:rsidR="00F26153" w:rsidRPr="00F55E27" w:rsidRDefault="00FA0F68" w:rsidP="00F43025">
          <w:pPr>
            <w:spacing w:line="480" w:lineRule="auto"/>
            <w:rPr>
              <w:rFonts w:ascii="Times New Roman" w:hAnsi="Times New Roman" w:cs="Times New Roman"/>
              <w:sz w:val="24"/>
              <w:szCs w:val="24"/>
            </w:rPr>
          </w:pPr>
          <w:r w:rsidRPr="00F55E27">
            <w:rPr>
              <w:rFonts w:ascii="Times New Roman" w:hAnsi="Times New Roman" w:cs="Times New Roman"/>
              <w:sz w:val="24"/>
              <w:szCs w:val="24"/>
            </w:rPr>
            <w:t xml:space="preserve">Many thanks to my supervisor Katharina Zinn for all her help and advice during the writing of this piece. </w:t>
          </w:r>
        </w:p>
        <w:p w14:paraId="00863D0A" w14:textId="5DD56BD1" w:rsidR="00F55E27" w:rsidRDefault="00F55E27" w:rsidP="00F43025">
          <w:pPr>
            <w:spacing w:line="480" w:lineRule="auto"/>
            <w:rPr>
              <w:rFonts w:ascii="Times New Roman" w:hAnsi="Times New Roman" w:cs="Times New Roman"/>
              <w:sz w:val="24"/>
              <w:szCs w:val="24"/>
            </w:rPr>
          </w:pPr>
          <w:r w:rsidRPr="00F55E27">
            <w:rPr>
              <w:rFonts w:ascii="Times New Roman" w:hAnsi="Times New Roman" w:cs="Times New Roman"/>
              <w:sz w:val="24"/>
              <w:szCs w:val="24"/>
            </w:rPr>
            <w:t>Thank you to my mum for always being there for me and pushing me to achieve my dreams</w:t>
          </w:r>
          <w:r>
            <w:rPr>
              <w:rFonts w:ascii="Times New Roman" w:hAnsi="Times New Roman" w:cs="Times New Roman"/>
              <w:sz w:val="24"/>
              <w:szCs w:val="24"/>
            </w:rPr>
            <w:t>.</w:t>
          </w:r>
        </w:p>
        <w:p w14:paraId="5F960D76" w14:textId="26D273DD" w:rsidR="00F55E27" w:rsidRDefault="00F55E27" w:rsidP="00F43025">
          <w:pPr>
            <w:spacing w:line="480" w:lineRule="auto"/>
            <w:rPr>
              <w:rFonts w:ascii="Times New Roman" w:hAnsi="Times New Roman" w:cs="Times New Roman"/>
              <w:sz w:val="24"/>
              <w:szCs w:val="24"/>
            </w:rPr>
          </w:pPr>
          <w:r>
            <w:rPr>
              <w:rFonts w:ascii="Times New Roman" w:hAnsi="Times New Roman" w:cs="Times New Roman"/>
              <w:sz w:val="24"/>
              <w:szCs w:val="24"/>
            </w:rPr>
            <w:t>Thank you to James for being, well, James.</w:t>
          </w:r>
        </w:p>
        <w:p w14:paraId="72B39FBA" w14:textId="201F07C1" w:rsidR="00F55E27" w:rsidRDefault="00F55E27" w:rsidP="00F43025">
          <w:pPr>
            <w:spacing w:line="480" w:lineRule="auto"/>
            <w:rPr>
              <w:rFonts w:ascii="Times New Roman" w:hAnsi="Times New Roman" w:cs="Times New Roman"/>
              <w:sz w:val="24"/>
              <w:szCs w:val="24"/>
            </w:rPr>
          </w:pPr>
          <w:r>
            <w:rPr>
              <w:rFonts w:ascii="Times New Roman" w:hAnsi="Times New Roman" w:cs="Times New Roman"/>
              <w:sz w:val="24"/>
              <w:szCs w:val="24"/>
            </w:rPr>
            <w:t xml:space="preserve">Thank you to my uncle </w:t>
          </w:r>
          <w:r w:rsidR="00F1634B">
            <w:rPr>
              <w:rFonts w:ascii="Times New Roman" w:hAnsi="Times New Roman" w:cs="Times New Roman"/>
              <w:sz w:val="24"/>
              <w:szCs w:val="24"/>
            </w:rPr>
            <w:t>for helping to fuel my passion for all things historical.</w:t>
          </w:r>
        </w:p>
        <w:p w14:paraId="61793D9E" w14:textId="0B8E832D" w:rsidR="00F1634B" w:rsidRPr="00F55E27" w:rsidRDefault="00F1634B" w:rsidP="00F43025">
          <w:pPr>
            <w:spacing w:line="480" w:lineRule="auto"/>
            <w:rPr>
              <w:rFonts w:ascii="Times New Roman" w:hAnsi="Times New Roman" w:cs="Times New Roman"/>
              <w:sz w:val="24"/>
              <w:szCs w:val="24"/>
            </w:rPr>
          </w:pPr>
          <w:r>
            <w:rPr>
              <w:rFonts w:ascii="Times New Roman" w:hAnsi="Times New Roman" w:cs="Times New Roman"/>
              <w:sz w:val="24"/>
              <w:szCs w:val="24"/>
            </w:rPr>
            <w:t xml:space="preserve">And thank you to my nan and grandad, who aren’t here anymore, </w:t>
          </w:r>
          <w:r w:rsidR="006F39B6">
            <w:rPr>
              <w:rFonts w:ascii="Times New Roman" w:hAnsi="Times New Roman" w:cs="Times New Roman"/>
              <w:sz w:val="24"/>
              <w:szCs w:val="24"/>
            </w:rPr>
            <w:t xml:space="preserve">but </w:t>
          </w:r>
          <w:r>
            <w:rPr>
              <w:rFonts w:ascii="Times New Roman" w:hAnsi="Times New Roman" w:cs="Times New Roman"/>
              <w:sz w:val="24"/>
              <w:szCs w:val="24"/>
            </w:rPr>
            <w:t>are still in my heart forever and always.</w:t>
          </w:r>
        </w:p>
        <w:p w14:paraId="0A29A974" w14:textId="14E10B12" w:rsidR="00830A63" w:rsidRDefault="00F26153">
          <w:pPr>
            <w:rPr>
              <w:rFonts w:ascii="Times New Roman" w:hAnsi="Times New Roman" w:cs="Times New Roman"/>
              <w:sz w:val="24"/>
              <w:szCs w:val="24"/>
            </w:rPr>
          </w:pPr>
          <w:r>
            <w:rPr>
              <w:rFonts w:ascii="Times New Roman" w:hAnsi="Times New Roman" w:cs="Times New Roman"/>
              <w:sz w:val="24"/>
              <w:szCs w:val="24"/>
            </w:rPr>
            <w:br w:type="page"/>
          </w:r>
        </w:p>
        <w:p w14:paraId="76C285D2" w14:textId="42432CDF" w:rsidR="00FA0F68" w:rsidRPr="00C80359" w:rsidRDefault="00FA0F68" w:rsidP="00FA0F68">
          <w:pPr>
            <w:pStyle w:val="Heading1"/>
            <w:rPr>
              <w:rFonts w:ascii="Times New Roman" w:hAnsi="Times New Roman" w:cs="Times New Roman"/>
              <w:color w:val="000000" w:themeColor="text1"/>
            </w:rPr>
          </w:pPr>
          <w:bookmarkStart w:id="1" w:name="_Toc513620240"/>
          <w:r w:rsidRPr="00C80359">
            <w:rPr>
              <w:rFonts w:ascii="Times New Roman" w:hAnsi="Times New Roman" w:cs="Times New Roman"/>
              <w:color w:val="000000" w:themeColor="text1"/>
            </w:rPr>
            <w:lastRenderedPageBreak/>
            <w:t>Abstract</w:t>
          </w:r>
          <w:bookmarkEnd w:id="1"/>
        </w:p>
        <w:p w14:paraId="426CCB05" w14:textId="77777777" w:rsidR="00FA0F68" w:rsidRDefault="00FA0F68">
          <w:pPr>
            <w:rPr>
              <w:rFonts w:ascii="Times New Roman" w:hAnsi="Times New Roman" w:cs="Times New Roman"/>
              <w:sz w:val="24"/>
              <w:szCs w:val="24"/>
            </w:rPr>
          </w:pPr>
        </w:p>
        <w:p w14:paraId="2A44D59F" w14:textId="51C0BEA0" w:rsidR="00FA0F68" w:rsidRDefault="005226AE">
          <w:pPr>
            <w:rPr>
              <w:rFonts w:ascii="Times New Roman" w:hAnsi="Times New Roman" w:cs="Times New Roman"/>
              <w:sz w:val="24"/>
              <w:szCs w:val="24"/>
            </w:rPr>
          </w:pPr>
          <w:r>
            <w:rPr>
              <w:rFonts w:ascii="Times New Roman" w:hAnsi="Times New Roman" w:cs="Times New Roman"/>
              <w:sz w:val="24"/>
              <w:szCs w:val="24"/>
            </w:rPr>
            <w:t>This dissertation aims to examine how revolutionary the Amarna Period was. In order to investigate this, four key topics will be explored: religion, art, international diplomacy, and women. Various sources will be examined, including primary and secondary, alongside artwork</w:t>
          </w:r>
          <w:r w:rsidR="00E11661">
            <w:rPr>
              <w:rFonts w:ascii="Times New Roman" w:hAnsi="Times New Roman" w:cs="Times New Roman"/>
              <w:sz w:val="24"/>
              <w:szCs w:val="24"/>
            </w:rPr>
            <w:t xml:space="preserve"> and written material from the period.</w:t>
          </w:r>
          <w:r>
            <w:rPr>
              <w:rFonts w:ascii="Times New Roman" w:hAnsi="Times New Roman" w:cs="Times New Roman"/>
              <w:sz w:val="24"/>
              <w:szCs w:val="24"/>
            </w:rPr>
            <w:t xml:space="preserve"> </w:t>
          </w:r>
          <w:r w:rsidR="00FA0F68">
            <w:rPr>
              <w:rFonts w:ascii="Times New Roman" w:hAnsi="Times New Roman" w:cs="Times New Roman"/>
              <w:sz w:val="24"/>
              <w:szCs w:val="24"/>
            </w:rPr>
            <w:br w:type="page"/>
          </w:r>
        </w:p>
        <w:p w14:paraId="6296FFE3" w14:textId="1F94CB38" w:rsidR="00745B9D" w:rsidRDefault="00B778E5">
          <w:pPr>
            <w:rPr>
              <w:rFonts w:ascii="Times New Roman" w:hAnsi="Times New Roman" w:cs="Times New Roman"/>
              <w:sz w:val="24"/>
              <w:szCs w:val="24"/>
            </w:rPr>
          </w:pPr>
        </w:p>
      </w:sdtContent>
    </w:sdt>
    <w:sdt>
      <w:sdtPr>
        <w:rPr>
          <w:rFonts w:asciiTheme="minorHAnsi" w:eastAsiaTheme="minorHAnsi" w:hAnsiTheme="minorHAnsi" w:cstheme="minorBidi"/>
          <w:color w:val="auto"/>
          <w:sz w:val="22"/>
          <w:szCs w:val="22"/>
          <w:lang w:val="en-GB"/>
        </w:rPr>
        <w:id w:val="-834136694"/>
        <w:docPartObj>
          <w:docPartGallery w:val="Table of Contents"/>
          <w:docPartUnique/>
        </w:docPartObj>
      </w:sdtPr>
      <w:sdtEndPr>
        <w:rPr>
          <w:b/>
          <w:bCs/>
          <w:noProof/>
        </w:rPr>
      </w:sdtEndPr>
      <w:sdtContent>
        <w:p w14:paraId="09818512" w14:textId="31C4D4CF" w:rsidR="00830A63" w:rsidRPr="00C80359" w:rsidRDefault="00830A63">
          <w:pPr>
            <w:pStyle w:val="TOCHeading"/>
            <w:rPr>
              <w:rFonts w:ascii="Times New Roman" w:hAnsi="Times New Roman" w:cs="Times New Roman"/>
              <w:color w:val="000000" w:themeColor="text1"/>
            </w:rPr>
          </w:pPr>
          <w:r w:rsidRPr="00C80359">
            <w:rPr>
              <w:rFonts w:ascii="Times New Roman" w:hAnsi="Times New Roman" w:cs="Times New Roman"/>
              <w:color w:val="000000" w:themeColor="text1"/>
            </w:rPr>
            <w:t>Contents</w:t>
          </w:r>
        </w:p>
        <w:p w14:paraId="47745C05" w14:textId="59A7D474" w:rsidR="00B778E5" w:rsidRDefault="00830A63">
          <w:pPr>
            <w:pStyle w:val="TOC1"/>
            <w:tabs>
              <w:tab w:val="right" w:leader="dot" w:pos="9016"/>
            </w:tabs>
            <w:rPr>
              <w:rFonts w:eastAsiaTheme="minorEastAsia"/>
              <w:noProof/>
              <w:lang w:eastAsia="en-GB"/>
            </w:rPr>
          </w:pPr>
          <w:r w:rsidRPr="00F43025">
            <w:rPr>
              <w:rFonts w:ascii="Times New Roman" w:hAnsi="Times New Roman" w:cs="Times New Roman"/>
            </w:rPr>
            <w:fldChar w:fldCharType="begin"/>
          </w:r>
          <w:r w:rsidRPr="00F43025">
            <w:rPr>
              <w:rFonts w:ascii="Times New Roman" w:hAnsi="Times New Roman" w:cs="Times New Roman"/>
            </w:rPr>
            <w:instrText xml:space="preserve"> TOC \o "1-3" \h \z \u </w:instrText>
          </w:r>
          <w:r w:rsidRPr="00F43025">
            <w:rPr>
              <w:rFonts w:ascii="Times New Roman" w:hAnsi="Times New Roman" w:cs="Times New Roman"/>
            </w:rPr>
            <w:fldChar w:fldCharType="separate"/>
          </w:r>
          <w:hyperlink w:anchor="_Toc513620239" w:history="1">
            <w:r w:rsidR="00B778E5" w:rsidRPr="001E3B90">
              <w:rPr>
                <w:rStyle w:val="Hyperlink"/>
                <w:rFonts w:ascii="Times New Roman" w:hAnsi="Times New Roman" w:cs="Times New Roman"/>
                <w:noProof/>
              </w:rPr>
              <w:t>Acknowledgements</w:t>
            </w:r>
            <w:r w:rsidR="00B778E5">
              <w:rPr>
                <w:noProof/>
                <w:webHidden/>
              </w:rPr>
              <w:tab/>
            </w:r>
            <w:r w:rsidR="00B778E5">
              <w:rPr>
                <w:noProof/>
                <w:webHidden/>
              </w:rPr>
              <w:fldChar w:fldCharType="begin"/>
            </w:r>
            <w:r w:rsidR="00B778E5">
              <w:rPr>
                <w:noProof/>
                <w:webHidden/>
              </w:rPr>
              <w:instrText xml:space="preserve"> PAGEREF _Toc513620239 \h </w:instrText>
            </w:r>
            <w:r w:rsidR="00B778E5">
              <w:rPr>
                <w:noProof/>
                <w:webHidden/>
              </w:rPr>
            </w:r>
            <w:r w:rsidR="00B778E5">
              <w:rPr>
                <w:noProof/>
                <w:webHidden/>
              </w:rPr>
              <w:fldChar w:fldCharType="separate"/>
            </w:r>
            <w:r w:rsidR="00B778E5">
              <w:rPr>
                <w:noProof/>
                <w:webHidden/>
              </w:rPr>
              <w:t>1</w:t>
            </w:r>
            <w:r w:rsidR="00B778E5">
              <w:rPr>
                <w:noProof/>
                <w:webHidden/>
              </w:rPr>
              <w:fldChar w:fldCharType="end"/>
            </w:r>
          </w:hyperlink>
        </w:p>
        <w:p w14:paraId="55FAF7DE" w14:textId="778E5C3B" w:rsidR="00B778E5" w:rsidRDefault="00B778E5">
          <w:pPr>
            <w:pStyle w:val="TOC1"/>
            <w:tabs>
              <w:tab w:val="right" w:leader="dot" w:pos="9016"/>
            </w:tabs>
            <w:rPr>
              <w:rFonts w:eastAsiaTheme="minorEastAsia"/>
              <w:noProof/>
              <w:lang w:eastAsia="en-GB"/>
            </w:rPr>
          </w:pPr>
          <w:hyperlink w:anchor="_Toc513620240" w:history="1">
            <w:r w:rsidRPr="001E3B90">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_Toc513620240 \h </w:instrText>
            </w:r>
            <w:r>
              <w:rPr>
                <w:noProof/>
                <w:webHidden/>
              </w:rPr>
            </w:r>
            <w:r>
              <w:rPr>
                <w:noProof/>
                <w:webHidden/>
              </w:rPr>
              <w:fldChar w:fldCharType="separate"/>
            </w:r>
            <w:r>
              <w:rPr>
                <w:noProof/>
                <w:webHidden/>
              </w:rPr>
              <w:t>2</w:t>
            </w:r>
            <w:r>
              <w:rPr>
                <w:noProof/>
                <w:webHidden/>
              </w:rPr>
              <w:fldChar w:fldCharType="end"/>
            </w:r>
          </w:hyperlink>
        </w:p>
        <w:p w14:paraId="1803E780" w14:textId="261C73C8" w:rsidR="00B778E5" w:rsidRDefault="00B778E5">
          <w:pPr>
            <w:pStyle w:val="TOC1"/>
            <w:tabs>
              <w:tab w:val="right" w:leader="dot" w:pos="9016"/>
            </w:tabs>
            <w:rPr>
              <w:rFonts w:eastAsiaTheme="minorEastAsia"/>
              <w:noProof/>
              <w:lang w:eastAsia="en-GB"/>
            </w:rPr>
          </w:pPr>
          <w:hyperlink w:anchor="_Toc513620241" w:history="1">
            <w:r w:rsidRPr="001E3B90">
              <w:rPr>
                <w:rStyle w:val="Hyperlink"/>
                <w:rFonts w:ascii="Times New Roman" w:hAnsi="Times New Roman" w:cs="Times New Roman"/>
                <w:noProof/>
              </w:rPr>
              <w:t>Introduction- Amenhotep III and the start of the Amarna Age</w:t>
            </w:r>
            <w:r>
              <w:rPr>
                <w:noProof/>
                <w:webHidden/>
              </w:rPr>
              <w:tab/>
            </w:r>
            <w:r>
              <w:rPr>
                <w:noProof/>
                <w:webHidden/>
              </w:rPr>
              <w:fldChar w:fldCharType="begin"/>
            </w:r>
            <w:r>
              <w:rPr>
                <w:noProof/>
                <w:webHidden/>
              </w:rPr>
              <w:instrText xml:space="preserve"> PAGEREF _Toc513620241 \h </w:instrText>
            </w:r>
            <w:r>
              <w:rPr>
                <w:noProof/>
                <w:webHidden/>
              </w:rPr>
            </w:r>
            <w:r>
              <w:rPr>
                <w:noProof/>
                <w:webHidden/>
              </w:rPr>
              <w:fldChar w:fldCharType="separate"/>
            </w:r>
            <w:r>
              <w:rPr>
                <w:noProof/>
                <w:webHidden/>
              </w:rPr>
              <w:t>4</w:t>
            </w:r>
            <w:r>
              <w:rPr>
                <w:noProof/>
                <w:webHidden/>
              </w:rPr>
              <w:fldChar w:fldCharType="end"/>
            </w:r>
          </w:hyperlink>
        </w:p>
        <w:p w14:paraId="68D4E9E5" w14:textId="39FD967F" w:rsidR="00B778E5" w:rsidRDefault="00B778E5">
          <w:pPr>
            <w:pStyle w:val="TOC1"/>
            <w:tabs>
              <w:tab w:val="right" w:leader="dot" w:pos="9016"/>
            </w:tabs>
            <w:rPr>
              <w:rFonts w:eastAsiaTheme="minorEastAsia"/>
              <w:noProof/>
              <w:lang w:eastAsia="en-GB"/>
            </w:rPr>
          </w:pPr>
          <w:hyperlink w:anchor="_Toc513620242" w:history="1">
            <w:r w:rsidRPr="001E3B90">
              <w:rPr>
                <w:rStyle w:val="Hyperlink"/>
                <w:rFonts w:ascii="Times New Roman" w:hAnsi="Times New Roman" w:cs="Times New Roman"/>
                <w:noProof/>
              </w:rPr>
              <w:t>Chapter 1- The Heretic King: Changes in Religion</w:t>
            </w:r>
            <w:r>
              <w:rPr>
                <w:noProof/>
                <w:webHidden/>
              </w:rPr>
              <w:tab/>
            </w:r>
            <w:r>
              <w:rPr>
                <w:noProof/>
                <w:webHidden/>
              </w:rPr>
              <w:fldChar w:fldCharType="begin"/>
            </w:r>
            <w:r>
              <w:rPr>
                <w:noProof/>
                <w:webHidden/>
              </w:rPr>
              <w:instrText xml:space="preserve"> PAGEREF _Toc513620242 \h </w:instrText>
            </w:r>
            <w:r>
              <w:rPr>
                <w:noProof/>
                <w:webHidden/>
              </w:rPr>
            </w:r>
            <w:r>
              <w:rPr>
                <w:noProof/>
                <w:webHidden/>
              </w:rPr>
              <w:fldChar w:fldCharType="separate"/>
            </w:r>
            <w:r>
              <w:rPr>
                <w:noProof/>
                <w:webHidden/>
              </w:rPr>
              <w:t>8</w:t>
            </w:r>
            <w:r>
              <w:rPr>
                <w:noProof/>
                <w:webHidden/>
              </w:rPr>
              <w:fldChar w:fldCharType="end"/>
            </w:r>
          </w:hyperlink>
        </w:p>
        <w:p w14:paraId="4B1DF292" w14:textId="2D528858" w:rsidR="00B778E5" w:rsidRDefault="00B778E5">
          <w:pPr>
            <w:pStyle w:val="TOC1"/>
            <w:tabs>
              <w:tab w:val="right" w:leader="dot" w:pos="9016"/>
            </w:tabs>
            <w:rPr>
              <w:rFonts w:eastAsiaTheme="minorEastAsia"/>
              <w:noProof/>
              <w:lang w:eastAsia="en-GB"/>
            </w:rPr>
          </w:pPr>
          <w:hyperlink w:anchor="_Toc513620243" w:history="1">
            <w:r w:rsidRPr="001E3B90">
              <w:rPr>
                <w:rStyle w:val="Hyperlink"/>
                <w:rFonts w:ascii="Times New Roman" w:hAnsi="Times New Roman" w:cs="Times New Roman"/>
                <w:noProof/>
              </w:rPr>
              <w:t>Chapter 2- The Artistic Revolution</w:t>
            </w:r>
            <w:r>
              <w:rPr>
                <w:noProof/>
                <w:webHidden/>
              </w:rPr>
              <w:tab/>
            </w:r>
            <w:r>
              <w:rPr>
                <w:noProof/>
                <w:webHidden/>
              </w:rPr>
              <w:fldChar w:fldCharType="begin"/>
            </w:r>
            <w:r>
              <w:rPr>
                <w:noProof/>
                <w:webHidden/>
              </w:rPr>
              <w:instrText xml:space="preserve"> PAGEREF _Toc513620243 \h </w:instrText>
            </w:r>
            <w:r>
              <w:rPr>
                <w:noProof/>
                <w:webHidden/>
              </w:rPr>
            </w:r>
            <w:r>
              <w:rPr>
                <w:noProof/>
                <w:webHidden/>
              </w:rPr>
              <w:fldChar w:fldCharType="separate"/>
            </w:r>
            <w:r>
              <w:rPr>
                <w:noProof/>
                <w:webHidden/>
              </w:rPr>
              <w:t>14</w:t>
            </w:r>
            <w:r>
              <w:rPr>
                <w:noProof/>
                <w:webHidden/>
              </w:rPr>
              <w:fldChar w:fldCharType="end"/>
            </w:r>
          </w:hyperlink>
        </w:p>
        <w:p w14:paraId="56EFB8F5" w14:textId="56216D02" w:rsidR="00B778E5" w:rsidRDefault="00B778E5">
          <w:pPr>
            <w:pStyle w:val="TOC1"/>
            <w:tabs>
              <w:tab w:val="right" w:leader="dot" w:pos="9016"/>
            </w:tabs>
            <w:rPr>
              <w:rFonts w:eastAsiaTheme="minorEastAsia"/>
              <w:noProof/>
              <w:lang w:eastAsia="en-GB"/>
            </w:rPr>
          </w:pPr>
          <w:hyperlink w:anchor="_Toc513620244" w:history="1">
            <w:r w:rsidRPr="001E3B90">
              <w:rPr>
                <w:rStyle w:val="Hyperlink"/>
                <w:rFonts w:ascii="Times New Roman" w:hAnsi="Times New Roman" w:cs="Times New Roman"/>
                <w:noProof/>
              </w:rPr>
              <w:t>Chapter 3- Are We Friends? International Diplomacy in the Amarna Period</w:t>
            </w:r>
            <w:r>
              <w:rPr>
                <w:noProof/>
                <w:webHidden/>
              </w:rPr>
              <w:tab/>
            </w:r>
            <w:r>
              <w:rPr>
                <w:noProof/>
                <w:webHidden/>
              </w:rPr>
              <w:fldChar w:fldCharType="begin"/>
            </w:r>
            <w:r>
              <w:rPr>
                <w:noProof/>
                <w:webHidden/>
              </w:rPr>
              <w:instrText xml:space="preserve"> PAGEREF _Toc513620244 \h </w:instrText>
            </w:r>
            <w:r>
              <w:rPr>
                <w:noProof/>
                <w:webHidden/>
              </w:rPr>
            </w:r>
            <w:r>
              <w:rPr>
                <w:noProof/>
                <w:webHidden/>
              </w:rPr>
              <w:fldChar w:fldCharType="separate"/>
            </w:r>
            <w:r>
              <w:rPr>
                <w:noProof/>
                <w:webHidden/>
              </w:rPr>
              <w:t>20</w:t>
            </w:r>
            <w:r>
              <w:rPr>
                <w:noProof/>
                <w:webHidden/>
              </w:rPr>
              <w:fldChar w:fldCharType="end"/>
            </w:r>
          </w:hyperlink>
        </w:p>
        <w:p w14:paraId="45977AC0" w14:textId="47AA9195" w:rsidR="00B778E5" w:rsidRDefault="00B778E5">
          <w:pPr>
            <w:pStyle w:val="TOC1"/>
            <w:tabs>
              <w:tab w:val="right" w:leader="dot" w:pos="9016"/>
            </w:tabs>
            <w:rPr>
              <w:rFonts w:eastAsiaTheme="minorEastAsia"/>
              <w:noProof/>
              <w:lang w:eastAsia="en-GB"/>
            </w:rPr>
          </w:pPr>
          <w:hyperlink w:anchor="_Toc513620245" w:history="1">
            <w:r w:rsidRPr="001E3B90">
              <w:rPr>
                <w:rStyle w:val="Hyperlink"/>
                <w:rFonts w:ascii="Times New Roman" w:hAnsi="Times New Roman" w:cs="Times New Roman"/>
                <w:noProof/>
              </w:rPr>
              <w:t>Chapter 4- Visions of Beauty: Women during the Amarna Period</w:t>
            </w:r>
            <w:r>
              <w:rPr>
                <w:noProof/>
                <w:webHidden/>
              </w:rPr>
              <w:tab/>
            </w:r>
            <w:r>
              <w:rPr>
                <w:noProof/>
                <w:webHidden/>
              </w:rPr>
              <w:fldChar w:fldCharType="begin"/>
            </w:r>
            <w:r>
              <w:rPr>
                <w:noProof/>
                <w:webHidden/>
              </w:rPr>
              <w:instrText xml:space="preserve"> PAGEREF _Toc513620245 \h </w:instrText>
            </w:r>
            <w:r>
              <w:rPr>
                <w:noProof/>
                <w:webHidden/>
              </w:rPr>
            </w:r>
            <w:r>
              <w:rPr>
                <w:noProof/>
                <w:webHidden/>
              </w:rPr>
              <w:fldChar w:fldCharType="separate"/>
            </w:r>
            <w:r>
              <w:rPr>
                <w:noProof/>
                <w:webHidden/>
              </w:rPr>
              <w:t>26</w:t>
            </w:r>
            <w:r>
              <w:rPr>
                <w:noProof/>
                <w:webHidden/>
              </w:rPr>
              <w:fldChar w:fldCharType="end"/>
            </w:r>
          </w:hyperlink>
        </w:p>
        <w:p w14:paraId="5F4CF93B" w14:textId="093CDED2" w:rsidR="00B778E5" w:rsidRDefault="00B778E5">
          <w:pPr>
            <w:pStyle w:val="TOC1"/>
            <w:tabs>
              <w:tab w:val="right" w:leader="dot" w:pos="9016"/>
            </w:tabs>
            <w:rPr>
              <w:rFonts w:eastAsiaTheme="minorEastAsia"/>
              <w:noProof/>
              <w:lang w:eastAsia="en-GB"/>
            </w:rPr>
          </w:pPr>
          <w:hyperlink w:anchor="_Toc513620246" w:history="1">
            <w:r w:rsidRPr="001E3B90">
              <w:rPr>
                <w:rStyle w:val="Hyperlink"/>
                <w:rFonts w:ascii="Times New Roman" w:hAnsi="Times New Roman" w:cs="Times New Roman"/>
                <w:noProof/>
              </w:rPr>
              <w:t>Conclusion- How Revolutionary was the Amarna Period?</w:t>
            </w:r>
            <w:r>
              <w:rPr>
                <w:noProof/>
                <w:webHidden/>
              </w:rPr>
              <w:tab/>
            </w:r>
            <w:r>
              <w:rPr>
                <w:noProof/>
                <w:webHidden/>
              </w:rPr>
              <w:fldChar w:fldCharType="begin"/>
            </w:r>
            <w:r>
              <w:rPr>
                <w:noProof/>
                <w:webHidden/>
              </w:rPr>
              <w:instrText xml:space="preserve"> PAGEREF _Toc513620246 \h </w:instrText>
            </w:r>
            <w:r>
              <w:rPr>
                <w:noProof/>
                <w:webHidden/>
              </w:rPr>
            </w:r>
            <w:r>
              <w:rPr>
                <w:noProof/>
                <w:webHidden/>
              </w:rPr>
              <w:fldChar w:fldCharType="separate"/>
            </w:r>
            <w:r>
              <w:rPr>
                <w:noProof/>
                <w:webHidden/>
              </w:rPr>
              <w:t>32</w:t>
            </w:r>
            <w:r>
              <w:rPr>
                <w:noProof/>
                <w:webHidden/>
              </w:rPr>
              <w:fldChar w:fldCharType="end"/>
            </w:r>
          </w:hyperlink>
        </w:p>
        <w:p w14:paraId="27023257" w14:textId="767B271C" w:rsidR="00B778E5" w:rsidRDefault="00B778E5">
          <w:pPr>
            <w:pStyle w:val="TOC1"/>
            <w:tabs>
              <w:tab w:val="right" w:leader="dot" w:pos="9016"/>
            </w:tabs>
            <w:rPr>
              <w:rFonts w:eastAsiaTheme="minorEastAsia"/>
              <w:noProof/>
              <w:lang w:eastAsia="en-GB"/>
            </w:rPr>
          </w:pPr>
          <w:hyperlink w:anchor="_Toc513620247" w:history="1">
            <w:r w:rsidRPr="001E3B90">
              <w:rPr>
                <w:rStyle w:val="Hyperlink"/>
                <w:rFonts w:ascii="Times New Roman" w:hAnsi="Times New Roman" w:cs="Times New Roman"/>
                <w:noProof/>
              </w:rPr>
              <w:t>Appendix 1- Timeline</w:t>
            </w:r>
            <w:r>
              <w:rPr>
                <w:noProof/>
                <w:webHidden/>
              </w:rPr>
              <w:tab/>
            </w:r>
            <w:r>
              <w:rPr>
                <w:noProof/>
                <w:webHidden/>
              </w:rPr>
              <w:fldChar w:fldCharType="begin"/>
            </w:r>
            <w:r>
              <w:rPr>
                <w:noProof/>
                <w:webHidden/>
              </w:rPr>
              <w:instrText xml:space="preserve"> PAGEREF _Toc513620247 \h </w:instrText>
            </w:r>
            <w:r>
              <w:rPr>
                <w:noProof/>
                <w:webHidden/>
              </w:rPr>
            </w:r>
            <w:r>
              <w:rPr>
                <w:noProof/>
                <w:webHidden/>
              </w:rPr>
              <w:fldChar w:fldCharType="separate"/>
            </w:r>
            <w:r>
              <w:rPr>
                <w:noProof/>
                <w:webHidden/>
              </w:rPr>
              <w:t>35</w:t>
            </w:r>
            <w:r>
              <w:rPr>
                <w:noProof/>
                <w:webHidden/>
              </w:rPr>
              <w:fldChar w:fldCharType="end"/>
            </w:r>
          </w:hyperlink>
        </w:p>
        <w:p w14:paraId="1A51E848" w14:textId="2A7EF158" w:rsidR="00B778E5" w:rsidRDefault="00B778E5">
          <w:pPr>
            <w:pStyle w:val="TOC1"/>
            <w:tabs>
              <w:tab w:val="right" w:leader="dot" w:pos="9016"/>
            </w:tabs>
            <w:rPr>
              <w:rFonts w:eastAsiaTheme="minorEastAsia"/>
              <w:noProof/>
              <w:lang w:eastAsia="en-GB"/>
            </w:rPr>
          </w:pPr>
          <w:hyperlink w:anchor="_Toc513620248" w:history="1">
            <w:r w:rsidRPr="001E3B90">
              <w:rPr>
                <w:rStyle w:val="Hyperlink"/>
                <w:rFonts w:ascii="Times New Roman" w:hAnsi="Times New Roman" w:cs="Times New Roman"/>
                <w:noProof/>
              </w:rPr>
              <w:t>Appendix 2- Figures</w:t>
            </w:r>
            <w:r>
              <w:rPr>
                <w:noProof/>
                <w:webHidden/>
              </w:rPr>
              <w:tab/>
            </w:r>
            <w:r>
              <w:rPr>
                <w:noProof/>
                <w:webHidden/>
              </w:rPr>
              <w:fldChar w:fldCharType="begin"/>
            </w:r>
            <w:r>
              <w:rPr>
                <w:noProof/>
                <w:webHidden/>
              </w:rPr>
              <w:instrText xml:space="preserve"> PAGEREF _Toc513620248 \h </w:instrText>
            </w:r>
            <w:r>
              <w:rPr>
                <w:noProof/>
                <w:webHidden/>
              </w:rPr>
            </w:r>
            <w:r>
              <w:rPr>
                <w:noProof/>
                <w:webHidden/>
              </w:rPr>
              <w:fldChar w:fldCharType="separate"/>
            </w:r>
            <w:r>
              <w:rPr>
                <w:noProof/>
                <w:webHidden/>
              </w:rPr>
              <w:t>36</w:t>
            </w:r>
            <w:r>
              <w:rPr>
                <w:noProof/>
                <w:webHidden/>
              </w:rPr>
              <w:fldChar w:fldCharType="end"/>
            </w:r>
          </w:hyperlink>
        </w:p>
        <w:p w14:paraId="5348E03B" w14:textId="2C48FF50" w:rsidR="00B778E5" w:rsidRDefault="00B778E5">
          <w:pPr>
            <w:pStyle w:val="TOC1"/>
            <w:tabs>
              <w:tab w:val="right" w:leader="dot" w:pos="9016"/>
            </w:tabs>
            <w:rPr>
              <w:rFonts w:eastAsiaTheme="minorEastAsia"/>
              <w:noProof/>
              <w:lang w:eastAsia="en-GB"/>
            </w:rPr>
          </w:pPr>
          <w:hyperlink w:anchor="_Toc513620249" w:history="1">
            <w:r w:rsidRPr="001E3B90">
              <w:rPr>
                <w:rStyle w:val="Hyperlink"/>
                <w:rFonts w:ascii="Times New Roman" w:hAnsi="Times New Roman" w:cs="Times New Roman"/>
                <w:noProof/>
              </w:rPr>
              <w:t>Appendix 3- Great Hymn to the Aten</w:t>
            </w:r>
            <w:r>
              <w:rPr>
                <w:noProof/>
                <w:webHidden/>
              </w:rPr>
              <w:tab/>
            </w:r>
            <w:r>
              <w:rPr>
                <w:noProof/>
                <w:webHidden/>
              </w:rPr>
              <w:fldChar w:fldCharType="begin"/>
            </w:r>
            <w:r>
              <w:rPr>
                <w:noProof/>
                <w:webHidden/>
              </w:rPr>
              <w:instrText xml:space="preserve"> PAGEREF _Toc513620249 \h </w:instrText>
            </w:r>
            <w:r>
              <w:rPr>
                <w:noProof/>
                <w:webHidden/>
              </w:rPr>
            </w:r>
            <w:r>
              <w:rPr>
                <w:noProof/>
                <w:webHidden/>
              </w:rPr>
              <w:fldChar w:fldCharType="separate"/>
            </w:r>
            <w:r>
              <w:rPr>
                <w:noProof/>
                <w:webHidden/>
              </w:rPr>
              <w:t>39</w:t>
            </w:r>
            <w:r>
              <w:rPr>
                <w:noProof/>
                <w:webHidden/>
              </w:rPr>
              <w:fldChar w:fldCharType="end"/>
            </w:r>
          </w:hyperlink>
        </w:p>
        <w:p w14:paraId="2DCF1B9D" w14:textId="234AC54A" w:rsidR="00B778E5" w:rsidRDefault="00B778E5">
          <w:pPr>
            <w:pStyle w:val="TOC1"/>
            <w:tabs>
              <w:tab w:val="right" w:leader="dot" w:pos="9016"/>
            </w:tabs>
            <w:rPr>
              <w:rFonts w:eastAsiaTheme="minorEastAsia"/>
              <w:noProof/>
              <w:lang w:eastAsia="en-GB"/>
            </w:rPr>
          </w:pPr>
          <w:hyperlink w:anchor="_Toc513620250" w:history="1">
            <w:r w:rsidRPr="001E3B90">
              <w:rPr>
                <w:rStyle w:val="Hyperlink"/>
                <w:rFonts w:ascii="Times New Roman" w:hAnsi="Times New Roman" w:cs="Times New Roman"/>
                <w:noProof/>
              </w:rPr>
              <w:t>Appendix 4 – Restoration Stela</w:t>
            </w:r>
            <w:r>
              <w:rPr>
                <w:noProof/>
                <w:webHidden/>
              </w:rPr>
              <w:tab/>
            </w:r>
            <w:r>
              <w:rPr>
                <w:noProof/>
                <w:webHidden/>
              </w:rPr>
              <w:fldChar w:fldCharType="begin"/>
            </w:r>
            <w:r>
              <w:rPr>
                <w:noProof/>
                <w:webHidden/>
              </w:rPr>
              <w:instrText xml:space="preserve"> PAGEREF _Toc513620250 \h </w:instrText>
            </w:r>
            <w:r>
              <w:rPr>
                <w:noProof/>
                <w:webHidden/>
              </w:rPr>
            </w:r>
            <w:r>
              <w:rPr>
                <w:noProof/>
                <w:webHidden/>
              </w:rPr>
              <w:fldChar w:fldCharType="separate"/>
            </w:r>
            <w:r>
              <w:rPr>
                <w:noProof/>
                <w:webHidden/>
              </w:rPr>
              <w:t>42</w:t>
            </w:r>
            <w:r>
              <w:rPr>
                <w:noProof/>
                <w:webHidden/>
              </w:rPr>
              <w:fldChar w:fldCharType="end"/>
            </w:r>
          </w:hyperlink>
        </w:p>
        <w:p w14:paraId="7D632A40" w14:textId="5D030278" w:rsidR="00B778E5" w:rsidRDefault="00B778E5">
          <w:pPr>
            <w:pStyle w:val="TOC1"/>
            <w:tabs>
              <w:tab w:val="right" w:leader="dot" w:pos="9016"/>
            </w:tabs>
            <w:rPr>
              <w:rFonts w:eastAsiaTheme="minorEastAsia"/>
              <w:noProof/>
              <w:lang w:eastAsia="en-GB"/>
            </w:rPr>
          </w:pPr>
          <w:hyperlink w:anchor="_Toc513620251" w:history="1">
            <w:r w:rsidRPr="001E3B90">
              <w:rPr>
                <w:rStyle w:val="Hyperlink"/>
                <w:rFonts w:ascii="Times New Roman" w:hAnsi="Times New Roman" w:cs="Times New Roman"/>
                <w:noProof/>
              </w:rPr>
              <w:t>Appendix 5- Amarna Letters</w:t>
            </w:r>
            <w:r>
              <w:rPr>
                <w:noProof/>
                <w:webHidden/>
              </w:rPr>
              <w:tab/>
            </w:r>
            <w:r>
              <w:rPr>
                <w:noProof/>
                <w:webHidden/>
              </w:rPr>
              <w:fldChar w:fldCharType="begin"/>
            </w:r>
            <w:r>
              <w:rPr>
                <w:noProof/>
                <w:webHidden/>
              </w:rPr>
              <w:instrText xml:space="preserve"> PAGEREF _Toc513620251 \h </w:instrText>
            </w:r>
            <w:r>
              <w:rPr>
                <w:noProof/>
                <w:webHidden/>
              </w:rPr>
            </w:r>
            <w:r>
              <w:rPr>
                <w:noProof/>
                <w:webHidden/>
              </w:rPr>
              <w:fldChar w:fldCharType="separate"/>
            </w:r>
            <w:r>
              <w:rPr>
                <w:noProof/>
                <w:webHidden/>
              </w:rPr>
              <w:t>43</w:t>
            </w:r>
            <w:r>
              <w:rPr>
                <w:noProof/>
                <w:webHidden/>
              </w:rPr>
              <w:fldChar w:fldCharType="end"/>
            </w:r>
          </w:hyperlink>
        </w:p>
        <w:p w14:paraId="6058DFBF" w14:textId="3442C035" w:rsidR="00B778E5" w:rsidRDefault="00B778E5">
          <w:pPr>
            <w:pStyle w:val="TOC1"/>
            <w:tabs>
              <w:tab w:val="right" w:leader="dot" w:pos="9016"/>
            </w:tabs>
            <w:rPr>
              <w:rFonts w:eastAsiaTheme="minorEastAsia"/>
              <w:noProof/>
              <w:lang w:eastAsia="en-GB"/>
            </w:rPr>
          </w:pPr>
          <w:hyperlink w:anchor="_Toc513620252" w:history="1">
            <w:r w:rsidRPr="001E3B90">
              <w:rPr>
                <w:rStyle w:val="Hyperlink"/>
                <w:rFonts w:ascii="Times New Roman" w:hAnsi="Times New Roman" w:cs="Times New Roman"/>
                <w:noProof/>
              </w:rPr>
              <w:t>Appendix 6- Funerary Items</w:t>
            </w:r>
            <w:r>
              <w:rPr>
                <w:noProof/>
                <w:webHidden/>
              </w:rPr>
              <w:tab/>
            </w:r>
            <w:r>
              <w:rPr>
                <w:noProof/>
                <w:webHidden/>
              </w:rPr>
              <w:fldChar w:fldCharType="begin"/>
            </w:r>
            <w:r>
              <w:rPr>
                <w:noProof/>
                <w:webHidden/>
              </w:rPr>
              <w:instrText xml:space="preserve"> PAGEREF _Toc513620252 \h </w:instrText>
            </w:r>
            <w:r>
              <w:rPr>
                <w:noProof/>
                <w:webHidden/>
              </w:rPr>
            </w:r>
            <w:r>
              <w:rPr>
                <w:noProof/>
                <w:webHidden/>
              </w:rPr>
              <w:fldChar w:fldCharType="separate"/>
            </w:r>
            <w:r>
              <w:rPr>
                <w:noProof/>
                <w:webHidden/>
              </w:rPr>
              <w:t>47</w:t>
            </w:r>
            <w:r>
              <w:rPr>
                <w:noProof/>
                <w:webHidden/>
              </w:rPr>
              <w:fldChar w:fldCharType="end"/>
            </w:r>
          </w:hyperlink>
        </w:p>
        <w:p w14:paraId="4C8C7E06" w14:textId="1DBF0FCB" w:rsidR="00B778E5" w:rsidRDefault="00B778E5">
          <w:pPr>
            <w:pStyle w:val="TOC1"/>
            <w:tabs>
              <w:tab w:val="right" w:leader="dot" w:pos="9016"/>
            </w:tabs>
            <w:rPr>
              <w:rFonts w:eastAsiaTheme="minorEastAsia"/>
              <w:noProof/>
              <w:lang w:eastAsia="en-GB"/>
            </w:rPr>
          </w:pPr>
          <w:hyperlink w:anchor="_Toc513620253" w:history="1">
            <w:r w:rsidRPr="001E3B90">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_Toc513620253 \h </w:instrText>
            </w:r>
            <w:r>
              <w:rPr>
                <w:noProof/>
                <w:webHidden/>
              </w:rPr>
            </w:r>
            <w:r>
              <w:rPr>
                <w:noProof/>
                <w:webHidden/>
              </w:rPr>
              <w:fldChar w:fldCharType="separate"/>
            </w:r>
            <w:r>
              <w:rPr>
                <w:noProof/>
                <w:webHidden/>
              </w:rPr>
              <w:t>48</w:t>
            </w:r>
            <w:r>
              <w:rPr>
                <w:noProof/>
                <w:webHidden/>
              </w:rPr>
              <w:fldChar w:fldCharType="end"/>
            </w:r>
          </w:hyperlink>
        </w:p>
        <w:p w14:paraId="48DAADCC" w14:textId="6195B602" w:rsidR="00830A63" w:rsidRDefault="00830A63">
          <w:r w:rsidRPr="00F43025">
            <w:rPr>
              <w:rFonts w:ascii="Times New Roman" w:hAnsi="Times New Roman" w:cs="Times New Roman"/>
              <w:b/>
              <w:bCs/>
              <w:noProof/>
            </w:rPr>
            <w:fldChar w:fldCharType="end"/>
          </w:r>
        </w:p>
      </w:sdtContent>
    </w:sdt>
    <w:p w14:paraId="7084C62E" w14:textId="05D855A4" w:rsidR="00830A63" w:rsidRDefault="00830A63" w:rsidP="00745B9D">
      <w:pPr>
        <w:spacing w:line="480" w:lineRule="auto"/>
        <w:rPr>
          <w:rFonts w:ascii="Times New Roman" w:hAnsi="Times New Roman" w:cs="Times New Roman"/>
          <w:sz w:val="24"/>
          <w:szCs w:val="24"/>
        </w:rPr>
      </w:pPr>
    </w:p>
    <w:p w14:paraId="575A1519" w14:textId="77777777" w:rsidR="00830A63" w:rsidRDefault="00830A63">
      <w:pPr>
        <w:rPr>
          <w:rFonts w:ascii="Times New Roman" w:hAnsi="Times New Roman" w:cs="Times New Roman"/>
          <w:sz w:val="24"/>
          <w:szCs w:val="24"/>
        </w:rPr>
      </w:pPr>
      <w:r>
        <w:rPr>
          <w:rFonts w:ascii="Times New Roman" w:hAnsi="Times New Roman" w:cs="Times New Roman"/>
          <w:sz w:val="24"/>
          <w:szCs w:val="24"/>
        </w:rPr>
        <w:br w:type="page"/>
      </w:r>
    </w:p>
    <w:p w14:paraId="09510FD0" w14:textId="42AE654C" w:rsidR="00BE2A57" w:rsidRPr="00C80359" w:rsidRDefault="00A30FB7" w:rsidP="00EA01AE">
      <w:pPr>
        <w:pStyle w:val="Heading1"/>
        <w:rPr>
          <w:rFonts w:ascii="Times New Roman" w:hAnsi="Times New Roman" w:cs="Times New Roman"/>
          <w:color w:val="000000" w:themeColor="text1"/>
        </w:rPr>
      </w:pPr>
      <w:bookmarkStart w:id="2" w:name="_Toc513620241"/>
      <w:r w:rsidRPr="00C80359">
        <w:rPr>
          <w:rFonts w:ascii="Times New Roman" w:hAnsi="Times New Roman" w:cs="Times New Roman"/>
          <w:color w:val="000000" w:themeColor="text1"/>
        </w:rPr>
        <w:lastRenderedPageBreak/>
        <w:t>Introduction- Amenhotep III and the start of the Amarna Age</w:t>
      </w:r>
      <w:bookmarkEnd w:id="2"/>
    </w:p>
    <w:p w14:paraId="3770E455" w14:textId="00F474EA" w:rsidR="00F43025" w:rsidRDefault="00F43025" w:rsidP="00F43025"/>
    <w:p w14:paraId="3D35D4EE" w14:textId="35C24C09" w:rsidR="00D41458" w:rsidRDefault="00D41458" w:rsidP="00F43025">
      <w:pPr>
        <w:spacing w:line="480" w:lineRule="auto"/>
        <w:rPr>
          <w:rFonts w:ascii="Times New Roman" w:hAnsi="Times New Roman" w:cs="Times New Roman"/>
          <w:sz w:val="24"/>
          <w:szCs w:val="24"/>
        </w:rPr>
      </w:pPr>
    </w:p>
    <w:p w14:paraId="1292E4BF" w14:textId="651F558D" w:rsidR="00F02859" w:rsidRDefault="000A137A" w:rsidP="00F43025">
      <w:pPr>
        <w:spacing w:line="480" w:lineRule="auto"/>
        <w:rPr>
          <w:rFonts w:ascii="Times New Roman" w:hAnsi="Times New Roman" w:cs="Times New Roman"/>
          <w:sz w:val="24"/>
          <w:szCs w:val="24"/>
        </w:rPr>
      </w:pPr>
      <w:r w:rsidRPr="000A137A">
        <w:rPr>
          <w:rFonts w:ascii="Times New Roman" w:hAnsi="Times New Roman" w:cs="Times New Roman"/>
          <w:sz w:val="24"/>
          <w:szCs w:val="24"/>
        </w:rPr>
        <w:t>The Amarna Period is arguably one of the most revolutionary periods in ancient Egyptian history.</w:t>
      </w:r>
      <w:r>
        <w:rPr>
          <w:rFonts w:ascii="Times New Roman" w:hAnsi="Times New Roman" w:cs="Times New Roman"/>
          <w:sz w:val="24"/>
          <w:szCs w:val="24"/>
        </w:rPr>
        <w:t xml:space="preserve"> Starting </w:t>
      </w:r>
      <w:r w:rsidR="00E846C1">
        <w:rPr>
          <w:rFonts w:ascii="Times New Roman" w:hAnsi="Times New Roman" w:cs="Times New Roman"/>
          <w:sz w:val="24"/>
          <w:szCs w:val="24"/>
        </w:rPr>
        <w:t>in</w:t>
      </w:r>
      <w:r>
        <w:rPr>
          <w:rFonts w:ascii="Times New Roman" w:hAnsi="Times New Roman" w:cs="Times New Roman"/>
          <w:sz w:val="24"/>
          <w:szCs w:val="24"/>
        </w:rPr>
        <w:t xml:space="preserve"> 1352BC</w:t>
      </w:r>
      <w:r w:rsidR="00680CCD">
        <w:rPr>
          <w:rFonts w:ascii="Times New Roman" w:hAnsi="Times New Roman" w:cs="Times New Roman"/>
          <w:sz w:val="24"/>
          <w:szCs w:val="24"/>
        </w:rPr>
        <w:t>, the Amarna Period only lasted</w:t>
      </w:r>
      <w:r w:rsidR="00E846C1">
        <w:rPr>
          <w:rFonts w:ascii="Times New Roman" w:hAnsi="Times New Roman" w:cs="Times New Roman"/>
          <w:sz w:val="24"/>
          <w:szCs w:val="24"/>
        </w:rPr>
        <w:t xml:space="preserve"> around twenty years, but it radically altered many parts of Egyptian society.</w:t>
      </w:r>
      <w:r w:rsidR="00E846C1">
        <w:rPr>
          <w:rStyle w:val="FootnoteReference"/>
          <w:rFonts w:ascii="Times New Roman" w:hAnsi="Times New Roman" w:cs="Times New Roman"/>
          <w:sz w:val="24"/>
          <w:szCs w:val="24"/>
        </w:rPr>
        <w:footnoteReference w:id="1"/>
      </w:r>
      <w:r w:rsidR="00680CCD">
        <w:rPr>
          <w:rFonts w:ascii="Times New Roman" w:hAnsi="Times New Roman" w:cs="Times New Roman"/>
          <w:sz w:val="24"/>
          <w:szCs w:val="24"/>
        </w:rPr>
        <w:t xml:space="preserve"> </w:t>
      </w:r>
      <w:r w:rsidR="00932A9B" w:rsidRPr="00932A9B">
        <w:rPr>
          <w:rFonts w:ascii="Times New Roman" w:hAnsi="Times New Roman" w:cs="Times New Roman"/>
          <w:sz w:val="24"/>
          <w:szCs w:val="24"/>
        </w:rPr>
        <w:t xml:space="preserve">This is why, in my opinion, the Amarna Period had the impact it did; it was not just one aspect of Egyptian society that was </w:t>
      </w:r>
      <w:r w:rsidR="00235B27">
        <w:rPr>
          <w:rFonts w:ascii="Times New Roman" w:hAnsi="Times New Roman" w:cs="Times New Roman"/>
          <w:sz w:val="24"/>
          <w:szCs w:val="24"/>
        </w:rPr>
        <w:t>changed</w:t>
      </w:r>
      <w:r w:rsidR="00932A9B" w:rsidRPr="00932A9B">
        <w:rPr>
          <w:rFonts w:ascii="Times New Roman" w:hAnsi="Times New Roman" w:cs="Times New Roman"/>
          <w:sz w:val="24"/>
          <w:szCs w:val="24"/>
        </w:rPr>
        <w:t>, but a range of ideas, including ones at the heart of Egyptian society.</w:t>
      </w:r>
      <w:r w:rsidR="00F02859">
        <w:rPr>
          <w:rFonts w:ascii="Times New Roman" w:hAnsi="Times New Roman" w:cs="Times New Roman"/>
          <w:sz w:val="24"/>
          <w:szCs w:val="24"/>
        </w:rPr>
        <w:t xml:space="preserve"> Although we now have a better understanding of the Amarna Period, especially thanks to the ongoing excavations at Amarna, there is still a lot of information we do not know. This is mainly due to the attempted removal of Akhenaten, Nefertiti and anything to do with this time period from the archaeological record</w:t>
      </w:r>
      <w:r w:rsidR="00167A2A">
        <w:rPr>
          <w:rFonts w:ascii="Times New Roman" w:hAnsi="Times New Roman" w:cs="Times New Roman"/>
          <w:sz w:val="24"/>
          <w:szCs w:val="24"/>
        </w:rPr>
        <w:t xml:space="preserve"> by the ancient Egyptians themselves</w:t>
      </w:r>
      <w:r w:rsidR="00F02859">
        <w:rPr>
          <w:rFonts w:ascii="Times New Roman" w:hAnsi="Times New Roman" w:cs="Times New Roman"/>
          <w:sz w:val="24"/>
          <w:szCs w:val="24"/>
        </w:rPr>
        <w:t xml:space="preserve">. We have been very lucky to find the evidence we have, and this fascinating period of Egyptian history still needs thorough investigation. </w:t>
      </w:r>
      <w:r w:rsidR="00F02859" w:rsidRPr="00F02859">
        <w:rPr>
          <w:rFonts w:ascii="Times New Roman" w:hAnsi="Times New Roman" w:cs="Times New Roman"/>
          <w:sz w:val="24"/>
          <w:szCs w:val="24"/>
        </w:rPr>
        <w:t xml:space="preserve">However, the mystery surrounding the Amarna Period is something that cannot be ignored while investigating it, as Fletcher states: </w:t>
      </w:r>
    </w:p>
    <w:p w14:paraId="3DACCD7A" w14:textId="737C7251" w:rsidR="00F02859" w:rsidRPr="00656834" w:rsidRDefault="00F02859" w:rsidP="00F02859">
      <w:pPr>
        <w:jc w:val="both"/>
        <w:rPr>
          <w:rFonts w:ascii="Times New Roman" w:hAnsi="Times New Roman" w:cs="Times New Roman"/>
          <w:sz w:val="24"/>
          <w:szCs w:val="24"/>
        </w:rPr>
      </w:pPr>
      <w:r w:rsidRPr="00656834">
        <w:rPr>
          <w:rFonts w:ascii="Times New Roman" w:hAnsi="Times New Roman" w:cs="Times New Roman"/>
          <w:sz w:val="24"/>
          <w:szCs w:val="24"/>
        </w:rPr>
        <w:t>“with the limited amount of evidence available endlessly scrutinised and argued about, the few hard facts about the Amarna Period are inevitably set against a background of theory, supposition and possibility, and the means by which the ‘established version of events’ came about is a fascinating story in itself.”</w:t>
      </w:r>
      <w:r w:rsidR="00656834" w:rsidRPr="00656834">
        <w:rPr>
          <w:rStyle w:val="FootnoteReference"/>
          <w:rFonts w:ascii="Times New Roman" w:hAnsi="Times New Roman" w:cs="Times New Roman"/>
          <w:sz w:val="24"/>
          <w:szCs w:val="24"/>
        </w:rPr>
        <w:footnoteReference w:id="2"/>
      </w:r>
    </w:p>
    <w:p w14:paraId="13CF8A5E" w14:textId="77777777" w:rsidR="00656834" w:rsidRDefault="00656834" w:rsidP="00F43025">
      <w:pPr>
        <w:spacing w:line="480" w:lineRule="auto"/>
        <w:rPr>
          <w:rFonts w:ascii="Times New Roman" w:hAnsi="Times New Roman" w:cs="Times New Roman"/>
          <w:sz w:val="24"/>
          <w:szCs w:val="24"/>
        </w:rPr>
      </w:pPr>
    </w:p>
    <w:p w14:paraId="79EBC717" w14:textId="0628B823" w:rsidR="000A137A" w:rsidRDefault="00F02859" w:rsidP="00F43025">
      <w:pPr>
        <w:spacing w:line="480" w:lineRule="auto"/>
        <w:rPr>
          <w:rFonts w:ascii="Times New Roman" w:hAnsi="Times New Roman" w:cs="Times New Roman"/>
          <w:sz w:val="24"/>
          <w:szCs w:val="24"/>
        </w:rPr>
      </w:pPr>
      <w:r w:rsidRPr="00F02859">
        <w:rPr>
          <w:rFonts w:ascii="Times New Roman" w:hAnsi="Times New Roman" w:cs="Times New Roman"/>
          <w:sz w:val="24"/>
          <w:szCs w:val="24"/>
        </w:rPr>
        <w:t>Perhaps it is the Amarna Period’s mystery that has made it seem so revolutionary to Egyptologists?</w:t>
      </w:r>
    </w:p>
    <w:p w14:paraId="632CC7B7" w14:textId="47F6AFBD" w:rsidR="007931F0" w:rsidRDefault="007931F0" w:rsidP="00F43025">
      <w:pPr>
        <w:spacing w:line="480" w:lineRule="auto"/>
        <w:rPr>
          <w:rFonts w:ascii="Times New Roman" w:hAnsi="Times New Roman" w:cs="Times New Roman"/>
          <w:sz w:val="24"/>
          <w:szCs w:val="24"/>
        </w:rPr>
      </w:pPr>
    </w:p>
    <w:p w14:paraId="5DC0D3F4" w14:textId="3FFEED30" w:rsidR="007931F0" w:rsidRDefault="003D23D0" w:rsidP="00F43025">
      <w:pPr>
        <w:spacing w:line="480" w:lineRule="auto"/>
        <w:rPr>
          <w:rFonts w:ascii="Times New Roman" w:hAnsi="Times New Roman" w:cs="Times New Roman"/>
          <w:sz w:val="24"/>
          <w:szCs w:val="24"/>
        </w:rPr>
      </w:pPr>
      <w:r w:rsidRPr="003D23D0">
        <w:rPr>
          <w:rFonts w:ascii="Times New Roman" w:hAnsi="Times New Roman" w:cs="Times New Roman"/>
          <w:sz w:val="24"/>
          <w:szCs w:val="24"/>
        </w:rPr>
        <w:t xml:space="preserve">During </w:t>
      </w:r>
      <w:r>
        <w:rPr>
          <w:rFonts w:ascii="Times New Roman" w:hAnsi="Times New Roman" w:cs="Times New Roman"/>
          <w:sz w:val="24"/>
          <w:szCs w:val="24"/>
        </w:rPr>
        <w:t>the Eighteenth Dynasty</w:t>
      </w:r>
      <w:r w:rsidRPr="003D23D0">
        <w:rPr>
          <w:rFonts w:ascii="Times New Roman" w:hAnsi="Times New Roman" w:cs="Times New Roman"/>
          <w:sz w:val="24"/>
          <w:szCs w:val="24"/>
        </w:rPr>
        <w:t xml:space="preserve">, </w:t>
      </w:r>
      <w:r>
        <w:rPr>
          <w:rFonts w:ascii="Times New Roman" w:hAnsi="Times New Roman" w:cs="Times New Roman"/>
          <w:sz w:val="24"/>
          <w:szCs w:val="24"/>
        </w:rPr>
        <w:t xml:space="preserve">Egypt </w:t>
      </w:r>
      <w:r w:rsidRPr="003D23D0">
        <w:rPr>
          <w:rFonts w:ascii="Times New Roman" w:hAnsi="Times New Roman" w:cs="Times New Roman"/>
          <w:sz w:val="24"/>
          <w:szCs w:val="24"/>
        </w:rPr>
        <w:t xml:space="preserve">had debatably reached </w:t>
      </w:r>
      <w:r>
        <w:rPr>
          <w:rFonts w:ascii="Times New Roman" w:hAnsi="Times New Roman" w:cs="Times New Roman"/>
          <w:sz w:val="24"/>
          <w:szCs w:val="24"/>
        </w:rPr>
        <w:t>its</w:t>
      </w:r>
      <w:r w:rsidRPr="003D23D0">
        <w:rPr>
          <w:rFonts w:ascii="Times New Roman" w:hAnsi="Times New Roman" w:cs="Times New Roman"/>
          <w:sz w:val="24"/>
          <w:szCs w:val="24"/>
        </w:rPr>
        <w:t xml:space="preserve"> zenith. </w:t>
      </w:r>
      <w:r>
        <w:rPr>
          <w:rFonts w:ascii="Times New Roman" w:hAnsi="Times New Roman" w:cs="Times New Roman"/>
          <w:sz w:val="24"/>
          <w:szCs w:val="24"/>
        </w:rPr>
        <w:t>It</w:t>
      </w:r>
      <w:r w:rsidRPr="003D23D0">
        <w:rPr>
          <w:rFonts w:ascii="Times New Roman" w:hAnsi="Times New Roman" w:cs="Times New Roman"/>
          <w:sz w:val="24"/>
          <w:szCs w:val="24"/>
        </w:rPr>
        <w:t xml:space="preserve"> was a time of undeniable prosperity and wealth, </w:t>
      </w:r>
      <w:r w:rsidR="00486D7E">
        <w:rPr>
          <w:rFonts w:ascii="Times New Roman" w:hAnsi="Times New Roman" w:cs="Times New Roman"/>
          <w:sz w:val="24"/>
          <w:szCs w:val="24"/>
        </w:rPr>
        <w:t>in part because</w:t>
      </w:r>
      <w:r w:rsidRPr="003D23D0">
        <w:rPr>
          <w:rFonts w:ascii="Times New Roman" w:hAnsi="Times New Roman" w:cs="Times New Roman"/>
          <w:sz w:val="24"/>
          <w:szCs w:val="24"/>
        </w:rPr>
        <w:t xml:space="preserve"> its own natural resources, but also due to its vast empire and</w:t>
      </w:r>
      <w:r w:rsidR="00486D7E">
        <w:rPr>
          <w:rFonts w:ascii="Times New Roman" w:hAnsi="Times New Roman" w:cs="Times New Roman"/>
          <w:sz w:val="24"/>
          <w:szCs w:val="24"/>
        </w:rPr>
        <w:t xml:space="preserve"> </w:t>
      </w:r>
      <w:r w:rsidRPr="003D23D0">
        <w:rPr>
          <w:rFonts w:ascii="Times New Roman" w:hAnsi="Times New Roman" w:cs="Times New Roman"/>
          <w:sz w:val="24"/>
          <w:szCs w:val="24"/>
        </w:rPr>
        <w:t>the tributes it received.</w:t>
      </w:r>
      <w:r w:rsidR="00486D7E">
        <w:rPr>
          <w:rStyle w:val="FootnoteReference"/>
          <w:rFonts w:ascii="Times New Roman" w:hAnsi="Times New Roman" w:cs="Times New Roman"/>
          <w:sz w:val="24"/>
          <w:szCs w:val="24"/>
        </w:rPr>
        <w:footnoteReference w:id="3"/>
      </w:r>
      <w:r w:rsidRPr="003D23D0">
        <w:rPr>
          <w:rFonts w:ascii="Times New Roman" w:hAnsi="Times New Roman" w:cs="Times New Roman"/>
          <w:sz w:val="24"/>
          <w:szCs w:val="24"/>
        </w:rPr>
        <w:t xml:space="preserve">  This prosperity was bound to have an effect on the </w:t>
      </w:r>
      <w:r w:rsidRPr="003D23D0">
        <w:rPr>
          <w:rFonts w:ascii="Times New Roman" w:hAnsi="Times New Roman" w:cs="Times New Roman"/>
          <w:sz w:val="24"/>
          <w:szCs w:val="24"/>
        </w:rPr>
        <w:lastRenderedPageBreak/>
        <w:t xml:space="preserve">ruling elite, and therefore the country as a whole. Egypt was in a state, more or less, of absolute security, and this meant there was more time to be spent focusing on matters like religion or art. This state of affairs </w:t>
      </w:r>
      <w:r w:rsidR="00486D7E">
        <w:rPr>
          <w:rFonts w:ascii="Times New Roman" w:hAnsi="Times New Roman" w:cs="Times New Roman"/>
          <w:sz w:val="24"/>
          <w:szCs w:val="24"/>
        </w:rPr>
        <w:t xml:space="preserve">arguably </w:t>
      </w:r>
      <w:r w:rsidRPr="003D23D0">
        <w:rPr>
          <w:rFonts w:ascii="Times New Roman" w:hAnsi="Times New Roman" w:cs="Times New Roman"/>
          <w:sz w:val="24"/>
          <w:szCs w:val="24"/>
        </w:rPr>
        <w:t>allowed the Amarna Period to flourish.</w:t>
      </w:r>
      <w:r w:rsidR="00944B84">
        <w:rPr>
          <w:rFonts w:ascii="Times New Roman" w:hAnsi="Times New Roman" w:cs="Times New Roman"/>
          <w:sz w:val="24"/>
          <w:szCs w:val="24"/>
        </w:rPr>
        <w:t xml:space="preserve"> </w:t>
      </w:r>
      <w:r w:rsidR="00944B84" w:rsidRPr="00944B84">
        <w:rPr>
          <w:rFonts w:ascii="Times New Roman" w:hAnsi="Times New Roman" w:cs="Times New Roman"/>
          <w:sz w:val="24"/>
          <w:szCs w:val="24"/>
        </w:rPr>
        <w:t xml:space="preserve">However, in some respects the Amarna Period </w:t>
      </w:r>
      <w:r w:rsidR="00944B84">
        <w:rPr>
          <w:rFonts w:ascii="Times New Roman" w:hAnsi="Times New Roman" w:cs="Times New Roman"/>
          <w:sz w:val="24"/>
          <w:szCs w:val="24"/>
        </w:rPr>
        <w:t xml:space="preserve">partially </w:t>
      </w:r>
      <w:r w:rsidR="00944B84" w:rsidRPr="00944B84">
        <w:rPr>
          <w:rFonts w:ascii="Times New Roman" w:hAnsi="Times New Roman" w:cs="Times New Roman"/>
          <w:sz w:val="24"/>
          <w:szCs w:val="24"/>
        </w:rPr>
        <w:t xml:space="preserve">began </w:t>
      </w:r>
      <w:r w:rsidR="00944B84">
        <w:rPr>
          <w:rFonts w:ascii="Times New Roman" w:hAnsi="Times New Roman" w:cs="Times New Roman"/>
          <w:sz w:val="24"/>
          <w:szCs w:val="24"/>
        </w:rPr>
        <w:t>during</w:t>
      </w:r>
      <w:r w:rsidR="00944B84" w:rsidRPr="00944B84">
        <w:rPr>
          <w:rFonts w:ascii="Times New Roman" w:hAnsi="Times New Roman" w:cs="Times New Roman"/>
          <w:sz w:val="24"/>
          <w:szCs w:val="24"/>
        </w:rPr>
        <w:t xml:space="preserve"> the reign of Akhenaten’s father, Amenhotep III, and the influence that he </w:t>
      </w:r>
      <w:r w:rsidR="00944B84">
        <w:rPr>
          <w:rFonts w:ascii="Times New Roman" w:hAnsi="Times New Roman" w:cs="Times New Roman"/>
          <w:sz w:val="24"/>
          <w:szCs w:val="24"/>
        </w:rPr>
        <w:t xml:space="preserve">possibly </w:t>
      </w:r>
      <w:r w:rsidR="00944B84" w:rsidRPr="00944B84">
        <w:rPr>
          <w:rFonts w:ascii="Times New Roman" w:hAnsi="Times New Roman" w:cs="Times New Roman"/>
          <w:sz w:val="24"/>
          <w:szCs w:val="24"/>
        </w:rPr>
        <w:t>had on his son cannot be ignored.</w:t>
      </w:r>
    </w:p>
    <w:p w14:paraId="31DE28EC" w14:textId="32D4C173" w:rsidR="00D66A6C" w:rsidRDefault="00D66A6C" w:rsidP="00F43025">
      <w:pPr>
        <w:spacing w:line="480" w:lineRule="auto"/>
        <w:rPr>
          <w:rFonts w:ascii="Times New Roman" w:hAnsi="Times New Roman" w:cs="Times New Roman"/>
          <w:sz w:val="24"/>
          <w:szCs w:val="24"/>
        </w:rPr>
      </w:pPr>
    </w:p>
    <w:p w14:paraId="4994A949" w14:textId="3FC21200" w:rsidR="00D66A6C" w:rsidRDefault="00D66A6C" w:rsidP="00F43025">
      <w:pPr>
        <w:spacing w:line="480" w:lineRule="auto"/>
        <w:rPr>
          <w:rFonts w:ascii="Times New Roman" w:hAnsi="Times New Roman" w:cs="Times New Roman"/>
          <w:sz w:val="24"/>
          <w:szCs w:val="24"/>
        </w:rPr>
      </w:pPr>
      <w:r w:rsidRPr="00D66A6C">
        <w:rPr>
          <w:rFonts w:ascii="Times New Roman" w:hAnsi="Times New Roman" w:cs="Times New Roman"/>
          <w:sz w:val="24"/>
          <w:szCs w:val="24"/>
        </w:rPr>
        <w:t>According to Berman</w:t>
      </w:r>
      <w:r>
        <w:rPr>
          <w:rFonts w:ascii="Times New Roman" w:hAnsi="Times New Roman" w:cs="Times New Roman"/>
          <w:sz w:val="24"/>
          <w:szCs w:val="24"/>
        </w:rPr>
        <w:t>:</w:t>
      </w:r>
      <w:r w:rsidRPr="00D66A6C">
        <w:rPr>
          <w:rFonts w:ascii="Times New Roman" w:hAnsi="Times New Roman" w:cs="Times New Roman"/>
          <w:sz w:val="24"/>
          <w:szCs w:val="24"/>
        </w:rPr>
        <w:t xml:space="preserve"> </w:t>
      </w:r>
    </w:p>
    <w:p w14:paraId="270E18D8" w14:textId="6A944510" w:rsidR="00D66A6C" w:rsidRDefault="00D66A6C" w:rsidP="00D66A6C">
      <w:pPr>
        <w:jc w:val="both"/>
        <w:rPr>
          <w:rFonts w:ascii="Times New Roman" w:hAnsi="Times New Roman" w:cs="Times New Roman"/>
          <w:sz w:val="24"/>
          <w:szCs w:val="24"/>
        </w:rPr>
      </w:pPr>
      <w:r w:rsidRPr="00D66A6C">
        <w:rPr>
          <w:rFonts w:ascii="Times New Roman" w:hAnsi="Times New Roman" w:cs="Times New Roman"/>
          <w:sz w:val="24"/>
          <w:szCs w:val="24"/>
        </w:rPr>
        <w:t>“</w:t>
      </w:r>
      <w:r>
        <w:rPr>
          <w:rFonts w:ascii="Times New Roman" w:hAnsi="Times New Roman" w:cs="Times New Roman"/>
          <w:sz w:val="24"/>
          <w:szCs w:val="24"/>
        </w:rPr>
        <w:t>d</w:t>
      </w:r>
      <w:r w:rsidRPr="00D66A6C">
        <w:rPr>
          <w:rFonts w:ascii="Times New Roman" w:hAnsi="Times New Roman" w:cs="Times New Roman"/>
          <w:sz w:val="24"/>
          <w:szCs w:val="24"/>
        </w:rPr>
        <w:t>uring Amenhotep III’s thirty-eight-year reign (ca. 1391-1353BC), Egypt was wealthier and more powerful than ever before. Years of peace, bumper harvests, and a steady flow of gold from the eastern desert and Sudan (which gave Egypt the upper hand in trade negotiations with the other ancient Near Eastern powers) enabled this innovative and farsighted monarch virtually to transform the landscape of the Nile Valley.”</w:t>
      </w:r>
      <w:r w:rsidR="00070692">
        <w:rPr>
          <w:rStyle w:val="FootnoteReference"/>
          <w:rFonts w:ascii="Times New Roman" w:hAnsi="Times New Roman" w:cs="Times New Roman"/>
          <w:sz w:val="24"/>
          <w:szCs w:val="24"/>
        </w:rPr>
        <w:footnoteReference w:id="4"/>
      </w:r>
    </w:p>
    <w:p w14:paraId="552A6555" w14:textId="6B23FA11" w:rsidR="00070692" w:rsidRDefault="00070692" w:rsidP="00D66A6C">
      <w:pPr>
        <w:jc w:val="both"/>
        <w:rPr>
          <w:rFonts w:ascii="Times New Roman" w:hAnsi="Times New Roman" w:cs="Times New Roman"/>
          <w:sz w:val="24"/>
          <w:szCs w:val="24"/>
        </w:rPr>
      </w:pPr>
    </w:p>
    <w:p w14:paraId="1F3DD050" w14:textId="2804DD19" w:rsidR="00291CD5" w:rsidRDefault="007222B6" w:rsidP="00C36297">
      <w:pPr>
        <w:spacing w:line="480" w:lineRule="auto"/>
        <w:rPr>
          <w:rFonts w:ascii="Times New Roman" w:hAnsi="Times New Roman" w:cs="Times New Roman"/>
          <w:sz w:val="24"/>
          <w:szCs w:val="24"/>
        </w:rPr>
      </w:pPr>
      <w:r>
        <w:rPr>
          <w:rFonts w:ascii="Times New Roman" w:hAnsi="Times New Roman" w:cs="Times New Roman"/>
          <w:sz w:val="24"/>
          <w:szCs w:val="24"/>
        </w:rPr>
        <w:t xml:space="preserve">Amenhotep III built many monuments around Egypt, such as the Colossi of Memnon, and helped to either build, or expand, Egyptian temples. It is during his reign that we first find the promotion of the Aten; the deity which his son would become synonymous with. </w:t>
      </w:r>
      <w:r w:rsidR="00C36297" w:rsidRPr="00C36297">
        <w:rPr>
          <w:rFonts w:ascii="Times New Roman" w:hAnsi="Times New Roman" w:cs="Times New Roman"/>
          <w:sz w:val="24"/>
          <w:szCs w:val="24"/>
        </w:rPr>
        <w:t>Perhaps this is where Akhenaten was first introduced to this deity</w:t>
      </w:r>
      <w:r w:rsidR="00A84338">
        <w:rPr>
          <w:rFonts w:ascii="Times New Roman" w:hAnsi="Times New Roman" w:cs="Times New Roman"/>
          <w:sz w:val="24"/>
          <w:szCs w:val="24"/>
        </w:rPr>
        <w:t>.</w:t>
      </w:r>
      <w:r w:rsidR="00C36297">
        <w:rPr>
          <w:rFonts w:ascii="Times New Roman" w:hAnsi="Times New Roman" w:cs="Times New Roman"/>
          <w:sz w:val="24"/>
          <w:szCs w:val="24"/>
        </w:rPr>
        <w:t xml:space="preserve"> In ancient Egypt a </w:t>
      </w:r>
      <w:r w:rsidR="00C36297" w:rsidRPr="00C36297">
        <w:rPr>
          <w:rFonts w:ascii="Times New Roman" w:hAnsi="Times New Roman" w:cs="Times New Roman"/>
          <w:sz w:val="24"/>
          <w:szCs w:val="24"/>
        </w:rPr>
        <w:t>pharaoh had numerous names, all linking him to different aspects of Egyptian society</w:t>
      </w:r>
      <w:r w:rsidR="00C36297">
        <w:rPr>
          <w:rFonts w:ascii="Times New Roman" w:hAnsi="Times New Roman" w:cs="Times New Roman"/>
          <w:sz w:val="24"/>
          <w:szCs w:val="24"/>
        </w:rPr>
        <w:t xml:space="preserve"> and their gods</w:t>
      </w:r>
      <w:r w:rsidR="00C36297" w:rsidRPr="00C36297">
        <w:rPr>
          <w:rFonts w:ascii="Times New Roman" w:hAnsi="Times New Roman" w:cs="Times New Roman"/>
          <w:sz w:val="24"/>
          <w:szCs w:val="24"/>
        </w:rPr>
        <w:t xml:space="preserve">, and Amenhotep III seems to have been particularly fond of solar epithets. In numerous cases, he is found to be using ‘the heir of Ra’, </w:t>
      </w:r>
      <w:r w:rsidR="00A84338">
        <w:rPr>
          <w:rFonts w:ascii="Times New Roman" w:hAnsi="Times New Roman" w:cs="Times New Roman"/>
          <w:sz w:val="24"/>
          <w:szCs w:val="24"/>
        </w:rPr>
        <w:t>‘</w:t>
      </w:r>
      <w:r w:rsidR="00C36297" w:rsidRPr="00C36297">
        <w:rPr>
          <w:rFonts w:ascii="Times New Roman" w:hAnsi="Times New Roman" w:cs="Times New Roman"/>
          <w:sz w:val="24"/>
          <w:szCs w:val="24"/>
        </w:rPr>
        <w:t>chosen one of Ra’, and ‘image of Ra between the Two Lands’. However, the most interesting epithet that Amenhotep III chose was ‘the Dazzling Sun Disk’.</w:t>
      </w:r>
      <w:r w:rsidR="00B43EE0">
        <w:rPr>
          <w:rStyle w:val="FootnoteReference"/>
          <w:rFonts w:ascii="Times New Roman" w:hAnsi="Times New Roman" w:cs="Times New Roman"/>
          <w:sz w:val="24"/>
          <w:szCs w:val="24"/>
        </w:rPr>
        <w:footnoteReference w:id="5"/>
      </w:r>
      <w:r w:rsidR="006E2CCA">
        <w:rPr>
          <w:rFonts w:ascii="Times New Roman" w:hAnsi="Times New Roman" w:cs="Times New Roman"/>
          <w:sz w:val="24"/>
          <w:szCs w:val="24"/>
        </w:rPr>
        <w:t xml:space="preserve"> </w:t>
      </w:r>
      <w:r w:rsidR="00747262" w:rsidRPr="00747262">
        <w:rPr>
          <w:rFonts w:ascii="Times New Roman" w:hAnsi="Times New Roman" w:cs="Times New Roman"/>
          <w:sz w:val="24"/>
          <w:szCs w:val="24"/>
        </w:rPr>
        <w:t>The name appears in a range of contexts, but the question is why would Amenhotep III, and later Akhenaten, favour this god in particular?</w:t>
      </w:r>
      <w:r w:rsidR="00291CD5">
        <w:rPr>
          <w:rFonts w:ascii="Times New Roman" w:hAnsi="Times New Roman" w:cs="Times New Roman"/>
          <w:sz w:val="24"/>
          <w:szCs w:val="24"/>
        </w:rPr>
        <w:t xml:space="preserve"> </w:t>
      </w:r>
      <w:r w:rsidR="00291CD5" w:rsidRPr="00291CD5">
        <w:rPr>
          <w:rFonts w:ascii="Times New Roman" w:hAnsi="Times New Roman" w:cs="Times New Roman"/>
          <w:sz w:val="24"/>
          <w:szCs w:val="24"/>
        </w:rPr>
        <w:t>Dodson writes</w:t>
      </w:r>
      <w:r w:rsidR="00291CD5">
        <w:rPr>
          <w:rFonts w:ascii="Times New Roman" w:hAnsi="Times New Roman" w:cs="Times New Roman"/>
          <w:sz w:val="24"/>
          <w:szCs w:val="24"/>
        </w:rPr>
        <w:t>:</w:t>
      </w:r>
      <w:r w:rsidR="00291CD5" w:rsidRPr="00291CD5">
        <w:rPr>
          <w:rFonts w:ascii="Times New Roman" w:hAnsi="Times New Roman" w:cs="Times New Roman"/>
          <w:sz w:val="24"/>
          <w:szCs w:val="24"/>
        </w:rPr>
        <w:t xml:space="preserve"> </w:t>
      </w:r>
    </w:p>
    <w:p w14:paraId="5E3D5456" w14:textId="2A28CD7C" w:rsidR="007222B6" w:rsidRDefault="00291CD5" w:rsidP="00291CD5">
      <w:pPr>
        <w:jc w:val="both"/>
        <w:rPr>
          <w:rFonts w:ascii="Times New Roman" w:hAnsi="Times New Roman" w:cs="Times New Roman"/>
          <w:sz w:val="24"/>
          <w:szCs w:val="24"/>
        </w:rPr>
      </w:pPr>
      <w:r w:rsidRPr="00291CD5">
        <w:rPr>
          <w:rFonts w:ascii="Times New Roman" w:hAnsi="Times New Roman" w:cs="Times New Roman"/>
          <w:sz w:val="24"/>
          <w:szCs w:val="24"/>
        </w:rPr>
        <w:t>“We find it (the Aten) with a divine determinative as far back as Thutmose I, and on occasion throughout the reigns of Thutmose III, Amenhotep II, and Thutmose IV. However, such a determinative would be just as appropriate in the case of a personification of a natural phenomenon as of a ‘proper’ god</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6"/>
      </w:r>
    </w:p>
    <w:p w14:paraId="7A5FC8CA" w14:textId="47A6D6CF" w:rsidR="00291CD5" w:rsidRDefault="00291CD5" w:rsidP="00291CD5">
      <w:pPr>
        <w:jc w:val="both"/>
        <w:rPr>
          <w:rFonts w:ascii="Times New Roman" w:hAnsi="Times New Roman" w:cs="Times New Roman"/>
          <w:sz w:val="24"/>
          <w:szCs w:val="24"/>
        </w:rPr>
      </w:pPr>
    </w:p>
    <w:p w14:paraId="668B8C8D" w14:textId="487F217A" w:rsidR="00291CD5" w:rsidRDefault="00291CD5" w:rsidP="00291CD5">
      <w:pPr>
        <w:spacing w:line="480" w:lineRule="auto"/>
        <w:rPr>
          <w:rFonts w:ascii="Times New Roman" w:hAnsi="Times New Roman" w:cs="Times New Roman"/>
          <w:sz w:val="24"/>
          <w:szCs w:val="24"/>
        </w:rPr>
      </w:pPr>
      <w:r w:rsidRPr="00291CD5">
        <w:rPr>
          <w:rFonts w:ascii="Times New Roman" w:hAnsi="Times New Roman" w:cs="Times New Roman"/>
          <w:sz w:val="24"/>
          <w:szCs w:val="24"/>
        </w:rPr>
        <w:lastRenderedPageBreak/>
        <w:t xml:space="preserve">Therefore, it is </w:t>
      </w:r>
      <w:r>
        <w:rPr>
          <w:rFonts w:ascii="Times New Roman" w:hAnsi="Times New Roman" w:cs="Times New Roman"/>
          <w:sz w:val="24"/>
          <w:szCs w:val="24"/>
        </w:rPr>
        <w:t xml:space="preserve">entirely </w:t>
      </w:r>
      <w:r w:rsidRPr="00291CD5">
        <w:rPr>
          <w:rFonts w:ascii="Times New Roman" w:hAnsi="Times New Roman" w:cs="Times New Roman"/>
          <w:sz w:val="24"/>
          <w:szCs w:val="24"/>
        </w:rPr>
        <w:t>possible that Amenhotep III’s inclination towards this deity was an attempt to connect himself to these earlier powerful pharaohs.</w:t>
      </w:r>
      <w:r w:rsidR="00A77A78">
        <w:rPr>
          <w:rFonts w:ascii="Times New Roman" w:hAnsi="Times New Roman" w:cs="Times New Roman"/>
          <w:sz w:val="24"/>
          <w:szCs w:val="24"/>
        </w:rPr>
        <w:t xml:space="preserve"> Feasibly, what could have made Akhenaten seem so revolutionary, in comparison to his father’s emphasis on the Aten, was the attempt to place the Aten at the top of the religious hierarchy whilst ignoring the other gods.</w:t>
      </w:r>
    </w:p>
    <w:p w14:paraId="50341365" w14:textId="53FA86F0" w:rsidR="00505D9B" w:rsidRDefault="00505D9B" w:rsidP="00291CD5">
      <w:pPr>
        <w:spacing w:line="480" w:lineRule="auto"/>
        <w:rPr>
          <w:rFonts w:ascii="Times New Roman" w:hAnsi="Times New Roman" w:cs="Times New Roman"/>
          <w:sz w:val="24"/>
          <w:szCs w:val="24"/>
        </w:rPr>
      </w:pPr>
    </w:p>
    <w:p w14:paraId="4D1794D5" w14:textId="0D393BD6" w:rsidR="00895966" w:rsidRDefault="00895966" w:rsidP="00291CD5">
      <w:pPr>
        <w:spacing w:line="480" w:lineRule="auto"/>
        <w:rPr>
          <w:rFonts w:ascii="Times New Roman" w:hAnsi="Times New Roman" w:cs="Times New Roman"/>
          <w:sz w:val="24"/>
          <w:szCs w:val="24"/>
        </w:rPr>
      </w:pPr>
      <w:r>
        <w:rPr>
          <w:rFonts w:ascii="Times New Roman" w:hAnsi="Times New Roman" w:cs="Times New Roman"/>
          <w:sz w:val="24"/>
          <w:szCs w:val="24"/>
        </w:rPr>
        <w:t xml:space="preserve">Within scholarship, there is a controversial idea that suggests that in the later years of Amenhotep III’s reign, there was a co-regency formed between himself and Akhenaten. The evidence agreeing with this statement is that artwork has been found in the revolutionary Amarna style, yet it dates to Amenhotep III’s reign. </w:t>
      </w:r>
      <w:r w:rsidRPr="00895966">
        <w:rPr>
          <w:rFonts w:ascii="Times New Roman" w:hAnsi="Times New Roman" w:cs="Times New Roman"/>
          <w:sz w:val="24"/>
          <w:szCs w:val="24"/>
        </w:rPr>
        <w:t xml:space="preserve">However, it can also be argued that </w:t>
      </w:r>
      <w:r>
        <w:rPr>
          <w:rFonts w:ascii="Times New Roman" w:hAnsi="Times New Roman" w:cs="Times New Roman"/>
          <w:sz w:val="24"/>
          <w:szCs w:val="24"/>
        </w:rPr>
        <w:t xml:space="preserve">both </w:t>
      </w:r>
      <w:r w:rsidRPr="00895966">
        <w:rPr>
          <w:rFonts w:ascii="Times New Roman" w:hAnsi="Times New Roman" w:cs="Times New Roman"/>
          <w:sz w:val="24"/>
          <w:szCs w:val="24"/>
        </w:rPr>
        <w:t>this style of art, and the more traditional style, could have quite easily co-existed during this time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w:t>
      </w:r>
      <w:r w:rsidR="007E62DB" w:rsidRPr="007E62DB">
        <w:rPr>
          <w:rFonts w:ascii="Times New Roman" w:hAnsi="Times New Roman" w:cs="Times New Roman"/>
          <w:sz w:val="24"/>
          <w:szCs w:val="24"/>
        </w:rPr>
        <w:t>Dodson argues that the evidence is leaning towards Akhenaten succeeding his father only after his death. He also argues that any artwork with both Amenhotep III and Akhenaten in the ‘revolutionary’ style should be seen as memorials, not as evidence for a co-regency.</w:t>
      </w:r>
      <w:r w:rsidR="007E62DB">
        <w:rPr>
          <w:rStyle w:val="FootnoteReference"/>
          <w:rFonts w:ascii="Times New Roman" w:hAnsi="Times New Roman" w:cs="Times New Roman"/>
          <w:sz w:val="24"/>
          <w:szCs w:val="24"/>
        </w:rPr>
        <w:footnoteReference w:id="8"/>
      </w:r>
      <w:r w:rsidR="007E62DB">
        <w:rPr>
          <w:rFonts w:ascii="Times New Roman" w:hAnsi="Times New Roman" w:cs="Times New Roman"/>
          <w:sz w:val="24"/>
          <w:szCs w:val="24"/>
        </w:rPr>
        <w:t xml:space="preserve"> </w:t>
      </w:r>
      <w:r w:rsidR="00A21C77" w:rsidRPr="00A21C77">
        <w:rPr>
          <w:rFonts w:ascii="Times New Roman" w:hAnsi="Times New Roman" w:cs="Times New Roman"/>
          <w:sz w:val="24"/>
          <w:szCs w:val="24"/>
        </w:rPr>
        <w:t xml:space="preserve">In my opinion, if there had been a co-regency between Amenhotep III and Akhenaten, we would have far more evidence for it. However, </w:t>
      </w:r>
      <w:r w:rsidR="00A21C77">
        <w:rPr>
          <w:rFonts w:ascii="Times New Roman" w:hAnsi="Times New Roman" w:cs="Times New Roman"/>
          <w:sz w:val="24"/>
          <w:szCs w:val="24"/>
        </w:rPr>
        <w:t xml:space="preserve">as much about the Amarna Period is still unknown, a co-regency </w:t>
      </w:r>
      <w:r w:rsidR="00A21C77" w:rsidRPr="00A21C77">
        <w:rPr>
          <w:rFonts w:ascii="Times New Roman" w:hAnsi="Times New Roman" w:cs="Times New Roman"/>
          <w:sz w:val="24"/>
          <w:szCs w:val="24"/>
        </w:rPr>
        <w:t>could still remain a possibility.</w:t>
      </w:r>
    </w:p>
    <w:p w14:paraId="67B93FD4" w14:textId="48D2A5F8" w:rsidR="0041625C" w:rsidRDefault="0041625C" w:rsidP="00291CD5">
      <w:pPr>
        <w:spacing w:line="480" w:lineRule="auto"/>
        <w:rPr>
          <w:rFonts w:ascii="Times New Roman" w:hAnsi="Times New Roman" w:cs="Times New Roman"/>
          <w:sz w:val="24"/>
          <w:szCs w:val="24"/>
        </w:rPr>
      </w:pPr>
    </w:p>
    <w:p w14:paraId="543601E5" w14:textId="09231494" w:rsidR="0041625C" w:rsidRDefault="00A9256D" w:rsidP="00291CD5">
      <w:pPr>
        <w:spacing w:line="480" w:lineRule="auto"/>
        <w:rPr>
          <w:rFonts w:ascii="Times New Roman" w:hAnsi="Times New Roman" w:cs="Times New Roman"/>
          <w:sz w:val="24"/>
          <w:szCs w:val="24"/>
        </w:rPr>
      </w:pPr>
      <w:r w:rsidRPr="00A9256D">
        <w:rPr>
          <w:rFonts w:ascii="Times New Roman" w:hAnsi="Times New Roman" w:cs="Times New Roman"/>
          <w:sz w:val="24"/>
          <w:szCs w:val="24"/>
        </w:rPr>
        <w:t>An important factor to remember when looking at the Amarna Period is that Akhenaten was never meant to succeed his father. Originally</w:t>
      </w:r>
      <w:r>
        <w:rPr>
          <w:rFonts w:ascii="Times New Roman" w:hAnsi="Times New Roman" w:cs="Times New Roman"/>
          <w:sz w:val="24"/>
          <w:szCs w:val="24"/>
        </w:rPr>
        <w:t>,</w:t>
      </w:r>
      <w:r w:rsidRPr="00A9256D">
        <w:rPr>
          <w:rFonts w:ascii="Times New Roman" w:hAnsi="Times New Roman" w:cs="Times New Roman"/>
          <w:sz w:val="24"/>
          <w:szCs w:val="24"/>
        </w:rPr>
        <w:t xml:space="preserve"> his older brother Thutmose was supposed to become pharaoh, but after his sudden death, Akhenaten became the Crown Prince</w:t>
      </w:r>
      <w:r>
        <w:rPr>
          <w:rFonts w:ascii="Times New Roman" w:hAnsi="Times New Roman" w:cs="Times New Roman"/>
          <w:sz w:val="24"/>
          <w:szCs w:val="24"/>
        </w:rPr>
        <w:t xml:space="preserve"> and then succeeded his father.</w:t>
      </w:r>
      <w:r>
        <w:rPr>
          <w:rStyle w:val="FootnoteReference"/>
          <w:rFonts w:ascii="Times New Roman" w:hAnsi="Times New Roman" w:cs="Times New Roman"/>
          <w:sz w:val="24"/>
          <w:szCs w:val="24"/>
        </w:rPr>
        <w:footnoteReference w:id="9"/>
      </w:r>
      <w:r w:rsidR="00945B70">
        <w:rPr>
          <w:rFonts w:ascii="Times New Roman" w:hAnsi="Times New Roman" w:cs="Times New Roman"/>
          <w:sz w:val="24"/>
          <w:szCs w:val="24"/>
        </w:rPr>
        <w:t xml:space="preserve"> </w:t>
      </w:r>
      <w:r w:rsidR="00945B70" w:rsidRPr="00945B70">
        <w:rPr>
          <w:rFonts w:ascii="Times New Roman" w:hAnsi="Times New Roman" w:cs="Times New Roman"/>
          <w:sz w:val="24"/>
          <w:szCs w:val="24"/>
        </w:rPr>
        <w:t>Some scholars</w:t>
      </w:r>
      <w:r w:rsidR="00945B70">
        <w:rPr>
          <w:rFonts w:ascii="Times New Roman" w:hAnsi="Times New Roman" w:cs="Times New Roman"/>
          <w:sz w:val="24"/>
          <w:szCs w:val="24"/>
        </w:rPr>
        <w:t>, such as Petrie, even went</w:t>
      </w:r>
      <w:r w:rsidR="00945B70" w:rsidRPr="00945B70">
        <w:rPr>
          <w:rFonts w:ascii="Times New Roman" w:hAnsi="Times New Roman" w:cs="Times New Roman"/>
          <w:sz w:val="24"/>
          <w:szCs w:val="24"/>
        </w:rPr>
        <w:t xml:space="preserve"> so far </w:t>
      </w:r>
      <w:r w:rsidR="00DA3B8E">
        <w:rPr>
          <w:rFonts w:ascii="Times New Roman" w:hAnsi="Times New Roman" w:cs="Times New Roman"/>
          <w:sz w:val="24"/>
          <w:szCs w:val="24"/>
        </w:rPr>
        <w:t xml:space="preserve">as </w:t>
      </w:r>
      <w:r w:rsidR="00945B70" w:rsidRPr="00945B70">
        <w:rPr>
          <w:rFonts w:ascii="Times New Roman" w:hAnsi="Times New Roman" w:cs="Times New Roman"/>
          <w:sz w:val="24"/>
          <w:szCs w:val="24"/>
        </w:rPr>
        <w:t>to argue that Akhenaten was actually sent abroad and educated outside of Egypt</w:t>
      </w:r>
      <w:r w:rsidR="00DA3B8E">
        <w:rPr>
          <w:rFonts w:ascii="Times New Roman" w:hAnsi="Times New Roman" w:cs="Times New Roman"/>
          <w:sz w:val="24"/>
          <w:szCs w:val="24"/>
        </w:rPr>
        <w:t>, possibly in modern Syria</w:t>
      </w:r>
      <w:r w:rsidR="00945B70" w:rsidRPr="00945B70">
        <w:rPr>
          <w:rFonts w:ascii="Times New Roman" w:hAnsi="Times New Roman" w:cs="Times New Roman"/>
          <w:sz w:val="24"/>
          <w:szCs w:val="24"/>
        </w:rPr>
        <w:t>, and that was the reason for his radical beliefs.</w:t>
      </w:r>
      <w:r w:rsidR="00945B70">
        <w:rPr>
          <w:rStyle w:val="FootnoteReference"/>
          <w:rFonts w:ascii="Times New Roman" w:hAnsi="Times New Roman" w:cs="Times New Roman"/>
          <w:sz w:val="24"/>
          <w:szCs w:val="24"/>
        </w:rPr>
        <w:footnoteReference w:id="10"/>
      </w:r>
      <w:r w:rsidR="00656636">
        <w:rPr>
          <w:rFonts w:ascii="Times New Roman" w:hAnsi="Times New Roman" w:cs="Times New Roman"/>
          <w:sz w:val="24"/>
          <w:szCs w:val="24"/>
        </w:rPr>
        <w:t xml:space="preserve"> </w:t>
      </w:r>
      <w:r w:rsidR="00656636" w:rsidRPr="00656636">
        <w:rPr>
          <w:rFonts w:ascii="Times New Roman" w:hAnsi="Times New Roman" w:cs="Times New Roman"/>
          <w:sz w:val="24"/>
          <w:szCs w:val="24"/>
        </w:rPr>
        <w:t>However, I think this is highly unlikely</w:t>
      </w:r>
      <w:r w:rsidR="00656636">
        <w:rPr>
          <w:rFonts w:ascii="Times New Roman" w:hAnsi="Times New Roman" w:cs="Times New Roman"/>
          <w:sz w:val="24"/>
          <w:szCs w:val="24"/>
        </w:rPr>
        <w:t xml:space="preserve"> because </w:t>
      </w:r>
      <w:r w:rsidR="00656636" w:rsidRPr="00656636">
        <w:rPr>
          <w:rFonts w:ascii="Times New Roman" w:hAnsi="Times New Roman" w:cs="Times New Roman"/>
          <w:sz w:val="24"/>
          <w:szCs w:val="24"/>
        </w:rPr>
        <w:t xml:space="preserve">it is more </w:t>
      </w:r>
      <w:r w:rsidR="00DA3B8E">
        <w:rPr>
          <w:rFonts w:ascii="Times New Roman" w:hAnsi="Times New Roman" w:cs="Times New Roman"/>
          <w:sz w:val="24"/>
          <w:szCs w:val="24"/>
        </w:rPr>
        <w:lastRenderedPageBreak/>
        <w:t>probable</w:t>
      </w:r>
      <w:r w:rsidR="00656636" w:rsidRPr="00656636">
        <w:rPr>
          <w:rFonts w:ascii="Times New Roman" w:hAnsi="Times New Roman" w:cs="Times New Roman"/>
          <w:sz w:val="24"/>
          <w:szCs w:val="24"/>
        </w:rPr>
        <w:t xml:space="preserve"> that Akhenaten learnt about the Aten through his father and this </w:t>
      </w:r>
      <w:r w:rsidR="00DA3B8E">
        <w:rPr>
          <w:rFonts w:ascii="Times New Roman" w:hAnsi="Times New Roman" w:cs="Times New Roman"/>
          <w:sz w:val="24"/>
          <w:szCs w:val="24"/>
        </w:rPr>
        <w:t xml:space="preserve">then </w:t>
      </w:r>
      <w:r w:rsidR="00656636" w:rsidRPr="00656636">
        <w:rPr>
          <w:rFonts w:ascii="Times New Roman" w:hAnsi="Times New Roman" w:cs="Times New Roman"/>
          <w:sz w:val="24"/>
          <w:szCs w:val="24"/>
        </w:rPr>
        <w:t>influenced his religious ideas.</w:t>
      </w:r>
      <w:r w:rsidR="00BC0227">
        <w:rPr>
          <w:rFonts w:ascii="Times New Roman" w:hAnsi="Times New Roman" w:cs="Times New Roman"/>
          <w:sz w:val="24"/>
          <w:szCs w:val="24"/>
        </w:rPr>
        <w:t xml:space="preserve"> With the Aten already being raised to prominence within Egyptian society</w:t>
      </w:r>
      <w:r w:rsidR="00DA3B8E">
        <w:rPr>
          <w:rFonts w:ascii="Times New Roman" w:hAnsi="Times New Roman" w:cs="Times New Roman"/>
          <w:sz w:val="24"/>
          <w:szCs w:val="24"/>
        </w:rPr>
        <w:t xml:space="preserve"> throughout the Eighteenth Dynasty</w:t>
      </w:r>
      <w:r w:rsidR="00BC0227">
        <w:rPr>
          <w:rFonts w:ascii="Times New Roman" w:hAnsi="Times New Roman" w:cs="Times New Roman"/>
          <w:sz w:val="24"/>
          <w:szCs w:val="24"/>
        </w:rPr>
        <w:t>, it seems only logical that Akhenaten would want to continue, and further, his father’s religious work.</w:t>
      </w:r>
      <w:r w:rsidR="003C3B26">
        <w:rPr>
          <w:rFonts w:ascii="Times New Roman" w:hAnsi="Times New Roman" w:cs="Times New Roman"/>
          <w:sz w:val="24"/>
          <w:szCs w:val="24"/>
        </w:rPr>
        <w:t xml:space="preserve"> Therefore, it makes sense to firstly examine religion to determine how revolutionary the Amarna Period actually was.</w:t>
      </w:r>
    </w:p>
    <w:p w14:paraId="352A583B" w14:textId="77777777" w:rsidR="00505D9B" w:rsidRDefault="00505D9B" w:rsidP="00291CD5">
      <w:pPr>
        <w:spacing w:line="480" w:lineRule="auto"/>
        <w:rPr>
          <w:rFonts w:ascii="Times New Roman" w:hAnsi="Times New Roman" w:cs="Times New Roman"/>
          <w:sz w:val="24"/>
          <w:szCs w:val="24"/>
        </w:rPr>
      </w:pPr>
    </w:p>
    <w:p w14:paraId="451C54D1" w14:textId="77777777" w:rsidR="00070692" w:rsidRDefault="00070692" w:rsidP="007222B6">
      <w:pPr>
        <w:spacing w:line="480" w:lineRule="auto"/>
        <w:jc w:val="both"/>
        <w:rPr>
          <w:rFonts w:ascii="Times New Roman" w:hAnsi="Times New Roman" w:cs="Times New Roman"/>
          <w:sz w:val="24"/>
          <w:szCs w:val="24"/>
        </w:rPr>
      </w:pPr>
    </w:p>
    <w:p w14:paraId="54511B7B" w14:textId="77777777" w:rsidR="00D41458" w:rsidRDefault="00D41458">
      <w:pPr>
        <w:rPr>
          <w:rFonts w:ascii="Times New Roman" w:hAnsi="Times New Roman" w:cs="Times New Roman"/>
          <w:sz w:val="24"/>
          <w:szCs w:val="24"/>
        </w:rPr>
      </w:pPr>
      <w:r>
        <w:rPr>
          <w:rFonts w:ascii="Times New Roman" w:hAnsi="Times New Roman" w:cs="Times New Roman"/>
          <w:sz w:val="24"/>
          <w:szCs w:val="24"/>
        </w:rPr>
        <w:br w:type="page"/>
      </w:r>
    </w:p>
    <w:p w14:paraId="64F79B22" w14:textId="1995F18F" w:rsidR="00F43025" w:rsidRPr="00C80359" w:rsidRDefault="00D41458" w:rsidP="00D41458">
      <w:pPr>
        <w:pStyle w:val="Heading1"/>
        <w:rPr>
          <w:rFonts w:ascii="Times New Roman" w:hAnsi="Times New Roman" w:cs="Times New Roman"/>
          <w:color w:val="000000" w:themeColor="text1"/>
        </w:rPr>
      </w:pPr>
      <w:bookmarkStart w:id="3" w:name="_Toc513620242"/>
      <w:r w:rsidRPr="00C80359">
        <w:rPr>
          <w:rFonts w:ascii="Times New Roman" w:hAnsi="Times New Roman" w:cs="Times New Roman"/>
          <w:color w:val="000000" w:themeColor="text1"/>
        </w:rPr>
        <w:lastRenderedPageBreak/>
        <w:t>Chapter 1- The Heretic King: Changes in Religion</w:t>
      </w:r>
      <w:bookmarkEnd w:id="3"/>
    </w:p>
    <w:p w14:paraId="6EEBB1CD" w14:textId="63110A9E" w:rsidR="00F43025" w:rsidRDefault="00F43025" w:rsidP="00F43025"/>
    <w:p w14:paraId="1A4CABA2" w14:textId="77777777" w:rsidR="002D5846" w:rsidRDefault="00C80359" w:rsidP="002D5846">
      <w:pPr>
        <w:jc w:val="both"/>
        <w:rPr>
          <w:rFonts w:ascii="Times New Roman" w:hAnsi="Times New Roman" w:cs="Times New Roman"/>
          <w:sz w:val="24"/>
          <w:szCs w:val="24"/>
        </w:rPr>
      </w:pPr>
      <w:r>
        <w:rPr>
          <w:rFonts w:ascii="Times New Roman" w:hAnsi="Times New Roman" w:cs="Times New Roman"/>
          <w:sz w:val="24"/>
          <w:szCs w:val="24"/>
        </w:rPr>
        <w:br/>
      </w:r>
      <w:r w:rsidR="002D5846" w:rsidRPr="002D5846">
        <w:rPr>
          <w:rFonts w:ascii="Times New Roman" w:hAnsi="Times New Roman" w:cs="Times New Roman"/>
          <w:sz w:val="24"/>
          <w:szCs w:val="24"/>
        </w:rPr>
        <w:t>“For all its revolutionary aspects, the Amarna Period of Egyptian history was traditional in one central respect: each of its innovations was carried out in the name of- and in service to- religion”.</w:t>
      </w:r>
      <w:r w:rsidR="002D5846">
        <w:rPr>
          <w:rStyle w:val="FootnoteReference"/>
          <w:rFonts w:ascii="Times New Roman" w:hAnsi="Times New Roman" w:cs="Times New Roman"/>
          <w:sz w:val="24"/>
          <w:szCs w:val="24"/>
        </w:rPr>
        <w:footnoteReference w:id="11"/>
      </w:r>
      <w:r w:rsidR="002D5846" w:rsidRPr="002D5846">
        <w:rPr>
          <w:rFonts w:ascii="Times New Roman" w:hAnsi="Times New Roman" w:cs="Times New Roman"/>
          <w:sz w:val="24"/>
          <w:szCs w:val="24"/>
        </w:rPr>
        <w:t xml:space="preserve"> </w:t>
      </w:r>
    </w:p>
    <w:p w14:paraId="4E4E4C8F" w14:textId="77777777" w:rsidR="002D5846" w:rsidRDefault="002D5846" w:rsidP="002D5846">
      <w:pPr>
        <w:jc w:val="both"/>
        <w:rPr>
          <w:rFonts w:ascii="Times New Roman" w:hAnsi="Times New Roman" w:cs="Times New Roman"/>
          <w:sz w:val="24"/>
          <w:szCs w:val="24"/>
        </w:rPr>
      </w:pPr>
    </w:p>
    <w:p w14:paraId="1FD14710" w14:textId="34AB2A35" w:rsidR="00D41458" w:rsidRDefault="002D5846" w:rsidP="002D5846">
      <w:pPr>
        <w:spacing w:line="480" w:lineRule="auto"/>
        <w:rPr>
          <w:rFonts w:ascii="Times New Roman" w:hAnsi="Times New Roman" w:cs="Times New Roman"/>
          <w:sz w:val="24"/>
          <w:szCs w:val="24"/>
        </w:rPr>
      </w:pPr>
      <w:r w:rsidRPr="002D5846">
        <w:rPr>
          <w:rFonts w:ascii="Times New Roman" w:hAnsi="Times New Roman" w:cs="Times New Roman"/>
          <w:sz w:val="24"/>
          <w:szCs w:val="24"/>
        </w:rPr>
        <w:t xml:space="preserve">Religion was one of the aspects of Egyptian society that Akhenaten radically changed during the Amarna Period. </w:t>
      </w:r>
      <w:r>
        <w:rPr>
          <w:rFonts w:ascii="Times New Roman" w:hAnsi="Times New Roman" w:cs="Times New Roman"/>
          <w:sz w:val="24"/>
          <w:szCs w:val="24"/>
        </w:rPr>
        <w:t xml:space="preserve">The ancient Egyptians were a polytheistic society, meaning they worshipped more than one god. </w:t>
      </w:r>
      <w:r w:rsidR="007A4DEA">
        <w:rPr>
          <w:rFonts w:ascii="Times New Roman" w:hAnsi="Times New Roman" w:cs="Times New Roman"/>
          <w:sz w:val="24"/>
          <w:szCs w:val="24"/>
        </w:rPr>
        <w:t xml:space="preserve">Akhenaten sought to alter this by promoting the status of one solar deity called the Aten. Religion during the Amarna Period has often been mistaken for a monotheistic one which is untrue. Whilst Akhenaten did promote the status of one god in particular, at the beginning of his reign, the more traditional gods were still being worshipped. Egyptian </w:t>
      </w:r>
      <w:r>
        <w:rPr>
          <w:rFonts w:ascii="Times New Roman" w:hAnsi="Times New Roman" w:cs="Times New Roman"/>
          <w:sz w:val="24"/>
          <w:szCs w:val="24"/>
        </w:rPr>
        <w:t xml:space="preserve">deities were </w:t>
      </w:r>
      <w:r w:rsidR="007A4DEA">
        <w:rPr>
          <w:rFonts w:ascii="Times New Roman" w:hAnsi="Times New Roman" w:cs="Times New Roman"/>
          <w:sz w:val="24"/>
          <w:szCs w:val="24"/>
        </w:rPr>
        <w:t xml:space="preserve">normally </w:t>
      </w:r>
      <w:r>
        <w:rPr>
          <w:rFonts w:ascii="Times New Roman" w:hAnsi="Times New Roman" w:cs="Times New Roman"/>
          <w:sz w:val="24"/>
          <w:szCs w:val="24"/>
        </w:rPr>
        <w:t>associated with features of the environment; for example, the god Hapi was the personification of the Nile. This emphasis on the importance of nature is one of the most interesting aspects of Egyptian religion, and they sought to portray it through the worship of these gods.</w:t>
      </w:r>
      <w:r w:rsidR="007A4DEA">
        <w:rPr>
          <w:rFonts w:ascii="Times New Roman" w:hAnsi="Times New Roman" w:cs="Times New Roman"/>
          <w:sz w:val="24"/>
          <w:szCs w:val="24"/>
        </w:rPr>
        <w:t xml:space="preserve"> </w:t>
      </w:r>
      <w:r w:rsidR="007A4DEA" w:rsidRPr="007A4DEA">
        <w:rPr>
          <w:rFonts w:ascii="Times New Roman" w:hAnsi="Times New Roman" w:cs="Times New Roman"/>
          <w:sz w:val="24"/>
          <w:szCs w:val="24"/>
        </w:rPr>
        <w:t xml:space="preserve">If it was important in their daily lives, why would they not incorporate it into their belief system? Brewer and Teeter agree with this idea stating, </w:t>
      </w:r>
      <w:r w:rsidRPr="002D5846">
        <w:rPr>
          <w:rFonts w:ascii="Times New Roman" w:hAnsi="Times New Roman" w:cs="Times New Roman"/>
          <w:sz w:val="24"/>
          <w:szCs w:val="24"/>
        </w:rPr>
        <w:t xml:space="preserve"> </w:t>
      </w:r>
    </w:p>
    <w:p w14:paraId="493EB637" w14:textId="77777777" w:rsidR="007A4DEA" w:rsidRDefault="007A4DEA" w:rsidP="007A4DEA">
      <w:pPr>
        <w:jc w:val="both"/>
        <w:rPr>
          <w:rFonts w:ascii="Times New Roman" w:hAnsi="Times New Roman" w:cs="Times New Roman"/>
          <w:sz w:val="24"/>
          <w:szCs w:val="24"/>
        </w:rPr>
      </w:pPr>
      <w:r w:rsidRPr="007A4DEA">
        <w:rPr>
          <w:rFonts w:ascii="Times New Roman" w:hAnsi="Times New Roman" w:cs="Times New Roman"/>
          <w:sz w:val="24"/>
          <w:szCs w:val="24"/>
        </w:rPr>
        <w:t>“many aspects of Egyptian religion can be traced to the people’s observation of the environment. Fundamental was the love of sunlight, the solar cycle and the comfort brought by the regular rhythms of nature, and the agricultural cycle surrounding the rise and fall of the Nile.”</w:t>
      </w:r>
      <w:r>
        <w:rPr>
          <w:rStyle w:val="FootnoteReference"/>
          <w:rFonts w:ascii="Times New Roman" w:hAnsi="Times New Roman" w:cs="Times New Roman"/>
          <w:sz w:val="24"/>
          <w:szCs w:val="24"/>
        </w:rPr>
        <w:footnoteReference w:id="12"/>
      </w:r>
    </w:p>
    <w:p w14:paraId="2C19C81E" w14:textId="77777777" w:rsidR="007A4DEA" w:rsidRDefault="007A4DEA" w:rsidP="007A4DEA">
      <w:pPr>
        <w:jc w:val="both"/>
        <w:rPr>
          <w:rFonts w:ascii="Times New Roman" w:hAnsi="Times New Roman" w:cs="Times New Roman"/>
          <w:sz w:val="24"/>
          <w:szCs w:val="24"/>
        </w:rPr>
      </w:pPr>
    </w:p>
    <w:p w14:paraId="64367D4A" w14:textId="318266B8" w:rsidR="000A2B7A" w:rsidRDefault="007A4DEA" w:rsidP="007A4DEA">
      <w:pPr>
        <w:spacing w:line="480" w:lineRule="auto"/>
        <w:rPr>
          <w:rFonts w:ascii="Times New Roman" w:hAnsi="Times New Roman" w:cs="Times New Roman"/>
          <w:sz w:val="24"/>
          <w:szCs w:val="24"/>
        </w:rPr>
      </w:pPr>
      <w:r w:rsidRPr="007A4DEA">
        <w:rPr>
          <w:rFonts w:ascii="Times New Roman" w:hAnsi="Times New Roman" w:cs="Times New Roman"/>
          <w:sz w:val="24"/>
          <w:szCs w:val="24"/>
        </w:rPr>
        <w:t>Therefore, it would perhaps make sense that Akhenaten would wish to worship the light of the sun, for this is what helped provide Egypt with life. But, would this make Akhenaten’s ideas revolutionary? He was still worshipping the environmental aspect of Egyptian religion, but he was focusing on a different aspect of it.</w:t>
      </w:r>
      <w:r w:rsidR="00940CB7" w:rsidRPr="00940CB7">
        <w:t xml:space="preserve"> </w:t>
      </w:r>
      <w:r w:rsidR="00940CB7" w:rsidRPr="00940CB7">
        <w:rPr>
          <w:rFonts w:ascii="Times New Roman" w:hAnsi="Times New Roman" w:cs="Times New Roman"/>
          <w:sz w:val="24"/>
          <w:szCs w:val="24"/>
        </w:rPr>
        <w:t xml:space="preserve">In traditional Egyptian religion, the sun god Re would travel through the sky and Underworld, passing through twelve gates, each with their own challenges to pass through, requiring the help of various gods and goddesses. This journey allowed the sun to rise each morning.  However, with Akhenaten’s new theology, the Aten </w:t>
      </w:r>
      <w:r w:rsidR="00940CB7" w:rsidRPr="00940CB7">
        <w:rPr>
          <w:rFonts w:ascii="Times New Roman" w:hAnsi="Times New Roman" w:cs="Times New Roman"/>
          <w:sz w:val="24"/>
          <w:szCs w:val="24"/>
        </w:rPr>
        <w:lastRenderedPageBreak/>
        <w:t>replaced this concept; instead of an anthropomorphic figure like Re being represented, the Aten was just a disc with rays of light pictured. The only anthropomorphic feature was the hands on the end of the rays.</w:t>
      </w:r>
      <w:r w:rsidR="001009F4">
        <w:rPr>
          <w:rFonts w:ascii="Times New Roman" w:hAnsi="Times New Roman" w:cs="Times New Roman"/>
          <w:sz w:val="24"/>
          <w:szCs w:val="24"/>
        </w:rPr>
        <w:t xml:space="preserve"> </w:t>
      </w:r>
      <w:r w:rsidR="00940CB7" w:rsidRPr="00940CB7">
        <w:rPr>
          <w:rFonts w:ascii="Times New Roman" w:hAnsi="Times New Roman" w:cs="Times New Roman"/>
          <w:sz w:val="24"/>
          <w:szCs w:val="24"/>
        </w:rPr>
        <w:t>This was just one point of religion that Akhenaten modified. In order to understand Akhenaten’s religious revolution, we need to understand the deity he worshipped. Waterson states that</w:t>
      </w:r>
      <w:r w:rsidR="000A2B7A">
        <w:rPr>
          <w:rFonts w:ascii="Times New Roman" w:hAnsi="Times New Roman" w:cs="Times New Roman"/>
          <w:sz w:val="24"/>
          <w:szCs w:val="24"/>
        </w:rPr>
        <w:t>:</w:t>
      </w:r>
      <w:r w:rsidR="00940CB7" w:rsidRPr="00940CB7">
        <w:rPr>
          <w:rFonts w:ascii="Times New Roman" w:hAnsi="Times New Roman" w:cs="Times New Roman"/>
          <w:sz w:val="24"/>
          <w:szCs w:val="24"/>
        </w:rPr>
        <w:t xml:space="preserve"> </w:t>
      </w:r>
    </w:p>
    <w:p w14:paraId="218B020E" w14:textId="2848B35D" w:rsidR="00940CB7" w:rsidRDefault="00940CB7" w:rsidP="000A2B7A">
      <w:pPr>
        <w:jc w:val="both"/>
        <w:rPr>
          <w:rFonts w:ascii="Times New Roman" w:hAnsi="Times New Roman" w:cs="Times New Roman"/>
          <w:sz w:val="24"/>
          <w:szCs w:val="24"/>
        </w:rPr>
      </w:pPr>
      <w:r w:rsidRPr="00940CB7">
        <w:rPr>
          <w:rFonts w:ascii="Times New Roman" w:hAnsi="Times New Roman" w:cs="Times New Roman"/>
          <w:sz w:val="24"/>
          <w:szCs w:val="24"/>
        </w:rPr>
        <w:t>“in the Eighteenth Dynasty, possibly as early as the reign of Thutmose III, the Aten became a recognised member of the Egyptian pantheon, representing the power of the sun’s disk and its omnipresent and life-giving properties.”</w:t>
      </w:r>
      <w:r w:rsidR="001009F4">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w:t>
      </w:r>
    </w:p>
    <w:p w14:paraId="0815D101" w14:textId="47FFBB26" w:rsidR="000A2B7A" w:rsidRDefault="000A2B7A" w:rsidP="000A2B7A">
      <w:pPr>
        <w:jc w:val="both"/>
        <w:rPr>
          <w:rFonts w:ascii="Times New Roman" w:hAnsi="Times New Roman" w:cs="Times New Roman"/>
          <w:sz w:val="24"/>
          <w:szCs w:val="24"/>
        </w:rPr>
      </w:pPr>
    </w:p>
    <w:p w14:paraId="4D3A761D" w14:textId="56D2110C" w:rsidR="000A2B7A" w:rsidRDefault="000A2B7A" w:rsidP="000A2B7A">
      <w:pPr>
        <w:spacing w:line="480" w:lineRule="auto"/>
        <w:rPr>
          <w:rFonts w:ascii="Times New Roman" w:hAnsi="Times New Roman" w:cs="Times New Roman"/>
          <w:sz w:val="24"/>
          <w:szCs w:val="24"/>
        </w:rPr>
      </w:pPr>
    </w:p>
    <w:p w14:paraId="53E4E362" w14:textId="54B00658" w:rsidR="000A2B7A" w:rsidRDefault="000A2B7A" w:rsidP="000A2B7A">
      <w:pPr>
        <w:spacing w:line="480" w:lineRule="auto"/>
        <w:rPr>
          <w:rFonts w:ascii="Times New Roman" w:hAnsi="Times New Roman" w:cs="Times New Roman"/>
          <w:sz w:val="24"/>
          <w:szCs w:val="24"/>
        </w:rPr>
      </w:pPr>
      <w:r w:rsidRPr="000A2B7A">
        <w:rPr>
          <w:rFonts w:ascii="Times New Roman" w:hAnsi="Times New Roman" w:cs="Times New Roman"/>
          <w:sz w:val="24"/>
          <w:szCs w:val="24"/>
        </w:rPr>
        <w:t xml:space="preserve">Within modern scholarship there has been an ongoing argument as to whether Akhenaten’s religion was monotheistic. Monotheism means only one god was being worshipped, </w:t>
      </w:r>
      <w:r w:rsidR="00795FF5" w:rsidRPr="000A2B7A">
        <w:rPr>
          <w:rFonts w:ascii="Times New Roman" w:hAnsi="Times New Roman" w:cs="Times New Roman"/>
          <w:sz w:val="24"/>
          <w:szCs w:val="24"/>
        </w:rPr>
        <w:t>whereas</w:t>
      </w:r>
      <w:r w:rsidRPr="000A2B7A">
        <w:rPr>
          <w:rFonts w:ascii="Times New Roman" w:hAnsi="Times New Roman" w:cs="Times New Roman"/>
          <w:sz w:val="24"/>
          <w:szCs w:val="24"/>
        </w:rPr>
        <w:t xml:space="preserve"> the traditional pantheon of Egyptian deities is known as polytheism. For example, some scholars like Chadwick argue that Akhenaten completely broke with Egyptian tradition. He elevated the status of the Aten so it became the one supreme god, before neglecting the other gods and deserting their temples.</w:t>
      </w:r>
      <w:r>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w:t>
      </w:r>
      <w:r w:rsidR="00F8419B" w:rsidRPr="00F8419B">
        <w:rPr>
          <w:rFonts w:ascii="Times New Roman" w:hAnsi="Times New Roman" w:cs="Times New Roman"/>
          <w:sz w:val="24"/>
          <w:szCs w:val="24"/>
        </w:rPr>
        <w:t>This idea would have been abhorrent to the ancient Egyptians whose gods were interwoven into the very heart of their society; the idea of completely abandoning their gods in favour of worshipping this isolated deity left Akhenaten branded as the ‘heretic’ king after his death. However, other scholars, such as Fletcher, argue that</w:t>
      </w:r>
      <w:r w:rsidR="00F657D6">
        <w:rPr>
          <w:rFonts w:ascii="Times New Roman" w:hAnsi="Times New Roman" w:cs="Times New Roman"/>
          <w:sz w:val="24"/>
          <w:szCs w:val="24"/>
        </w:rPr>
        <w:t>:</w:t>
      </w:r>
    </w:p>
    <w:p w14:paraId="7F13C257" w14:textId="6FA37C96" w:rsidR="00F657D6" w:rsidRDefault="00F657D6" w:rsidP="00F657D6">
      <w:pPr>
        <w:jc w:val="both"/>
        <w:rPr>
          <w:rFonts w:ascii="Times New Roman" w:hAnsi="Times New Roman" w:cs="Times New Roman"/>
          <w:sz w:val="24"/>
          <w:szCs w:val="24"/>
        </w:rPr>
      </w:pPr>
      <w:r w:rsidRPr="00F657D6">
        <w:rPr>
          <w:rFonts w:ascii="Times New Roman" w:hAnsi="Times New Roman" w:cs="Times New Roman"/>
          <w:sz w:val="24"/>
          <w:szCs w:val="24"/>
        </w:rPr>
        <w:t>“although honouring the sun above all else, the couple clearly continued to acknowledge other traditional deities; their officials were still able to report that ‘the offerings for all the gods and goddesses have been issued in full’ at the great Ptah temple at Memphis, where the new Aten temple was embellished with prominent wall scenes of Nefertiti, and the Aten also actively promoted as far south as Soleb and Kawa in Nubia.”</w:t>
      </w:r>
      <w:r>
        <w:rPr>
          <w:rStyle w:val="FootnoteReference"/>
          <w:rFonts w:ascii="Times New Roman" w:hAnsi="Times New Roman" w:cs="Times New Roman"/>
          <w:sz w:val="24"/>
          <w:szCs w:val="24"/>
        </w:rPr>
        <w:footnoteReference w:id="15"/>
      </w:r>
    </w:p>
    <w:p w14:paraId="6DEF710A" w14:textId="15D071DD" w:rsidR="00F657D6" w:rsidRDefault="00F657D6" w:rsidP="00F657D6">
      <w:pPr>
        <w:jc w:val="both"/>
        <w:rPr>
          <w:rFonts w:ascii="Times New Roman" w:hAnsi="Times New Roman" w:cs="Times New Roman"/>
          <w:sz w:val="24"/>
          <w:szCs w:val="24"/>
        </w:rPr>
      </w:pPr>
    </w:p>
    <w:p w14:paraId="78ACEE0B" w14:textId="579E3E1C" w:rsidR="00F657D6" w:rsidRDefault="008C55AE" w:rsidP="00F657D6">
      <w:pPr>
        <w:spacing w:line="480" w:lineRule="auto"/>
        <w:rPr>
          <w:rFonts w:ascii="Times New Roman" w:hAnsi="Times New Roman" w:cs="Times New Roman"/>
          <w:sz w:val="24"/>
          <w:szCs w:val="24"/>
        </w:rPr>
      </w:pPr>
      <w:r w:rsidRPr="008C55AE">
        <w:rPr>
          <w:rFonts w:ascii="Times New Roman" w:hAnsi="Times New Roman" w:cs="Times New Roman"/>
          <w:sz w:val="24"/>
          <w:szCs w:val="24"/>
        </w:rPr>
        <w:t xml:space="preserve">To me, this scenario seems much more likely, especially in the first few years of Akhenaten’s reign. It would make little sense for a new pharaoh to completely wipe out the traditional Egyptian belief system and immediately replace it with something so different. His religious </w:t>
      </w:r>
      <w:r w:rsidRPr="008C55AE">
        <w:rPr>
          <w:rFonts w:ascii="Times New Roman" w:hAnsi="Times New Roman" w:cs="Times New Roman"/>
          <w:sz w:val="24"/>
          <w:szCs w:val="24"/>
        </w:rPr>
        <w:lastRenderedPageBreak/>
        <w:t>revolution could have led to a revolution against him. It seems perhaps more likely that parts of the Aten were slowly incorporated and promoted above other deities in an attempt to make the reforms seem gentler.</w:t>
      </w:r>
    </w:p>
    <w:p w14:paraId="6CC19DC6" w14:textId="70EDF426" w:rsidR="008C55AE" w:rsidRDefault="008C55AE" w:rsidP="008C55AE">
      <w:pPr>
        <w:jc w:val="both"/>
        <w:rPr>
          <w:rFonts w:ascii="Times New Roman" w:hAnsi="Times New Roman" w:cs="Times New Roman"/>
          <w:sz w:val="24"/>
          <w:szCs w:val="24"/>
        </w:rPr>
      </w:pPr>
      <w:r w:rsidRPr="008C55AE">
        <w:rPr>
          <w:rFonts w:ascii="Times New Roman" w:hAnsi="Times New Roman" w:cs="Times New Roman"/>
          <w:sz w:val="24"/>
          <w:szCs w:val="24"/>
        </w:rPr>
        <w:t>“During the first five years of the reign of Amenhotep IV, although there had been a radical transformation of the Aten into a fully-fledged deity, with his own temples and a revolution in the mode of representing both him and the king, the latter had maintained his Amun-invoking nomen, while the new god was seemingly being assimilated into the broader pantheon.”</w:t>
      </w:r>
      <w:r>
        <w:rPr>
          <w:rStyle w:val="FootnoteReference"/>
          <w:rFonts w:ascii="Times New Roman" w:hAnsi="Times New Roman" w:cs="Times New Roman"/>
          <w:sz w:val="24"/>
          <w:szCs w:val="24"/>
        </w:rPr>
        <w:footnoteReference w:id="16"/>
      </w:r>
    </w:p>
    <w:p w14:paraId="193D7366" w14:textId="758A9918" w:rsidR="00940CB7" w:rsidRDefault="00940CB7" w:rsidP="007A4DEA">
      <w:pPr>
        <w:spacing w:line="480" w:lineRule="auto"/>
        <w:rPr>
          <w:rFonts w:ascii="Times New Roman" w:hAnsi="Times New Roman" w:cs="Times New Roman"/>
          <w:sz w:val="24"/>
          <w:szCs w:val="24"/>
        </w:rPr>
      </w:pPr>
    </w:p>
    <w:p w14:paraId="6120333D" w14:textId="2430DAF0" w:rsidR="008C55AE" w:rsidRDefault="008C55AE" w:rsidP="008C55AE">
      <w:pPr>
        <w:spacing w:line="480" w:lineRule="auto"/>
        <w:rPr>
          <w:rFonts w:ascii="Times New Roman" w:hAnsi="Times New Roman" w:cs="Times New Roman"/>
          <w:sz w:val="24"/>
          <w:szCs w:val="24"/>
        </w:rPr>
      </w:pPr>
      <w:r w:rsidRPr="008C55AE">
        <w:rPr>
          <w:rFonts w:ascii="Times New Roman" w:hAnsi="Times New Roman" w:cs="Times New Roman"/>
          <w:sz w:val="24"/>
          <w:szCs w:val="24"/>
        </w:rPr>
        <w:t xml:space="preserve">Interestingly, Waterson debates that Akhenaten’s reforms actually promote a form of henotheism rather than monotheism; </w:t>
      </w:r>
      <w:r w:rsidR="004F2DFF">
        <w:rPr>
          <w:rFonts w:ascii="Times New Roman" w:hAnsi="Times New Roman" w:cs="Times New Roman"/>
          <w:sz w:val="24"/>
          <w:szCs w:val="24"/>
        </w:rPr>
        <w:t xml:space="preserve">henotheism is described </w:t>
      </w:r>
      <w:r w:rsidRPr="008C55AE">
        <w:rPr>
          <w:rFonts w:ascii="Times New Roman" w:hAnsi="Times New Roman" w:cs="Times New Roman"/>
          <w:sz w:val="24"/>
          <w:szCs w:val="24"/>
        </w:rPr>
        <w:t>as ‘the worship of one god as the special deity of one’s family</w:t>
      </w:r>
      <w:r>
        <w:rPr>
          <w:rFonts w:ascii="Times New Roman" w:hAnsi="Times New Roman" w:cs="Times New Roman"/>
          <w:sz w:val="24"/>
          <w:szCs w:val="24"/>
        </w:rPr>
        <w:t>.</w:t>
      </w:r>
      <w:r w:rsidRPr="008C55AE">
        <w:rPr>
          <w:rFonts w:ascii="Times New Roman" w:hAnsi="Times New Roman" w:cs="Times New Roman"/>
          <w:sz w:val="24"/>
          <w:szCs w:val="24"/>
        </w:rPr>
        <w:t>’</w:t>
      </w:r>
      <w:r>
        <w:rPr>
          <w:rStyle w:val="FootnoteReference"/>
          <w:rFonts w:ascii="Times New Roman" w:hAnsi="Times New Roman" w:cs="Times New Roman"/>
          <w:sz w:val="24"/>
          <w:szCs w:val="24"/>
        </w:rPr>
        <w:footnoteReference w:id="17"/>
      </w:r>
      <w:r w:rsidR="00B76FE3">
        <w:rPr>
          <w:rFonts w:ascii="Times New Roman" w:hAnsi="Times New Roman" w:cs="Times New Roman"/>
          <w:sz w:val="24"/>
          <w:szCs w:val="24"/>
        </w:rPr>
        <w:t xml:space="preserve"> </w:t>
      </w:r>
      <w:r w:rsidR="00B76FE3" w:rsidRPr="00B76FE3">
        <w:rPr>
          <w:rFonts w:ascii="Times New Roman" w:hAnsi="Times New Roman" w:cs="Times New Roman"/>
          <w:sz w:val="24"/>
          <w:szCs w:val="24"/>
        </w:rPr>
        <w:t>Akhenaten’s religious revolution does become more radical as his reign progresses.</w:t>
      </w:r>
    </w:p>
    <w:p w14:paraId="014BF552" w14:textId="5A0EECE1" w:rsidR="00533C40" w:rsidRDefault="00533C40" w:rsidP="008C55AE">
      <w:pPr>
        <w:spacing w:line="480" w:lineRule="auto"/>
        <w:rPr>
          <w:rFonts w:ascii="Times New Roman" w:hAnsi="Times New Roman" w:cs="Times New Roman"/>
          <w:sz w:val="24"/>
          <w:szCs w:val="24"/>
        </w:rPr>
      </w:pPr>
    </w:p>
    <w:p w14:paraId="09A26662" w14:textId="0D81281B" w:rsidR="00533C40" w:rsidRDefault="00352449" w:rsidP="008C55AE">
      <w:pPr>
        <w:spacing w:line="480" w:lineRule="auto"/>
        <w:rPr>
          <w:rFonts w:ascii="Times New Roman" w:hAnsi="Times New Roman" w:cs="Times New Roman"/>
          <w:sz w:val="24"/>
          <w:szCs w:val="24"/>
        </w:rPr>
      </w:pPr>
      <w:r w:rsidRPr="00352449">
        <w:rPr>
          <w:rFonts w:ascii="Times New Roman" w:hAnsi="Times New Roman" w:cs="Times New Roman"/>
          <w:sz w:val="24"/>
          <w:szCs w:val="24"/>
        </w:rPr>
        <w:t>In year five of his reign, Amenhotep IV changed his name to Akhenaten (‘glorified spirits of the Aten’) and Neferneferuaten (‘perfect is the goddess of the Aten’) was added to Nefertiti’s name. These changes were used as a base for Akhenaten’s religious revolution, serving as a precursor to the changes he would make in the future. By his ninth regnal year, Akhenaten had denounced the traditional Egyptian gods, and was closing their temples:</w:t>
      </w:r>
    </w:p>
    <w:p w14:paraId="2EEC56B9" w14:textId="1EB894AB" w:rsidR="00352449" w:rsidRDefault="00352449" w:rsidP="00352449">
      <w:pPr>
        <w:jc w:val="both"/>
        <w:rPr>
          <w:rFonts w:ascii="Times New Roman" w:hAnsi="Times New Roman" w:cs="Times New Roman"/>
          <w:sz w:val="24"/>
          <w:szCs w:val="24"/>
        </w:rPr>
      </w:pPr>
      <w:r w:rsidRPr="00352449">
        <w:rPr>
          <w:rFonts w:ascii="Times New Roman" w:hAnsi="Times New Roman" w:cs="Times New Roman"/>
          <w:sz w:val="24"/>
          <w:szCs w:val="24"/>
        </w:rPr>
        <w:t>“concentrating their attentions on the sun god, the couple began to dismantle much of the existing religious and political framework built around the state god Amen, replacing it with many of the traditional gods.”</w:t>
      </w:r>
      <w:r>
        <w:rPr>
          <w:rStyle w:val="FootnoteReference"/>
          <w:rFonts w:ascii="Times New Roman" w:hAnsi="Times New Roman" w:cs="Times New Roman"/>
          <w:sz w:val="24"/>
          <w:szCs w:val="24"/>
        </w:rPr>
        <w:footnoteReference w:id="18"/>
      </w:r>
    </w:p>
    <w:p w14:paraId="2A2C1B0C" w14:textId="7916544D" w:rsidR="00352449" w:rsidRDefault="00352449" w:rsidP="00352449">
      <w:pPr>
        <w:jc w:val="both"/>
        <w:rPr>
          <w:rFonts w:ascii="Times New Roman" w:hAnsi="Times New Roman" w:cs="Times New Roman"/>
          <w:sz w:val="24"/>
          <w:szCs w:val="24"/>
        </w:rPr>
      </w:pPr>
    </w:p>
    <w:p w14:paraId="68AD0FF9" w14:textId="50FA6B13" w:rsidR="00352449" w:rsidRDefault="00C81B23" w:rsidP="00352449">
      <w:pPr>
        <w:spacing w:line="480" w:lineRule="auto"/>
        <w:rPr>
          <w:rFonts w:ascii="Times New Roman" w:hAnsi="Times New Roman" w:cs="Times New Roman"/>
          <w:sz w:val="24"/>
          <w:szCs w:val="24"/>
        </w:rPr>
      </w:pPr>
      <w:r w:rsidRPr="00C81B23">
        <w:rPr>
          <w:rFonts w:ascii="Times New Roman" w:hAnsi="Times New Roman" w:cs="Times New Roman"/>
          <w:sz w:val="24"/>
          <w:szCs w:val="24"/>
        </w:rPr>
        <w:t>There is a theory that the closing of the temples and the diversion of power away from Amun was not just part of a religious revolution. Tyldesley debates that the move was mainly economic, and Akhenaten was actually taking money that the temple had been receiving in order to finance the building of Akhetaten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9"/>
      </w:r>
      <w:r w:rsidR="00BE2C04">
        <w:rPr>
          <w:rFonts w:ascii="Times New Roman" w:hAnsi="Times New Roman" w:cs="Times New Roman"/>
          <w:sz w:val="24"/>
          <w:szCs w:val="24"/>
        </w:rPr>
        <w:t xml:space="preserve"> </w:t>
      </w:r>
      <w:r w:rsidR="00BE2C04" w:rsidRPr="00BE2C04">
        <w:rPr>
          <w:rFonts w:ascii="Times New Roman" w:hAnsi="Times New Roman" w:cs="Times New Roman"/>
          <w:sz w:val="24"/>
          <w:szCs w:val="24"/>
        </w:rPr>
        <w:t xml:space="preserve">Hagen also argues that it was a political move; the Amun priests were starting to have too much influence on Egyptian politics; Akhenaten wanted to </w:t>
      </w:r>
      <w:r w:rsidR="00BE2C04" w:rsidRPr="00BE2C04">
        <w:rPr>
          <w:rFonts w:ascii="Times New Roman" w:hAnsi="Times New Roman" w:cs="Times New Roman"/>
          <w:sz w:val="24"/>
          <w:szCs w:val="24"/>
        </w:rPr>
        <w:lastRenderedPageBreak/>
        <w:t>implement not only his religious reforms, but build a new capital dedicated to a new god, he would need the freedom to do this</w:t>
      </w:r>
      <w:r w:rsidR="00BE2C04">
        <w:rPr>
          <w:rFonts w:ascii="Times New Roman" w:hAnsi="Times New Roman" w:cs="Times New Roman"/>
          <w:sz w:val="24"/>
          <w:szCs w:val="24"/>
        </w:rPr>
        <w:t>.</w:t>
      </w:r>
      <w:r w:rsidR="00BE2C04">
        <w:rPr>
          <w:rStyle w:val="FootnoteReference"/>
          <w:rFonts w:ascii="Times New Roman" w:hAnsi="Times New Roman" w:cs="Times New Roman"/>
          <w:sz w:val="24"/>
          <w:szCs w:val="24"/>
        </w:rPr>
        <w:footnoteReference w:id="20"/>
      </w:r>
    </w:p>
    <w:p w14:paraId="31EA9065" w14:textId="0EB23A07" w:rsidR="00BE2C04" w:rsidRDefault="00BE2C04" w:rsidP="00352449">
      <w:pPr>
        <w:spacing w:line="480" w:lineRule="auto"/>
        <w:rPr>
          <w:rFonts w:ascii="Times New Roman" w:hAnsi="Times New Roman" w:cs="Times New Roman"/>
          <w:sz w:val="24"/>
          <w:szCs w:val="24"/>
        </w:rPr>
      </w:pPr>
    </w:p>
    <w:p w14:paraId="6668CF05" w14:textId="6E426325" w:rsidR="00BE2C04" w:rsidRDefault="00BE2C04" w:rsidP="00352449">
      <w:pPr>
        <w:spacing w:line="480" w:lineRule="auto"/>
        <w:rPr>
          <w:rFonts w:ascii="Times New Roman" w:hAnsi="Times New Roman" w:cs="Times New Roman"/>
          <w:sz w:val="24"/>
          <w:szCs w:val="24"/>
        </w:rPr>
      </w:pPr>
      <w:r w:rsidRPr="00BE2C04">
        <w:rPr>
          <w:rFonts w:ascii="Times New Roman" w:hAnsi="Times New Roman" w:cs="Times New Roman"/>
          <w:sz w:val="24"/>
          <w:szCs w:val="24"/>
        </w:rPr>
        <w:t>In order to examine how revolutionary Akhenaten’s reforms truly were, we need to look at how much Atenism was actually adhered to across the country. With traditional religion being rooted at the heart of Egyptian society, it does not seem like the ancient Egyptians would have readily accepted the revolutionary changes their Pharaoh was making. A way of doing this was to still worship the traditional gods on a domestic scale. If they could not protest on a large scale, perhaps it was better for them to protest on a smaller scale. They could worship the Aten in their everyday lives, playing a role almost in order to please their ruler, but in reality, figurines depicting the traditional gods present us with the notion that the ancient Egyptians did not accept the changes Akhenaten was making as Silverman, Wegner and Wegner state:</w:t>
      </w:r>
    </w:p>
    <w:p w14:paraId="3737A786" w14:textId="77777777" w:rsidR="00B61EAB" w:rsidRDefault="00B61EAB" w:rsidP="00BE2C04">
      <w:pPr>
        <w:jc w:val="both"/>
        <w:rPr>
          <w:rFonts w:ascii="Times New Roman" w:hAnsi="Times New Roman" w:cs="Times New Roman"/>
          <w:sz w:val="24"/>
          <w:szCs w:val="24"/>
        </w:rPr>
      </w:pPr>
      <w:r w:rsidRPr="00B61EAB">
        <w:rPr>
          <w:rFonts w:ascii="Times New Roman" w:hAnsi="Times New Roman" w:cs="Times New Roman"/>
          <w:sz w:val="24"/>
          <w:szCs w:val="24"/>
        </w:rPr>
        <w:t>“archaeological evidence has revealed that even in the new capital people did not accept the radical ideology fully. The presence of small figures of traditional gods, as well as moulds for the production of amulets in their forms, suggest that, despite the speed, extent, energy, and dedication with which Akhenaten installed and promoted his beliefs, he was unable to force his subjects to break entirely with tradition. The significant number of these items that have survived indicate that their production continued throughout the Amarna occupations.”</w:t>
      </w:r>
      <w:r>
        <w:rPr>
          <w:rStyle w:val="FootnoteReference"/>
          <w:rFonts w:ascii="Times New Roman" w:hAnsi="Times New Roman" w:cs="Times New Roman"/>
          <w:sz w:val="24"/>
          <w:szCs w:val="24"/>
        </w:rPr>
        <w:footnoteReference w:id="21"/>
      </w:r>
      <w:r w:rsidRPr="00B61EAB">
        <w:rPr>
          <w:rFonts w:ascii="Times New Roman" w:hAnsi="Times New Roman" w:cs="Times New Roman"/>
          <w:sz w:val="24"/>
          <w:szCs w:val="24"/>
        </w:rPr>
        <w:t xml:space="preserve"> </w:t>
      </w:r>
    </w:p>
    <w:p w14:paraId="63CA1097" w14:textId="77777777" w:rsidR="00B61EAB" w:rsidRDefault="00B61EAB" w:rsidP="00BE2C04">
      <w:pPr>
        <w:jc w:val="both"/>
        <w:rPr>
          <w:rFonts w:ascii="Times New Roman" w:hAnsi="Times New Roman" w:cs="Times New Roman"/>
          <w:sz w:val="24"/>
          <w:szCs w:val="24"/>
        </w:rPr>
      </w:pPr>
    </w:p>
    <w:p w14:paraId="27F9CA11" w14:textId="77777777" w:rsidR="00B61EAB" w:rsidRDefault="00B61EAB" w:rsidP="00B61EAB">
      <w:pPr>
        <w:spacing w:line="480" w:lineRule="auto"/>
        <w:rPr>
          <w:rFonts w:ascii="Times New Roman" w:hAnsi="Times New Roman" w:cs="Times New Roman"/>
          <w:sz w:val="24"/>
          <w:szCs w:val="24"/>
        </w:rPr>
      </w:pPr>
      <w:r w:rsidRPr="00B61EAB">
        <w:rPr>
          <w:rFonts w:ascii="Times New Roman" w:hAnsi="Times New Roman" w:cs="Times New Roman"/>
          <w:sz w:val="24"/>
          <w:szCs w:val="24"/>
        </w:rPr>
        <w:t>Shaw also postulates that because Akhenaten was closing the temples, there must have been some opposition from the priestly class.</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w:t>
      </w:r>
      <w:r w:rsidRPr="00B61EAB">
        <w:rPr>
          <w:rFonts w:ascii="Times New Roman" w:hAnsi="Times New Roman" w:cs="Times New Roman"/>
          <w:sz w:val="24"/>
          <w:szCs w:val="24"/>
        </w:rPr>
        <w:t xml:space="preserve">Being a priest of one of the big cults is Egypt meant that you had a good standard of living, with temples receiving not only tributes, such as food, money, and items like furniture, but often money from the Pharaoh for the upkeep of the temple and for all those who lived there. By taking this aspect of living away from the priests, it is likely that there would have been discontent among them, but this is unlikely to have been recorded anywhere. Atenism was revolutionary in the fact that it got rid of the need for priests. Akhenaten </w:t>
      </w:r>
      <w:r w:rsidRPr="00B61EAB">
        <w:rPr>
          <w:rFonts w:ascii="Times New Roman" w:hAnsi="Times New Roman" w:cs="Times New Roman"/>
          <w:sz w:val="24"/>
          <w:szCs w:val="24"/>
        </w:rPr>
        <w:lastRenderedPageBreak/>
        <w:t>was now the High Priest of the Aten and only he served as the mediator between the people and the Aten.</w:t>
      </w:r>
    </w:p>
    <w:p w14:paraId="3C39110E" w14:textId="77777777" w:rsidR="00B61EAB" w:rsidRDefault="00B61EAB" w:rsidP="00B61EAB">
      <w:pPr>
        <w:spacing w:line="480" w:lineRule="auto"/>
        <w:rPr>
          <w:rFonts w:ascii="Times New Roman" w:hAnsi="Times New Roman" w:cs="Times New Roman"/>
          <w:sz w:val="24"/>
          <w:szCs w:val="24"/>
        </w:rPr>
      </w:pPr>
    </w:p>
    <w:p w14:paraId="580D29D0" w14:textId="77777777" w:rsidR="003230AE" w:rsidRDefault="003230AE" w:rsidP="00B61EAB">
      <w:pPr>
        <w:spacing w:line="480" w:lineRule="auto"/>
        <w:rPr>
          <w:rFonts w:ascii="Times New Roman" w:hAnsi="Times New Roman" w:cs="Times New Roman"/>
          <w:sz w:val="24"/>
          <w:szCs w:val="24"/>
        </w:rPr>
      </w:pPr>
      <w:r w:rsidRPr="003230AE">
        <w:rPr>
          <w:rFonts w:ascii="Times New Roman" w:hAnsi="Times New Roman" w:cs="Times New Roman"/>
          <w:sz w:val="24"/>
          <w:szCs w:val="24"/>
        </w:rPr>
        <w:t>Fortunately, lots of archaeological evidence at Amarna has been preserved, meaning that we are able to make plenty of interpretations about Amarna religion and how far Atenism spread during the Amarna Period. For example, Kemp argues that</w:t>
      </w:r>
      <w:r>
        <w:rPr>
          <w:rFonts w:ascii="Times New Roman" w:hAnsi="Times New Roman" w:cs="Times New Roman"/>
          <w:sz w:val="24"/>
          <w:szCs w:val="24"/>
        </w:rPr>
        <w:t>:</w:t>
      </w:r>
    </w:p>
    <w:p w14:paraId="38B218B3" w14:textId="77777777" w:rsidR="003230AE" w:rsidRDefault="003230AE" w:rsidP="003230AE">
      <w:pPr>
        <w:jc w:val="both"/>
        <w:rPr>
          <w:rFonts w:ascii="Times New Roman" w:hAnsi="Times New Roman" w:cs="Times New Roman"/>
          <w:sz w:val="24"/>
          <w:szCs w:val="24"/>
        </w:rPr>
      </w:pPr>
      <w:r w:rsidRPr="003230AE">
        <w:rPr>
          <w:rFonts w:ascii="Times New Roman" w:hAnsi="Times New Roman" w:cs="Times New Roman"/>
          <w:sz w:val="24"/>
          <w:szCs w:val="24"/>
        </w:rPr>
        <w:t>“Amarna is richer in evidence for domestic religious cults and beliefs than other settlement sites of the period (Ramesside Deir el-Medina excepted) and for the most part they were not centred on Akhenaten’s ideas.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3"/>
      </w:r>
    </w:p>
    <w:p w14:paraId="439B2B19" w14:textId="77777777" w:rsidR="003230AE" w:rsidRDefault="003230AE" w:rsidP="003230AE">
      <w:pPr>
        <w:jc w:val="both"/>
        <w:rPr>
          <w:rFonts w:ascii="Times New Roman" w:hAnsi="Times New Roman" w:cs="Times New Roman"/>
          <w:sz w:val="24"/>
          <w:szCs w:val="24"/>
        </w:rPr>
      </w:pPr>
    </w:p>
    <w:p w14:paraId="03E267C0" w14:textId="40A9EAA2" w:rsidR="00BE2C04" w:rsidRDefault="003230AE" w:rsidP="003230AE">
      <w:pPr>
        <w:spacing w:line="480" w:lineRule="auto"/>
        <w:rPr>
          <w:rFonts w:ascii="Times New Roman" w:hAnsi="Times New Roman" w:cs="Times New Roman"/>
          <w:sz w:val="24"/>
          <w:szCs w:val="24"/>
        </w:rPr>
      </w:pPr>
      <w:r w:rsidRPr="003230AE">
        <w:rPr>
          <w:rFonts w:ascii="Times New Roman" w:hAnsi="Times New Roman" w:cs="Times New Roman"/>
          <w:sz w:val="24"/>
          <w:szCs w:val="24"/>
        </w:rPr>
        <w:t>The discovery of the figurines in the workman’s village could make the argument that Atenism was mainly pursued by the royal family and the elite members of society that followed them to Amarna</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4"/>
      </w:r>
      <w:r w:rsidR="00B61EAB" w:rsidRPr="00B61EAB">
        <w:rPr>
          <w:rFonts w:ascii="Times New Roman" w:hAnsi="Times New Roman" w:cs="Times New Roman"/>
          <w:sz w:val="24"/>
          <w:szCs w:val="24"/>
        </w:rPr>
        <w:t xml:space="preserve"> </w:t>
      </w:r>
      <w:r w:rsidRPr="003230AE">
        <w:rPr>
          <w:rFonts w:ascii="Times New Roman" w:hAnsi="Times New Roman" w:cs="Times New Roman"/>
          <w:sz w:val="24"/>
          <w:szCs w:val="24"/>
        </w:rPr>
        <w:t>However, it has always been assumed that Akhenaten and Nefertiti in particular completely abolished the old gods in favour of the Aten. What I find important to remember is that they both would have probably grown up with these gods. They were ingrained into society, and therefore it stands to reason that they would have been just as ingrained into the people of Egypt. Anna Stevens writes</w:t>
      </w:r>
      <w:r>
        <w:rPr>
          <w:rFonts w:ascii="Times New Roman" w:hAnsi="Times New Roman" w:cs="Times New Roman"/>
          <w:sz w:val="24"/>
          <w:szCs w:val="24"/>
        </w:rPr>
        <w:t>:</w:t>
      </w:r>
    </w:p>
    <w:p w14:paraId="34FF415D" w14:textId="77777777" w:rsidR="003230AE" w:rsidRDefault="003230AE" w:rsidP="003230AE">
      <w:pPr>
        <w:jc w:val="both"/>
        <w:rPr>
          <w:rFonts w:ascii="Times New Roman" w:hAnsi="Times New Roman" w:cs="Times New Roman"/>
          <w:sz w:val="24"/>
          <w:szCs w:val="24"/>
        </w:rPr>
      </w:pPr>
      <w:r w:rsidRPr="003230AE">
        <w:rPr>
          <w:rFonts w:ascii="Times New Roman" w:hAnsi="Times New Roman" w:cs="Times New Roman"/>
          <w:sz w:val="24"/>
          <w:szCs w:val="24"/>
        </w:rPr>
        <w:t>“private religion, with its focus on the immediate human condition, was common to all… Members of the Amarna royal family themselves were buried with jewellery with images of figures such as Bes. Amarna is especially valuable for the study of private religion because of the large expanses of settlement that have been cleared here, and the opportunities to place cult within its social context in this way.”</w:t>
      </w:r>
      <w:r>
        <w:rPr>
          <w:rStyle w:val="FootnoteReference"/>
          <w:rFonts w:ascii="Times New Roman" w:hAnsi="Times New Roman" w:cs="Times New Roman"/>
          <w:sz w:val="24"/>
          <w:szCs w:val="24"/>
        </w:rPr>
        <w:footnoteReference w:id="25"/>
      </w:r>
      <w:r w:rsidRPr="003230AE">
        <w:rPr>
          <w:rFonts w:ascii="Times New Roman" w:hAnsi="Times New Roman" w:cs="Times New Roman"/>
          <w:sz w:val="24"/>
          <w:szCs w:val="24"/>
        </w:rPr>
        <w:t xml:space="preserve"> </w:t>
      </w:r>
    </w:p>
    <w:p w14:paraId="78B0213D" w14:textId="77777777" w:rsidR="003230AE" w:rsidRDefault="003230AE" w:rsidP="003230AE">
      <w:pPr>
        <w:jc w:val="both"/>
        <w:rPr>
          <w:rFonts w:ascii="Times New Roman" w:hAnsi="Times New Roman" w:cs="Times New Roman"/>
          <w:sz w:val="24"/>
          <w:szCs w:val="24"/>
        </w:rPr>
      </w:pPr>
    </w:p>
    <w:p w14:paraId="6DA9A827" w14:textId="77777777" w:rsidR="00795FF5" w:rsidRDefault="00795FF5" w:rsidP="003230AE">
      <w:pPr>
        <w:spacing w:line="480" w:lineRule="auto"/>
        <w:rPr>
          <w:rFonts w:ascii="Times New Roman" w:hAnsi="Times New Roman" w:cs="Times New Roman"/>
          <w:sz w:val="24"/>
          <w:szCs w:val="24"/>
        </w:rPr>
      </w:pPr>
      <w:r w:rsidRPr="00795FF5">
        <w:rPr>
          <w:rFonts w:ascii="Times New Roman" w:hAnsi="Times New Roman" w:cs="Times New Roman"/>
          <w:sz w:val="24"/>
          <w:szCs w:val="24"/>
        </w:rPr>
        <w:t>Therefore, Amarna religion is not as simple as was previously thought.</w:t>
      </w:r>
    </w:p>
    <w:p w14:paraId="6BBFC231" w14:textId="77777777" w:rsidR="00795FF5" w:rsidRDefault="00795FF5" w:rsidP="003230AE">
      <w:pPr>
        <w:spacing w:line="480" w:lineRule="auto"/>
        <w:rPr>
          <w:rFonts w:ascii="Times New Roman" w:hAnsi="Times New Roman" w:cs="Times New Roman"/>
          <w:sz w:val="24"/>
          <w:szCs w:val="24"/>
        </w:rPr>
      </w:pPr>
    </w:p>
    <w:p w14:paraId="68523540" w14:textId="74C6B523" w:rsidR="00795FF5" w:rsidRDefault="00795FF5" w:rsidP="003230AE">
      <w:pPr>
        <w:spacing w:line="480" w:lineRule="auto"/>
        <w:rPr>
          <w:rFonts w:ascii="Times New Roman" w:hAnsi="Times New Roman" w:cs="Times New Roman"/>
          <w:sz w:val="24"/>
          <w:szCs w:val="24"/>
        </w:rPr>
      </w:pPr>
      <w:r w:rsidRPr="00795FF5">
        <w:rPr>
          <w:rFonts w:ascii="Times New Roman" w:hAnsi="Times New Roman" w:cs="Times New Roman"/>
          <w:sz w:val="24"/>
          <w:szCs w:val="24"/>
        </w:rPr>
        <w:t xml:space="preserve">In ancient Egyptian society, the afterlife was the most important aspect of religion. People would spend the majority of their lives preparing for it, in the hope that they would gain eternal life in a place that was very similar to the real world. In the Amarna Period, this aspect was completely </w:t>
      </w:r>
      <w:r w:rsidRPr="00795FF5">
        <w:rPr>
          <w:rFonts w:ascii="Times New Roman" w:hAnsi="Times New Roman" w:cs="Times New Roman"/>
          <w:sz w:val="24"/>
          <w:szCs w:val="24"/>
        </w:rPr>
        <w:lastRenderedPageBreak/>
        <w:t>changed. Akhenaten got rid of the Osirian myths but did not replace them with anything, which meant that in a sense there was now no afterlife, or at least a vastly different version of one, as is portrayed to us in the Great Hymn to the Aten.</w:t>
      </w:r>
      <w:r w:rsidR="000F1BB0">
        <w:rPr>
          <w:rStyle w:val="FootnoteReference"/>
          <w:rFonts w:ascii="Times New Roman" w:hAnsi="Times New Roman" w:cs="Times New Roman"/>
          <w:sz w:val="24"/>
          <w:szCs w:val="24"/>
        </w:rPr>
        <w:footnoteReference w:id="26"/>
      </w:r>
      <w:r w:rsidRPr="00795FF5">
        <w:rPr>
          <w:rFonts w:ascii="Times New Roman" w:hAnsi="Times New Roman" w:cs="Times New Roman"/>
          <w:sz w:val="24"/>
          <w:szCs w:val="24"/>
        </w:rPr>
        <w:t xml:space="preserve"> Tyldesley writes</w:t>
      </w:r>
      <w:r>
        <w:rPr>
          <w:rFonts w:ascii="Times New Roman" w:hAnsi="Times New Roman" w:cs="Times New Roman"/>
          <w:sz w:val="24"/>
          <w:szCs w:val="24"/>
        </w:rPr>
        <w:t>:</w:t>
      </w:r>
    </w:p>
    <w:p w14:paraId="519B2AC8" w14:textId="1AE055E3" w:rsidR="003230AE" w:rsidRDefault="00795FF5" w:rsidP="00795FF5">
      <w:pPr>
        <w:jc w:val="both"/>
        <w:rPr>
          <w:rFonts w:ascii="Times New Roman" w:hAnsi="Times New Roman" w:cs="Times New Roman"/>
          <w:sz w:val="24"/>
          <w:szCs w:val="24"/>
        </w:rPr>
      </w:pPr>
      <w:r w:rsidRPr="00795FF5">
        <w:rPr>
          <w:rFonts w:ascii="Times New Roman" w:hAnsi="Times New Roman" w:cs="Times New Roman"/>
          <w:sz w:val="24"/>
          <w:szCs w:val="24"/>
        </w:rPr>
        <w:t>“his disciples have little reason to look forward, and indeed Akhenaten’s hymn promises a grim future for the faithful. The myth of Osiris, god of the dead, and the promise of a golden afterlife in the Field of Reeds have vanished, a victim to the purges instigated in Year five. The Aten takes responsibility for the deceased, and after death his devotees can look forward to a bleak existence haunting the altar of the sun temple by day, sleeping the sleep of the dead at night- an unwelcome reversion to Old Kingdom beliefs which allowed only the king to inherit eternal life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7"/>
      </w:r>
      <w:r w:rsidR="003230AE" w:rsidRPr="003230AE">
        <w:rPr>
          <w:rFonts w:ascii="Times New Roman" w:hAnsi="Times New Roman" w:cs="Times New Roman"/>
          <w:sz w:val="24"/>
          <w:szCs w:val="24"/>
        </w:rPr>
        <w:t xml:space="preserve"> </w:t>
      </w:r>
    </w:p>
    <w:p w14:paraId="2B4B9D70" w14:textId="0EE39F77" w:rsidR="00795FF5" w:rsidRDefault="00795FF5" w:rsidP="00795FF5">
      <w:pPr>
        <w:jc w:val="both"/>
        <w:rPr>
          <w:rFonts w:ascii="Times New Roman" w:hAnsi="Times New Roman" w:cs="Times New Roman"/>
          <w:sz w:val="24"/>
          <w:szCs w:val="24"/>
        </w:rPr>
      </w:pPr>
    </w:p>
    <w:p w14:paraId="4D696089" w14:textId="12DDD077" w:rsidR="00795FF5" w:rsidRDefault="00795FF5" w:rsidP="00795FF5">
      <w:pPr>
        <w:spacing w:line="480" w:lineRule="auto"/>
        <w:rPr>
          <w:rFonts w:ascii="Times New Roman" w:hAnsi="Times New Roman" w:cs="Times New Roman"/>
          <w:sz w:val="24"/>
          <w:szCs w:val="24"/>
        </w:rPr>
      </w:pPr>
      <w:r w:rsidRPr="00795FF5">
        <w:rPr>
          <w:rFonts w:ascii="Times New Roman" w:hAnsi="Times New Roman" w:cs="Times New Roman"/>
          <w:sz w:val="24"/>
          <w:szCs w:val="24"/>
        </w:rPr>
        <w:t xml:space="preserve">With the changes to a bleaker afterlife, it is perhaps easy to understand why people were not as </w:t>
      </w:r>
      <w:r w:rsidR="000415F3">
        <w:rPr>
          <w:rFonts w:ascii="Times New Roman" w:hAnsi="Times New Roman" w:cs="Times New Roman"/>
          <w:sz w:val="24"/>
          <w:szCs w:val="24"/>
        </w:rPr>
        <w:t>enthusiastic</w:t>
      </w:r>
      <w:r w:rsidRPr="00795FF5">
        <w:rPr>
          <w:rFonts w:ascii="Times New Roman" w:hAnsi="Times New Roman" w:cs="Times New Roman"/>
          <w:sz w:val="24"/>
          <w:szCs w:val="24"/>
        </w:rPr>
        <w:t xml:space="preserve"> to worship the Aten. Akhenaten even changed where the dead were buried. Dodson </w:t>
      </w:r>
      <w:r w:rsidR="009D374C">
        <w:rPr>
          <w:rFonts w:ascii="Times New Roman" w:hAnsi="Times New Roman" w:cs="Times New Roman"/>
          <w:sz w:val="24"/>
          <w:szCs w:val="24"/>
        </w:rPr>
        <w:t>argues</w:t>
      </w:r>
      <w:r w:rsidRPr="00795FF5">
        <w:rPr>
          <w:rFonts w:ascii="Times New Roman" w:hAnsi="Times New Roman" w:cs="Times New Roman"/>
          <w:sz w:val="24"/>
          <w:szCs w:val="24"/>
        </w:rPr>
        <w:t xml:space="preserve"> that</w:t>
      </w:r>
      <w:r>
        <w:rPr>
          <w:rFonts w:ascii="Times New Roman" w:hAnsi="Times New Roman" w:cs="Times New Roman"/>
          <w:sz w:val="24"/>
          <w:szCs w:val="24"/>
        </w:rPr>
        <w:t>:</w:t>
      </w:r>
    </w:p>
    <w:p w14:paraId="565FB670" w14:textId="7FF04032" w:rsidR="00795FF5" w:rsidRDefault="00795FF5" w:rsidP="00795FF5">
      <w:pPr>
        <w:jc w:val="both"/>
        <w:rPr>
          <w:rFonts w:ascii="Times New Roman" w:hAnsi="Times New Roman" w:cs="Times New Roman"/>
          <w:sz w:val="24"/>
          <w:szCs w:val="24"/>
        </w:rPr>
      </w:pPr>
      <w:r w:rsidRPr="00795FF5">
        <w:rPr>
          <w:rFonts w:ascii="Times New Roman" w:hAnsi="Times New Roman" w:cs="Times New Roman"/>
          <w:sz w:val="24"/>
          <w:szCs w:val="24"/>
        </w:rPr>
        <w:t>“complementing these elements belonging to the living and the god, to the east lay Akhenaten’s world of the dead. This reversal of the usual orientation of Egyptian tombs may have been simply a reflection of local topographic reality- most cemeteries in this part of Egypt lay to the east, owing to the lack of remoteness of the western cliffs from the Nile in the region. There may, however, have been a theological aspect, associating the dead with the sunrise rather than the sunset. Unfortunately, our knowledge of Amarna funerary belief is too sketchy to be clear on this.”</w:t>
      </w:r>
      <w:r>
        <w:rPr>
          <w:rStyle w:val="FootnoteReference"/>
          <w:rFonts w:ascii="Times New Roman" w:hAnsi="Times New Roman" w:cs="Times New Roman"/>
          <w:sz w:val="24"/>
          <w:szCs w:val="24"/>
        </w:rPr>
        <w:footnoteReference w:id="28"/>
      </w:r>
    </w:p>
    <w:p w14:paraId="3EDBC363" w14:textId="0FE3854F" w:rsidR="00795FF5" w:rsidRDefault="00795FF5" w:rsidP="00795FF5">
      <w:pPr>
        <w:jc w:val="both"/>
        <w:rPr>
          <w:rFonts w:ascii="Times New Roman" w:hAnsi="Times New Roman" w:cs="Times New Roman"/>
          <w:sz w:val="24"/>
          <w:szCs w:val="24"/>
        </w:rPr>
      </w:pPr>
    </w:p>
    <w:p w14:paraId="2834E27B" w14:textId="77777777" w:rsidR="007F6877" w:rsidRDefault="007F6877" w:rsidP="00795FF5">
      <w:pPr>
        <w:spacing w:line="480" w:lineRule="auto"/>
        <w:rPr>
          <w:rFonts w:ascii="Times New Roman" w:hAnsi="Times New Roman" w:cs="Times New Roman"/>
          <w:sz w:val="24"/>
          <w:szCs w:val="24"/>
        </w:rPr>
      </w:pPr>
      <w:r>
        <w:rPr>
          <w:rFonts w:ascii="Times New Roman" w:hAnsi="Times New Roman" w:cs="Times New Roman"/>
          <w:sz w:val="24"/>
          <w:szCs w:val="24"/>
        </w:rPr>
        <w:t>This is the main problem with Amarna religion. It is very easy to assume that we know about Egyptian religion. However, the ancient Egyptians did not even have a word for religion, and therefore it is wrong to place our perception of religion onto a society from thousands of years ago.</w:t>
      </w:r>
      <w:r>
        <w:rPr>
          <w:rStyle w:val="FootnoteReference"/>
          <w:rFonts w:ascii="Times New Roman" w:hAnsi="Times New Roman" w:cs="Times New Roman"/>
          <w:sz w:val="24"/>
          <w:szCs w:val="24"/>
        </w:rPr>
        <w:footnoteReference w:id="29"/>
      </w:r>
      <w:r>
        <w:rPr>
          <w:rFonts w:ascii="Times New Roman" w:hAnsi="Times New Roman" w:cs="Times New Roman"/>
          <w:sz w:val="24"/>
          <w:szCs w:val="24"/>
        </w:rPr>
        <w:t xml:space="preserve"> Arguably, as the traditional form of religion was reinstated after Akhenaten’s death, it calls into question how revolutionary it was. On the other hand, it must have been revolutionary enough for the ancient Egyptians to want to change it. However, it did have a lasting impact on some religious aspects as Dodson explains:</w:t>
      </w:r>
    </w:p>
    <w:p w14:paraId="267DE119" w14:textId="0A5A24C7" w:rsidR="00795FF5" w:rsidRDefault="007F6877" w:rsidP="007F6877">
      <w:pPr>
        <w:jc w:val="both"/>
        <w:rPr>
          <w:rFonts w:ascii="Times New Roman" w:hAnsi="Times New Roman" w:cs="Times New Roman"/>
          <w:sz w:val="24"/>
          <w:szCs w:val="24"/>
        </w:rPr>
      </w:pPr>
      <w:r w:rsidRPr="007F6877">
        <w:rPr>
          <w:rFonts w:ascii="Times New Roman" w:hAnsi="Times New Roman" w:cs="Times New Roman"/>
          <w:sz w:val="24"/>
          <w:szCs w:val="24"/>
        </w:rPr>
        <w:t>“Thus the Amarna episode clearly had a lasting effect on this key aspect of the Egyptian belief system, and is likely to have done so in other less easily detectable ways as well.”</w:t>
      </w:r>
      <w:r>
        <w:rPr>
          <w:rStyle w:val="FootnoteReference"/>
          <w:rFonts w:ascii="Times New Roman" w:hAnsi="Times New Roman" w:cs="Times New Roman"/>
          <w:sz w:val="24"/>
          <w:szCs w:val="24"/>
        </w:rPr>
        <w:footnoteReference w:id="30"/>
      </w:r>
      <w:r>
        <w:rPr>
          <w:rFonts w:ascii="Times New Roman" w:hAnsi="Times New Roman" w:cs="Times New Roman"/>
          <w:sz w:val="24"/>
          <w:szCs w:val="24"/>
        </w:rPr>
        <w:t xml:space="preserve"> </w:t>
      </w:r>
    </w:p>
    <w:p w14:paraId="27946160" w14:textId="77777777" w:rsidR="00B778E5" w:rsidRDefault="00B778E5" w:rsidP="00B778E5">
      <w:pPr>
        <w:spacing w:line="480" w:lineRule="auto"/>
        <w:rPr>
          <w:rFonts w:ascii="Times New Roman" w:hAnsi="Times New Roman" w:cs="Times New Roman"/>
          <w:sz w:val="24"/>
          <w:szCs w:val="24"/>
        </w:rPr>
      </w:pPr>
    </w:p>
    <w:p w14:paraId="098037F9" w14:textId="6EE6CEB1" w:rsidR="00F43025" w:rsidRPr="00B778E5" w:rsidRDefault="00D41458" w:rsidP="00B778E5">
      <w:pPr>
        <w:pStyle w:val="Heading1"/>
        <w:rPr>
          <w:rFonts w:ascii="Times New Roman" w:hAnsi="Times New Roman" w:cs="Times New Roman"/>
          <w:color w:val="000000" w:themeColor="text1"/>
          <w:sz w:val="24"/>
          <w:szCs w:val="24"/>
        </w:rPr>
      </w:pPr>
      <w:bookmarkStart w:id="4" w:name="_Toc513620243"/>
      <w:r w:rsidRPr="00B778E5">
        <w:rPr>
          <w:rFonts w:ascii="Times New Roman" w:hAnsi="Times New Roman" w:cs="Times New Roman"/>
          <w:color w:val="000000" w:themeColor="text1"/>
        </w:rPr>
        <w:lastRenderedPageBreak/>
        <w:t>Chapter 2- The Artistic Revolution</w:t>
      </w:r>
      <w:bookmarkEnd w:id="4"/>
    </w:p>
    <w:p w14:paraId="07AB01D0" w14:textId="46712F60" w:rsidR="003672D3" w:rsidRDefault="003672D3" w:rsidP="003672D3"/>
    <w:p w14:paraId="7F335328" w14:textId="23FAC64B" w:rsidR="003672D3" w:rsidRDefault="003672D3" w:rsidP="003672D3">
      <w:pPr>
        <w:spacing w:line="480" w:lineRule="auto"/>
        <w:rPr>
          <w:rFonts w:ascii="Times New Roman" w:hAnsi="Times New Roman" w:cs="Times New Roman"/>
          <w:sz w:val="24"/>
          <w:szCs w:val="24"/>
        </w:rPr>
      </w:pPr>
    </w:p>
    <w:p w14:paraId="6695F02E" w14:textId="7003194E" w:rsidR="003672D3" w:rsidRDefault="003672D3" w:rsidP="003672D3">
      <w:pPr>
        <w:spacing w:line="480" w:lineRule="auto"/>
        <w:rPr>
          <w:rFonts w:ascii="Times New Roman" w:hAnsi="Times New Roman" w:cs="Times New Roman"/>
          <w:sz w:val="24"/>
          <w:szCs w:val="24"/>
        </w:rPr>
      </w:pPr>
      <w:r w:rsidRPr="003672D3">
        <w:rPr>
          <w:rFonts w:ascii="Times New Roman" w:hAnsi="Times New Roman" w:cs="Times New Roman"/>
          <w:sz w:val="24"/>
          <w:szCs w:val="24"/>
        </w:rPr>
        <w:t>The style of art during this time is debatably the most revolutionary change of the Amarna Period, alongside religion. In traditional art, the pharaoh was portrayed as perfect, almost a godlike figure. For most Egyptians, artwork was sometimes the only way they would ever view their pharaoh and as he was the son of Re, it made sense for him to appear perfect, godlike and powerful; everything a great pharaoh should be. However, we need to remember that art can be deceptive and more often than not, there is always a purpose behind it. For example, these portraits might have been important for how foreign visitors viewed the pharaoh; if he was portrayed as weak, or with deformities, foreign powers might begin to assume that Egypt itself was weak. In a sense, it was almost as important for the ancient Egyptians to view their pharaoh in the same way. As with religion, the ancient Egyptians has no equivalent word for our modern conception of ‘art’. It is important to remember that the art and representations on monuments and other pieces were “first and foremost functional</w:t>
      </w:r>
      <w:r>
        <w:rPr>
          <w:rFonts w:ascii="Times New Roman" w:hAnsi="Times New Roman" w:cs="Times New Roman"/>
          <w:sz w:val="24"/>
          <w:szCs w:val="24"/>
        </w:rPr>
        <w:t>.</w:t>
      </w:r>
      <w:r w:rsidRPr="003672D3">
        <w:rPr>
          <w:rFonts w:ascii="Times New Roman" w:hAnsi="Times New Roman" w:cs="Times New Roman"/>
          <w:sz w:val="24"/>
          <w:szCs w:val="24"/>
        </w:rPr>
        <w:t>”</w:t>
      </w:r>
      <w:r>
        <w:rPr>
          <w:rStyle w:val="FootnoteReference"/>
          <w:rFonts w:ascii="Times New Roman" w:hAnsi="Times New Roman" w:cs="Times New Roman"/>
          <w:sz w:val="24"/>
          <w:szCs w:val="24"/>
        </w:rPr>
        <w:footnoteReference w:id="31"/>
      </w:r>
      <w:r>
        <w:rPr>
          <w:rFonts w:ascii="Times New Roman" w:hAnsi="Times New Roman" w:cs="Times New Roman"/>
          <w:sz w:val="24"/>
          <w:szCs w:val="24"/>
        </w:rPr>
        <w:t xml:space="preserve"> </w:t>
      </w:r>
    </w:p>
    <w:p w14:paraId="64C1294E" w14:textId="34C60A36" w:rsidR="003672D3" w:rsidRDefault="00143ED2" w:rsidP="00143ED2">
      <w:pPr>
        <w:jc w:val="both"/>
        <w:rPr>
          <w:rFonts w:ascii="Times New Roman" w:hAnsi="Times New Roman" w:cs="Times New Roman"/>
          <w:sz w:val="24"/>
          <w:szCs w:val="24"/>
        </w:rPr>
      </w:pPr>
      <w:r w:rsidRPr="00143ED2">
        <w:rPr>
          <w:rFonts w:ascii="Times New Roman" w:hAnsi="Times New Roman" w:cs="Times New Roman"/>
          <w:sz w:val="24"/>
          <w:szCs w:val="24"/>
        </w:rPr>
        <w:t>“At the start of his reign Akhenaten adhered to tradition, and his early portraits show a conventional New Kingdom monarch performing typical kingly deeds. By the end of year five, however, the king had developed a starling range of features. His narrow head, perched atop a long, thin neck, was now elongated, its length deliberately emphasized its preference for tall head-dresses plus the traditional pharaoh’s false beard. His face, in spite of its narrow almond-shaped eyes, fleshy earlobes, pendulous jaw, long nose, hollow cheeks, pronounced cheekbones and thick lips, had a curious sensuality in its knowing and secretive smile. His body had become the exact opposite of the king’s traditional manly physique. His shoulders, chest, arms and lower legs were weedy and underdeveloped and his collar bone excessively prominent, and yet he had wide hips, heavy thighs, pronounced breast, a narrow waist and a bloated stomach which bulged over his tight-fitting kilt.”</w:t>
      </w:r>
      <w:r>
        <w:rPr>
          <w:rStyle w:val="FootnoteReference"/>
          <w:rFonts w:ascii="Times New Roman" w:hAnsi="Times New Roman" w:cs="Times New Roman"/>
          <w:sz w:val="24"/>
          <w:szCs w:val="24"/>
        </w:rPr>
        <w:footnoteReference w:id="32"/>
      </w:r>
    </w:p>
    <w:p w14:paraId="2C8294CE" w14:textId="28937EDA" w:rsidR="00143ED2" w:rsidRDefault="00143ED2" w:rsidP="00143ED2">
      <w:pPr>
        <w:jc w:val="both"/>
        <w:rPr>
          <w:rFonts w:ascii="Times New Roman" w:hAnsi="Times New Roman" w:cs="Times New Roman"/>
          <w:sz w:val="24"/>
          <w:szCs w:val="24"/>
        </w:rPr>
      </w:pPr>
    </w:p>
    <w:p w14:paraId="3D7626C5" w14:textId="4A895296" w:rsidR="00143ED2" w:rsidRDefault="00143ED2" w:rsidP="00143ED2">
      <w:pPr>
        <w:spacing w:line="480" w:lineRule="auto"/>
        <w:rPr>
          <w:rFonts w:ascii="Times New Roman" w:hAnsi="Times New Roman" w:cs="Times New Roman"/>
          <w:sz w:val="24"/>
          <w:szCs w:val="24"/>
        </w:rPr>
      </w:pPr>
      <w:r w:rsidRPr="00143ED2">
        <w:rPr>
          <w:rFonts w:ascii="Times New Roman" w:hAnsi="Times New Roman" w:cs="Times New Roman"/>
          <w:sz w:val="24"/>
          <w:szCs w:val="24"/>
        </w:rPr>
        <w:t xml:space="preserve">These features have become synonymous with the Amarna Period, having never been seen before, or since. This revolutionary style was vastly different from how any Egyptian pharaoh had ever been portrayed; because of this difference in style, Egyptologists have termed this style </w:t>
      </w:r>
      <w:r w:rsidRPr="00143ED2">
        <w:rPr>
          <w:rFonts w:ascii="Times New Roman" w:hAnsi="Times New Roman" w:cs="Times New Roman"/>
          <w:sz w:val="24"/>
          <w:szCs w:val="24"/>
        </w:rPr>
        <w:lastRenderedPageBreak/>
        <w:t>as more ‘naturalistic’. However, I think this assumption is incorrect. If you look at the style, it is possible that it is to reflect a more religious trend:</w:t>
      </w:r>
    </w:p>
    <w:p w14:paraId="28468F81" w14:textId="77777777" w:rsidR="00143ED2" w:rsidRDefault="00143ED2" w:rsidP="00143ED2">
      <w:pPr>
        <w:jc w:val="both"/>
        <w:rPr>
          <w:rFonts w:ascii="Times New Roman" w:hAnsi="Times New Roman" w:cs="Times New Roman"/>
          <w:sz w:val="24"/>
          <w:szCs w:val="24"/>
        </w:rPr>
      </w:pPr>
      <w:r w:rsidRPr="00143ED2">
        <w:rPr>
          <w:rFonts w:ascii="Times New Roman" w:hAnsi="Times New Roman" w:cs="Times New Roman"/>
          <w:sz w:val="24"/>
          <w:szCs w:val="24"/>
        </w:rPr>
        <w:t>“The move from the old art style to the new seems to come as a sudden and shocking change, a swift response to the king’s abandoning of the old religious beliefs… In fact Akhenaten was not so much inventing a new style as speeding up and exaggerating a natural evolution and, just as his religious ‘revolution’ was rooted in the theology of the past, so several of Akhenaten’s innovative artistic features may be traced back to the art of his forebears.”</w:t>
      </w:r>
      <w:r>
        <w:rPr>
          <w:rStyle w:val="FootnoteReference"/>
          <w:rFonts w:ascii="Times New Roman" w:hAnsi="Times New Roman" w:cs="Times New Roman"/>
          <w:sz w:val="24"/>
          <w:szCs w:val="24"/>
        </w:rPr>
        <w:footnoteReference w:id="33"/>
      </w:r>
    </w:p>
    <w:p w14:paraId="20309B68" w14:textId="77777777" w:rsidR="00143ED2" w:rsidRDefault="00143ED2" w:rsidP="00143ED2">
      <w:pPr>
        <w:jc w:val="both"/>
        <w:rPr>
          <w:rFonts w:ascii="Times New Roman" w:hAnsi="Times New Roman" w:cs="Times New Roman"/>
          <w:sz w:val="24"/>
          <w:szCs w:val="24"/>
        </w:rPr>
      </w:pPr>
    </w:p>
    <w:p w14:paraId="4AC49391" w14:textId="77777777" w:rsidR="00143ED2" w:rsidRDefault="00143ED2" w:rsidP="00143ED2">
      <w:pPr>
        <w:spacing w:line="480" w:lineRule="auto"/>
        <w:rPr>
          <w:rFonts w:ascii="Times New Roman" w:hAnsi="Times New Roman" w:cs="Times New Roman"/>
          <w:sz w:val="24"/>
          <w:szCs w:val="24"/>
        </w:rPr>
      </w:pPr>
      <w:r w:rsidRPr="00143ED2">
        <w:rPr>
          <w:rFonts w:ascii="Times New Roman" w:hAnsi="Times New Roman" w:cs="Times New Roman"/>
          <w:sz w:val="24"/>
          <w:szCs w:val="24"/>
        </w:rPr>
        <w:t>As you can see in Figure 1, this type of art could be characterised as being, in my opinion, more elegant, especially with the particular usage of the Nubian hairstyle that is so easily recognisable. Perhaps this new style was down to influences from abroad? As Tyldesley explains</w:t>
      </w:r>
      <w:r>
        <w:rPr>
          <w:rFonts w:ascii="Times New Roman" w:hAnsi="Times New Roman" w:cs="Times New Roman"/>
          <w:sz w:val="24"/>
          <w:szCs w:val="24"/>
        </w:rPr>
        <w:t>:</w:t>
      </w:r>
    </w:p>
    <w:p w14:paraId="5FDF5EEB" w14:textId="77777777" w:rsidR="00143ED2" w:rsidRDefault="00143ED2" w:rsidP="00143ED2">
      <w:pPr>
        <w:jc w:val="both"/>
        <w:rPr>
          <w:rFonts w:ascii="Times New Roman" w:hAnsi="Times New Roman" w:cs="Times New Roman"/>
          <w:sz w:val="24"/>
          <w:szCs w:val="24"/>
        </w:rPr>
      </w:pPr>
      <w:r w:rsidRPr="00143ED2">
        <w:rPr>
          <w:rFonts w:ascii="Times New Roman" w:hAnsi="Times New Roman" w:cs="Times New Roman"/>
          <w:sz w:val="24"/>
          <w:szCs w:val="24"/>
        </w:rPr>
        <w:t xml:space="preserve"> “Egypt’s increased internationalism during the Eighteenth dynasty had already allowed foreign influences to infiltrate the hitherto insular arts and crafts. Gradually the strict artistic conventions of the Old and Middle Kingdom had started to relax and informal poses, flowing draperies, modern clothing and hairstyles, and pierced ears had already made their way into the repertoire.”</w:t>
      </w:r>
      <w:r>
        <w:rPr>
          <w:rStyle w:val="FootnoteReference"/>
          <w:rFonts w:ascii="Times New Roman" w:hAnsi="Times New Roman" w:cs="Times New Roman"/>
          <w:sz w:val="24"/>
          <w:szCs w:val="24"/>
        </w:rPr>
        <w:footnoteReference w:id="34"/>
      </w:r>
      <w:r w:rsidRPr="00143ED2">
        <w:rPr>
          <w:rFonts w:ascii="Times New Roman" w:hAnsi="Times New Roman" w:cs="Times New Roman"/>
          <w:sz w:val="24"/>
          <w:szCs w:val="24"/>
        </w:rPr>
        <w:t xml:space="preserve"> </w:t>
      </w:r>
    </w:p>
    <w:p w14:paraId="72DA161E" w14:textId="77777777" w:rsidR="00143ED2" w:rsidRDefault="00143ED2" w:rsidP="00143ED2">
      <w:pPr>
        <w:jc w:val="both"/>
        <w:rPr>
          <w:rFonts w:ascii="Times New Roman" w:hAnsi="Times New Roman" w:cs="Times New Roman"/>
          <w:sz w:val="24"/>
          <w:szCs w:val="24"/>
        </w:rPr>
      </w:pPr>
    </w:p>
    <w:p w14:paraId="39025796" w14:textId="77777777" w:rsidR="00143ED2" w:rsidRDefault="00143ED2" w:rsidP="00143ED2">
      <w:pPr>
        <w:spacing w:line="480" w:lineRule="auto"/>
        <w:rPr>
          <w:rFonts w:ascii="Times New Roman" w:hAnsi="Times New Roman" w:cs="Times New Roman"/>
          <w:sz w:val="24"/>
          <w:szCs w:val="24"/>
        </w:rPr>
      </w:pPr>
      <w:r w:rsidRPr="00143ED2">
        <w:rPr>
          <w:rFonts w:ascii="Times New Roman" w:hAnsi="Times New Roman" w:cs="Times New Roman"/>
          <w:sz w:val="24"/>
          <w:szCs w:val="24"/>
        </w:rPr>
        <w:t>Some scholars have even gone as far as to say that this new art style was so drastically different because they were an accurate portrayal of Akhenaten, as he was distorted through an illness. However, not only is this conjecture and highly improbable, but I feel it is depreciating and ignoring the revolutionary and religious nature of the changes.</w:t>
      </w:r>
      <w:r>
        <w:rPr>
          <w:rFonts w:ascii="Times New Roman" w:hAnsi="Times New Roman" w:cs="Times New Roman"/>
          <w:sz w:val="24"/>
          <w:szCs w:val="24"/>
        </w:rPr>
        <w:t xml:space="preserve"> </w:t>
      </w:r>
    </w:p>
    <w:p w14:paraId="1A618E19" w14:textId="77777777" w:rsidR="00143ED2" w:rsidRDefault="00143ED2" w:rsidP="00143ED2">
      <w:pPr>
        <w:spacing w:line="480" w:lineRule="auto"/>
        <w:rPr>
          <w:rFonts w:ascii="Times New Roman" w:hAnsi="Times New Roman" w:cs="Times New Roman"/>
          <w:sz w:val="24"/>
          <w:szCs w:val="24"/>
        </w:rPr>
      </w:pPr>
    </w:p>
    <w:p w14:paraId="5E15A749" w14:textId="77777777" w:rsidR="00143ED2" w:rsidRDefault="00143ED2" w:rsidP="00143ED2">
      <w:pPr>
        <w:spacing w:line="480" w:lineRule="auto"/>
        <w:rPr>
          <w:rFonts w:ascii="Times New Roman" w:hAnsi="Times New Roman" w:cs="Times New Roman"/>
          <w:sz w:val="24"/>
          <w:szCs w:val="24"/>
        </w:rPr>
      </w:pPr>
      <w:r w:rsidRPr="00143ED2">
        <w:rPr>
          <w:rFonts w:ascii="Times New Roman" w:hAnsi="Times New Roman" w:cs="Times New Roman"/>
          <w:sz w:val="24"/>
          <w:szCs w:val="24"/>
        </w:rPr>
        <w:t>According to Tyldesley</w:t>
      </w:r>
      <w:r>
        <w:rPr>
          <w:rFonts w:ascii="Times New Roman" w:hAnsi="Times New Roman" w:cs="Times New Roman"/>
          <w:sz w:val="24"/>
          <w:szCs w:val="24"/>
        </w:rPr>
        <w:t xml:space="preserve">: </w:t>
      </w:r>
    </w:p>
    <w:p w14:paraId="6E516000" w14:textId="77777777" w:rsidR="002569B4" w:rsidRDefault="00143ED2" w:rsidP="00143ED2">
      <w:pPr>
        <w:jc w:val="both"/>
        <w:rPr>
          <w:rFonts w:ascii="Times New Roman" w:hAnsi="Times New Roman" w:cs="Times New Roman"/>
          <w:sz w:val="24"/>
          <w:szCs w:val="24"/>
        </w:rPr>
      </w:pPr>
      <w:r w:rsidRPr="00143ED2">
        <w:rPr>
          <w:rFonts w:ascii="Times New Roman" w:hAnsi="Times New Roman" w:cs="Times New Roman"/>
          <w:sz w:val="24"/>
          <w:szCs w:val="24"/>
        </w:rPr>
        <w:t>“the art of his (Akhenaten’s) reign, with its increased scenes of movement and expression plus its emphasis on informal scenes from daily life and nature. Is now widely recognised as one of the high points of Egyptian culture, yielding what Egyptian art expert Cyril Aldred has considered to be ‘more than its proper quota of masterpieces’.”</w:t>
      </w:r>
      <w:r>
        <w:rPr>
          <w:rStyle w:val="FootnoteReference"/>
          <w:rFonts w:ascii="Times New Roman" w:hAnsi="Times New Roman" w:cs="Times New Roman"/>
          <w:sz w:val="24"/>
          <w:szCs w:val="24"/>
        </w:rPr>
        <w:footnoteReference w:id="35"/>
      </w:r>
    </w:p>
    <w:p w14:paraId="2ECB7A0D" w14:textId="77777777" w:rsidR="002569B4" w:rsidRDefault="002569B4" w:rsidP="00143ED2">
      <w:pPr>
        <w:jc w:val="both"/>
        <w:rPr>
          <w:rFonts w:ascii="Times New Roman" w:hAnsi="Times New Roman" w:cs="Times New Roman"/>
          <w:sz w:val="24"/>
          <w:szCs w:val="24"/>
        </w:rPr>
      </w:pPr>
    </w:p>
    <w:p w14:paraId="6AF0D6D4" w14:textId="77777777" w:rsidR="002569B4" w:rsidRDefault="002569B4" w:rsidP="002569B4">
      <w:pPr>
        <w:spacing w:line="480" w:lineRule="auto"/>
        <w:rPr>
          <w:rFonts w:ascii="Times New Roman" w:hAnsi="Times New Roman" w:cs="Times New Roman"/>
          <w:sz w:val="24"/>
          <w:szCs w:val="24"/>
        </w:rPr>
      </w:pPr>
      <w:r w:rsidRPr="002569B4">
        <w:rPr>
          <w:rFonts w:ascii="Times New Roman" w:hAnsi="Times New Roman" w:cs="Times New Roman"/>
          <w:sz w:val="24"/>
          <w:szCs w:val="24"/>
        </w:rPr>
        <w:t>This is especially the case of religious illustrations. The depiction of the Aten is one of the most important aspects of Amarna art, alongside the portraitures of the royal family.</w:t>
      </w:r>
      <w:r>
        <w:rPr>
          <w:rFonts w:ascii="Times New Roman" w:hAnsi="Times New Roman" w:cs="Times New Roman"/>
          <w:sz w:val="24"/>
          <w:szCs w:val="24"/>
        </w:rPr>
        <w:t xml:space="preserve"> </w:t>
      </w:r>
    </w:p>
    <w:p w14:paraId="78D519FD" w14:textId="77777777" w:rsidR="002569B4" w:rsidRDefault="002569B4" w:rsidP="002569B4">
      <w:pPr>
        <w:jc w:val="both"/>
        <w:rPr>
          <w:rFonts w:ascii="Times New Roman" w:hAnsi="Times New Roman" w:cs="Times New Roman"/>
          <w:sz w:val="24"/>
          <w:szCs w:val="24"/>
        </w:rPr>
      </w:pPr>
      <w:r w:rsidRPr="002569B4">
        <w:rPr>
          <w:rFonts w:ascii="Times New Roman" w:hAnsi="Times New Roman" w:cs="Times New Roman"/>
          <w:sz w:val="24"/>
          <w:szCs w:val="24"/>
        </w:rPr>
        <w:t xml:space="preserve">“The style of representing the Aten in Egyptian art in the form of the sun-disc easily leads to the interpretation of the Aten as simply as a deified form of the celestial body per se. However, its nature is, in fact, more a personification of, and means of conveying, the creative power of light </w:t>
      </w:r>
      <w:r w:rsidRPr="002569B4">
        <w:rPr>
          <w:rFonts w:ascii="Times New Roman" w:hAnsi="Times New Roman" w:cs="Times New Roman"/>
          <w:sz w:val="24"/>
          <w:szCs w:val="24"/>
        </w:rPr>
        <w:lastRenderedPageBreak/>
        <w:t>upon which all living beings on earth depend. Against this background, the religious teachings about the Aten may be better understood as a theology of (sun)light.”</w:t>
      </w:r>
      <w:r>
        <w:rPr>
          <w:rStyle w:val="FootnoteReference"/>
          <w:rFonts w:ascii="Times New Roman" w:hAnsi="Times New Roman" w:cs="Times New Roman"/>
          <w:sz w:val="24"/>
          <w:szCs w:val="24"/>
        </w:rPr>
        <w:footnoteReference w:id="36"/>
      </w:r>
      <w:r w:rsidR="00143ED2" w:rsidRPr="00143ED2">
        <w:rPr>
          <w:rFonts w:ascii="Times New Roman" w:hAnsi="Times New Roman" w:cs="Times New Roman"/>
          <w:sz w:val="24"/>
          <w:szCs w:val="24"/>
        </w:rPr>
        <w:t xml:space="preserve"> </w:t>
      </w:r>
    </w:p>
    <w:p w14:paraId="61C1D35B" w14:textId="77777777" w:rsidR="002569B4" w:rsidRDefault="002569B4" w:rsidP="002569B4">
      <w:pPr>
        <w:jc w:val="both"/>
        <w:rPr>
          <w:rFonts w:ascii="Times New Roman" w:hAnsi="Times New Roman" w:cs="Times New Roman"/>
          <w:sz w:val="24"/>
          <w:szCs w:val="24"/>
        </w:rPr>
      </w:pPr>
    </w:p>
    <w:p w14:paraId="11322B86" w14:textId="48AD212A" w:rsidR="00143ED2" w:rsidRDefault="00143ED2" w:rsidP="002569B4">
      <w:pPr>
        <w:spacing w:line="480" w:lineRule="auto"/>
        <w:rPr>
          <w:rFonts w:ascii="Times New Roman" w:hAnsi="Times New Roman" w:cs="Times New Roman"/>
          <w:sz w:val="24"/>
          <w:szCs w:val="24"/>
        </w:rPr>
      </w:pPr>
      <w:r w:rsidRPr="00143ED2">
        <w:rPr>
          <w:rFonts w:ascii="Times New Roman" w:hAnsi="Times New Roman" w:cs="Times New Roman"/>
          <w:sz w:val="24"/>
          <w:szCs w:val="24"/>
        </w:rPr>
        <w:t xml:space="preserve"> </w:t>
      </w:r>
      <w:r w:rsidR="002569B4" w:rsidRPr="002569B4">
        <w:rPr>
          <w:rFonts w:ascii="Times New Roman" w:hAnsi="Times New Roman" w:cs="Times New Roman"/>
          <w:sz w:val="24"/>
          <w:szCs w:val="24"/>
        </w:rPr>
        <w:t>Originally depicted as a disk in the sky, the image of the Aten evolved during the Amarna Period until it was depicted with rays ending in hands, normally holding ankhs, the symbol of life. Normally, the life was being given to Akhenaten and Nefertiti. This divine triad was at the heart of Atenism, and the religious art of this time reflects this attribute:</w:t>
      </w:r>
    </w:p>
    <w:p w14:paraId="34DE34C1" w14:textId="02E72F16" w:rsidR="002569B4" w:rsidRDefault="002569B4" w:rsidP="002569B4">
      <w:pPr>
        <w:jc w:val="both"/>
        <w:rPr>
          <w:rFonts w:ascii="Times New Roman" w:hAnsi="Times New Roman" w:cs="Times New Roman"/>
          <w:sz w:val="24"/>
          <w:szCs w:val="24"/>
        </w:rPr>
      </w:pPr>
      <w:r w:rsidRPr="002569B4">
        <w:rPr>
          <w:rFonts w:ascii="Times New Roman" w:hAnsi="Times New Roman" w:cs="Times New Roman"/>
          <w:sz w:val="24"/>
          <w:szCs w:val="24"/>
        </w:rPr>
        <w:t>“the king and queen prayed to the god, and the people prayed to the triad. It was only in this triad that the cosmic life force of the sun manifested itself as a god in act and was accessible to the prayerful devotion of humankind.”</w:t>
      </w:r>
      <w:r>
        <w:rPr>
          <w:rStyle w:val="FootnoteReference"/>
          <w:rFonts w:ascii="Times New Roman" w:hAnsi="Times New Roman" w:cs="Times New Roman"/>
          <w:sz w:val="24"/>
          <w:szCs w:val="24"/>
        </w:rPr>
        <w:footnoteReference w:id="37"/>
      </w:r>
    </w:p>
    <w:p w14:paraId="7A060354" w14:textId="53BAB164" w:rsidR="002569B4" w:rsidRDefault="002569B4" w:rsidP="002569B4">
      <w:pPr>
        <w:jc w:val="both"/>
        <w:rPr>
          <w:rFonts w:ascii="Times New Roman" w:hAnsi="Times New Roman" w:cs="Times New Roman"/>
          <w:sz w:val="24"/>
          <w:szCs w:val="24"/>
        </w:rPr>
      </w:pPr>
    </w:p>
    <w:p w14:paraId="3C342E42" w14:textId="006A8271" w:rsidR="002569B4" w:rsidRDefault="00BD7110" w:rsidP="00BD7110">
      <w:pPr>
        <w:spacing w:line="480" w:lineRule="auto"/>
        <w:rPr>
          <w:rFonts w:ascii="Times New Roman" w:hAnsi="Times New Roman" w:cs="Times New Roman"/>
          <w:sz w:val="24"/>
          <w:szCs w:val="24"/>
        </w:rPr>
      </w:pPr>
      <w:r w:rsidRPr="00BD7110">
        <w:rPr>
          <w:rFonts w:ascii="Times New Roman" w:hAnsi="Times New Roman" w:cs="Times New Roman"/>
          <w:sz w:val="24"/>
          <w:szCs w:val="24"/>
        </w:rPr>
        <w:t>The depictions of Akhenaten and Nefertiti’s daughters also allude to the links to religion. As you can see in Figure 5 and other sculptures, the princesses are pictured with elongated skulls. Again, this was often said to be because of the illness they inherited from their father. However, more recently another theory has been put forward:</w:t>
      </w:r>
    </w:p>
    <w:p w14:paraId="78F7F64D" w14:textId="77777777" w:rsidR="00BD7110" w:rsidRDefault="00BD7110" w:rsidP="00BD7110">
      <w:pPr>
        <w:jc w:val="both"/>
        <w:rPr>
          <w:rFonts w:ascii="Times New Roman" w:hAnsi="Times New Roman" w:cs="Times New Roman"/>
          <w:sz w:val="24"/>
          <w:szCs w:val="24"/>
        </w:rPr>
      </w:pPr>
      <w:r w:rsidRPr="00BD7110">
        <w:rPr>
          <w:rFonts w:ascii="Times New Roman" w:hAnsi="Times New Roman" w:cs="Times New Roman"/>
          <w:sz w:val="24"/>
          <w:szCs w:val="24"/>
        </w:rPr>
        <w:t>“the simplest explanation is also the most reasonable; the heads are not portraits but have a symbolic meaning, for, viewed from the back, each skull has been carved in the shape of an egg. Thus the skulls link the princesses with creation, which according to some ancient Egyptian theologies came about when a divine bird hatched from an egg.”</w:t>
      </w:r>
      <w:r>
        <w:rPr>
          <w:rStyle w:val="FootnoteReference"/>
          <w:rFonts w:ascii="Times New Roman" w:hAnsi="Times New Roman" w:cs="Times New Roman"/>
          <w:sz w:val="24"/>
          <w:szCs w:val="24"/>
        </w:rPr>
        <w:footnoteReference w:id="38"/>
      </w:r>
      <w:r w:rsidRPr="00BD7110">
        <w:rPr>
          <w:rFonts w:ascii="Times New Roman" w:hAnsi="Times New Roman" w:cs="Times New Roman"/>
          <w:sz w:val="24"/>
          <w:szCs w:val="24"/>
        </w:rPr>
        <w:t xml:space="preserve"> </w:t>
      </w:r>
    </w:p>
    <w:p w14:paraId="29891D8C" w14:textId="77777777" w:rsidR="00BD7110" w:rsidRDefault="00BD7110" w:rsidP="00BD7110">
      <w:pPr>
        <w:jc w:val="both"/>
        <w:rPr>
          <w:rFonts w:ascii="Times New Roman" w:hAnsi="Times New Roman" w:cs="Times New Roman"/>
          <w:sz w:val="24"/>
          <w:szCs w:val="24"/>
        </w:rPr>
      </w:pPr>
    </w:p>
    <w:p w14:paraId="7E08B3E1" w14:textId="77777777" w:rsidR="0008579D" w:rsidRDefault="0008579D" w:rsidP="00BD7110">
      <w:pPr>
        <w:spacing w:line="480" w:lineRule="auto"/>
        <w:rPr>
          <w:rFonts w:ascii="Times New Roman" w:hAnsi="Times New Roman" w:cs="Times New Roman"/>
          <w:sz w:val="24"/>
          <w:szCs w:val="24"/>
        </w:rPr>
      </w:pPr>
    </w:p>
    <w:p w14:paraId="111ADC61" w14:textId="437721D0" w:rsidR="00BD7110" w:rsidRDefault="0008579D" w:rsidP="00BD7110">
      <w:pPr>
        <w:spacing w:line="480" w:lineRule="auto"/>
        <w:rPr>
          <w:rFonts w:ascii="Times New Roman" w:hAnsi="Times New Roman" w:cs="Times New Roman"/>
          <w:sz w:val="24"/>
          <w:szCs w:val="24"/>
        </w:rPr>
      </w:pPr>
      <w:r w:rsidRPr="0008579D">
        <w:rPr>
          <w:rFonts w:ascii="Times New Roman" w:hAnsi="Times New Roman" w:cs="Times New Roman"/>
          <w:sz w:val="24"/>
          <w:szCs w:val="24"/>
        </w:rPr>
        <w:t xml:space="preserve">Another type of religious art are funerary scenes found in tombs. In other periods, tombs, especially elite or royal tombs, were richly decorated in scenes showing the afterlife, and various spells from the Book of the Dead. As discussed in the previous chapter, there was a decisive change in funerary beliefs during the Amarna Period, and this meant there were now no depictions of the afterlife and spells from the Book of the Dead. However, there was still art in tombs; it was just in a different style. For example, in the tombs of Huya and Meryre, we have a depiction of the royal couple receiving tributes from several nationalities; this will be discussed </w:t>
      </w:r>
      <w:r w:rsidRPr="0008579D">
        <w:rPr>
          <w:rFonts w:ascii="Times New Roman" w:hAnsi="Times New Roman" w:cs="Times New Roman"/>
          <w:sz w:val="24"/>
          <w:szCs w:val="24"/>
        </w:rPr>
        <w:lastRenderedPageBreak/>
        <w:t>further in the next chapter.</w:t>
      </w:r>
      <w:r>
        <w:rPr>
          <w:rStyle w:val="FootnoteReference"/>
          <w:rFonts w:ascii="Times New Roman" w:hAnsi="Times New Roman" w:cs="Times New Roman"/>
          <w:sz w:val="24"/>
          <w:szCs w:val="24"/>
        </w:rPr>
        <w:footnoteReference w:id="39"/>
      </w:r>
      <w:r>
        <w:rPr>
          <w:rFonts w:ascii="Times New Roman" w:hAnsi="Times New Roman" w:cs="Times New Roman"/>
          <w:sz w:val="24"/>
          <w:szCs w:val="24"/>
        </w:rPr>
        <w:t xml:space="preserve"> </w:t>
      </w:r>
      <w:r w:rsidRPr="0008579D">
        <w:rPr>
          <w:rFonts w:ascii="Times New Roman" w:hAnsi="Times New Roman" w:cs="Times New Roman"/>
          <w:sz w:val="24"/>
          <w:szCs w:val="24"/>
        </w:rPr>
        <w:t>In the tomb of Ay at Amarna, we are presented with the complete and beautifully written Great Hymn to the Aten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0"/>
      </w:r>
      <w:r>
        <w:rPr>
          <w:rFonts w:ascii="Times New Roman" w:hAnsi="Times New Roman" w:cs="Times New Roman"/>
          <w:sz w:val="24"/>
          <w:szCs w:val="24"/>
        </w:rPr>
        <w:t xml:space="preserve"> </w:t>
      </w:r>
      <w:r w:rsidR="00204D8E" w:rsidRPr="00204D8E">
        <w:rPr>
          <w:rFonts w:ascii="Times New Roman" w:hAnsi="Times New Roman" w:cs="Times New Roman"/>
          <w:sz w:val="24"/>
          <w:szCs w:val="24"/>
        </w:rPr>
        <w:t>In conclusion</w:t>
      </w:r>
      <w:r w:rsidR="00204D8E">
        <w:rPr>
          <w:rFonts w:ascii="Times New Roman" w:hAnsi="Times New Roman" w:cs="Times New Roman"/>
          <w:sz w:val="24"/>
          <w:szCs w:val="24"/>
        </w:rPr>
        <w:t>,</w:t>
      </w:r>
    </w:p>
    <w:p w14:paraId="4C5902ED" w14:textId="6568490B" w:rsidR="00204D8E" w:rsidRDefault="00A75155" w:rsidP="00204D8E">
      <w:pPr>
        <w:jc w:val="both"/>
        <w:rPr>
          <w:rFonts w:ascii="Times New Roman" w:hAnsi="Times New Roman" w:cs="Times New Roman"/>
          <w:sz w:val="24"/>
          <w:szCs w:val="24"/>
        </w:rPr>
      </w:pPr>
      <w:r w:rsidRPr="00A75155">
        <w:rPr>
          <w:rFonts w:ascii="Times New Roman" w:hAnsi="Times New Roman" w:cs="Times New Roman"/>
          <w:sz w:val="24"/>
          <w:szCs w:val="24"/>
        </w:rPr>
        <w:t>“depictions of the dead are few and far between in the Amarna tombs. Instead we are presented with scenes of Akhenaten, Nefertiti and their children- the living symbols of royal fertility- worshipping the Aten, visiting the temple and generally going about their daily routine, to the extent that the tomb becomes almost a shrine to the activities and achievements of the royal family. We see officials raising their arms to praise the royal couple, while the ordinary people bow low before the god’s representatives on earth. Tomb owners, forbidden direct contact with their god, were forced to send their prayers via either Akhenaten or Nefertiti.”</w:t>
      </w:r>
      <w:r>
        <w:rPr>
          <w:rStyle w:val="FootnoteReference"/>
          <w:rFonts w:ascii="Times New Roman" w:hAnsi="Times New Roman" w:cs="Times New Roman"/>
          <w:sz w:val="24"/>
          <w:szCs w:val="24"/>
        </w:rPr>
        <w:footnoteReference w:id="41"/>
      </w:r>
    </w:p>
    <w:p w14:paraId="6CC723B4" w14:textId="2EB1A222" w:rsidR="00A75155" w:rsidRDefault="00A75155" w:rsidP="00204D8E">
      <w:pPr>
        <w:jc w:val="both"/>
        <w:rPr>
          <w:rFonts w:ascii="Times New Roman" w:hAnsi="Times New Roman" w:cs="Times New Roman"/>
          <w:sz w:val="24"/>
          <w:szCs w:val="24"/>
        </w:rPr>
      </w:pPr>
    </w:p>
    <w:p w14:paraId="6FA5C1FF" w14:textId="1D635163" w:rsidR="00A75155" w:rsidRDefault="00A75155" w:rsidP="00A75155">
      <w:pPr>
        <w:spacing w:line="480" w:lineRule="auto"/>
        <w:rPr>
          <w:rFonts w:ascii="Times New Roman" w:hAnsi="Times New Roman" w:cs="Times New Roman"/>
          <w:sz w:val="24"/>
          <w:szCs w:val="24"/>
        </w:rPr>
      </w:pPr>
      <w:r w:rsidRPr="00A75155">
        <w:rPr>
          <w:rFonts w:ascii="Times New Roman" w:hAnsi="Times New Roman" w:cs="Times New Roman"/>
          <w:sz w:val="24"/>
          <w:szCs w:val="24"/>
        </w:rPr>
        <w:t>Therefore, due to these factors, it seems to be quite conclusive that Akhenaten’s artistic revolution went hand in hand with his religious revolution.</w:t>
      </w:r>
    </w:p>
    <w:p w14:paraId="0635FF96" w14:textId="609ACEF1" w:rsidR="00A75155" w:rsidRDefault="00A75155" w:rsidP="00A75155">
      <w:pPr>
        <w:spacing w:line="480" w:lineRule="auto"/>
        <w:rPr>
          <w:rFonts w:ascii="Times New Roman" w:hAnsi="Times New Roman" w:cs="Times New Roman"/>
          <w:sz w:val="24"/>
          <w:szCs w:val="24"/>
        </w:rPr>
      </w:pPr>
    </w:p>
    <w:p w14:paraId="2E01EF42" w14:textId="5B7F58EF" w:rsidR="00A75155" w:rsidRDefault="00CD73D6" w:rsidP="00A75155">
      <w:pPr>
        <w:spacing w:line="480" w:lineRule="auto"/>
        <w:rPr>
          <w:rFonts w:ascii="Times New Roman" w:hAnsi="Times New Roman" w:cs="Times New Roman"/>
          <w:sz w:val="24"/>
          <w:szCs w:val="24"/>
        </w:rPr>
      </w:pPr>
      <w:r w:rsidRPr="00CD73D6">
        <w:rPr>
          <w:rFonts w:ascii="Times New Roman" w:hAnsi="Times New Roman" w:cs="Times New Roman"/>
          <w:sz w:val="24"/>
          <w:szCs w:val="24"/>
        </w:rPr>
        <w:t>Family portraiture also changed during the Amarna Period</w:t>
      </w:r>
      <w:r>
        <w:rPr>
          <w:rFonts w:ascii="Times New Roman" w:hAnsi="Times New Roman" w:cs="Times New Roman"/>
          <w:sz w:val="24"/>
          <w:szCs w:val="24"/>
        </w:rPr>
        <w:t>:</w:t>
      </w:r>
    </w:p>
    <w:p w14:paraId="1D050904" w14:textId="77777777" w:rsidR="00CD73D6" w:rsidRDefault="00CD73D6" w:rsidP="00CD73D6">
      <w:pPr>
        <w:jc w:val="both"/>
        <w:rPr>
          <w:rFonts w:ascii="Times New Roman" w:hAnsi="Times New Roman" w:cs="Times New Roman"/>
          <w:sz w:val="24"/>
          <w:szCs w:val="24"/>
        </w:rPr>
      </w:pPr>
      <w:r w:rsidRPr="00CD73D6">
        <w:rPr>
          <w:rFonts w:ascii="Times New Roman" w:hAnsi="Times New Roman" w:cs="Times New Roman"/>
          <w:sz w:val="24"/>
          <w:szCs w:val="24"/>
        </w:rPr>
        <w:t>“also new in the pictorial repertoire of the pharaohs were glimpses into family life- daughters playing with each other or the royal couple with three of their daughters sitting under the rays of the Aten sun-disc.”</w:t>
      </w:r>
      <w:r>
        <w:rPr>
          <w:rStyle w:val="FootnoteReference"/>
          <w:rFonts w:ascii="Times New Roman" w:hAnsi="Times New Roman" w:cs="Times New Roman"/>
          <w:sz w:val="24"/>
          <w:szCs w:val="24"/>
        </w:rPr>
        <w:footnoteReference w:id="42"/>
      </w:r>
      <w:r w:rsidRPr="00CD73D6">
        <w:rPr>
          <w:rFonts w:ascii="Times New Roman" w:hAnsi="Times New Roman" w:cs="Times New Roman"/>
          <w:sz w:val="24"/>
          <w:szCs w:val="24"/>
        </w:rPr>
        <w:t xml:space="preserve"> </w:t>
      </w:r>
    </w:p>
    <w:p w14:paraId="21DD3281" w14:textId="77777777" w:rsidR="00CD73D6" w:rsidRDefault="00CD73D6" w:rsidP="00CD73D6">
      <w:pPr>
        <w:jc w:val="both"/>
        <w:rPr>
          <w:rFonts w:ascii="Times New Roman" w:hAnsi="Times New Roman" w:cs="Times New Roman"/>
          <w:sz w:val="24"/>
          <w:szCs w:val="24"/>
        </w:rPr>
      </w:pPr>
    </w:p>
    <w:p w14:paraId="01D57B66" w14:textId="77777777" w:rsidR="00CD73D6" w:rsidRDefault="00CD73D6" w:rsidP="00CD73D6">
      <w:pPr>
        <w:spacing w:line="480" w:lineRule="auto"/>
        <w:rPr>
          <w:rFonts w:ascii="Times New Roman" w:hAnsi="Times New Roman" w:cs="Times New Roman"/>
          <w:sz w:val="24"/>
          <w:szCs w:val="24"/>
        </w:rPr>
      </w:pPr>
      <w:r w:rsidRPr="00CD73D6">
        <w:rPr>
          <w:rFonts w:ascii="Times New Roman" w:hAnsi="Times New Roman" w:cs="Times New Roman"/>
          <w:sz w:val="24"/>
          <w:szCs w:val="24"/>
        </w:rPr>
        <w:t xml:space="preserve">This style was a lot more relaxed than previous portraiture had been. I believe that images like this can reveal much about Akhenaten and his intentions during this time. It seems to me that by depicting himself and his family in this manner, it was Akhenaten’s intention to elevate their status to those of divine beings, whilst still seeming human to their subjects. In Figure 3, we can see a lovely scene of the royal family inscribed on a house altar. Akhenaten and Nefertiti are shown relaxing under the rays of the Aten playing with three of their daughters. Akhenaten is kissing one of the daughters, one is laying on Nefertiti’s lap and the other is playing with her earrings. Scenes like this are one of the main reasons I find the Amarna Period so interesting. Even when you look at all the factors contributing to the change in art at this time, it is pieces like this that remind us that this was once a real family, and there is always the slightest </w:t>
      </w:r>
      <w:r w:rsidRPr="00CD73D6">
        <w:rPr>
          <w:rFonts w:ascii="Times New Roman" w:hAnsi="Times New Roman" w:cs="Times New Roman"/>
          <w:sz w:val="24"/>
          <w:szCs w:val="24"/>
        </w:rPr>
        <w:lastRenderedPageBreak/>
        <w:t>possibility that they perhaps wanted to preserve their lives together, but share those moments with members of the elite. As Tyldesley examines</w:t>
      </w:r>
      <w:r>
        <w:rPr>
          <w:rFonts w:ascii="Times New Roman" w:hAnsi="Times New Roman" w:cs="Times New Roman"/>
          <w:sz w:val="24"/>
          <w:szCs w:val="24"/>
        </w:rPr>
        <w:t>:</w:t>
      </w:r>
    </w:p>
    <w:p w14:paraId="39121D43" w14:textId="77777777" w:rsidR="00CD73D6" w:rsidRDefault="00CD73D6" w:rsidP="00CD73D6">
      <w:pPr>
        <w:jc w:val="both"/>
        <w:rPr>
          <w:rFonts w:ascii="Times New Roman" w:hAnsi="Times New Roman" w:cs="Times New Roman"/>
          <w:sz w:val="24"/>
          <w:szCs w:val="24"/>
        </w:rPr>
      </w:pPr>
      <w:r w:rsidRPr="00CD73D6">
        <w:rPr>
          <w:rFonts w:ascii="Times New Roman" w:hAnsi="Times New Roman" w:cs="Times New Roman"/>
          <w:sz w:val="24"/>
          <w:szCs w:val="24"/>
        </w:rPr>
        <w:t>“more intimate scenes of royal family life were reserved for the stelae recovered from within the homes of prominent courtiers, where they almost certainly served as domestic shrines, a scaled- down version of the garden chapels. In the absence of the traditional myths and legends those stelae showed the royal couple and their offspring relaxing in the royal pavilion under the protection of the Aten’s rays, and an accompanying inscription was usually provided to stress the subject’s loyalty to the king.</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3"/>
      </w:r>
    </w:p>
    <w:p w14:paraId="28B63CB5" w14:textId="77777777" w:rsidR="00CD73D6" w:rsidRDefault="00CD73D6" w:rsidP="00CD73D6">
      <w:pPr>
        <w:jc w:val="both"/>
        <w:rPr>
          <w:rFonts w:ascii="Times New Roman" w:hAnsi="Times New Roman" w:cs="Times New Roman"/>
          <w:sz w:val="24"/>
          <w:szCs w:val="24"/>
        </w:rPr>
      </w:pPr>
    </w:p>
    <w:p w14:paraId="3F83C129" w14:textId="0A988203" w:rsidR="00CD73D6" w:rsidRDefault="00CD73D6" w:rsidP="00CD73D6">
      <w:pPr>
        <w:spacing w:line="480" w:lineRule="auto"/>
        <w:rPr>
          <w:rFonts w:ascii="Times New Roman" w:hAnsi="Times New Roman" w:cs="Times New Roman"/>
          <w:sz w:val="24"/>
          <w:szCs w:val="24"/>
        </w:rPr>
      </w:pPr>
      <w:r w:rsidRPr="00CD73D6">
        <w:rPr>
          <w:rFonts w:ascii="Times New Roman" w:hAnsi="Times New Roman" w:cs="Times New Roman"/>
          <w:sz w:val="24"/>
          <w:szCs w:val="24"/>
        </w:rPr>
        <w:t>In a tomb at Amarna, we are shown perhaps one of the most moving and emotional scenes in Egyptian art. The royal family is gathered around the body of a dead princess named as Meketaten. It is unclear why she died, although there is a wet-nurse in the background holding a baby, so an assumption has been made that she possibly died in childbirth. However, there is evidence of a plague during this time, so it is not improbable that this was the cause of her death. The most sorrowful part of the scene is that the family are obviously mourning. The princesses’ sisters and Akhenaten have their hands upraised in grief, whilst Nefertiti is holding onto her husband.</w:t>
      </w:r>
      <w:r>
        <w:rPr>
          <w:rStyle w:val="FootnoteReference"/>
          <w:rFonts w:ascii="Times New Roman" w:hAnsi="Times New Roman" w:cs="Times New Roman"/>
          <w:sz w:val="24"/>
          <w:szCs w:val="24"/>
        </w:rPr>
        <w:footnoteReference w:id="44"/>
      </w:r>
      <w:r>
        <w:rPr>
          <w:rFonts w:ascii="Times New Roman" w:hAnsi="Times New Roman" w:cs="Times New Roman"/>
          <w:sz w:val="24"/>
          <w:szCs w:val="24"/>
        </w:rPr>
        <w:t xml:space="preserve"> </w:t>
      </w:r>
      <w:r w:rsidRPr="00CD73D6">
        <w:rPr>
          <w:rFonts w:ascii="Times New Roman" w:hAnsi="Times New Roman" w:cs="Times New Roman"/>
          <w:sz w:val="24"/>
          <w:szCs w:val="24"/>
        </w:rPr>
        <w:t>In no other period of Egyptian history do we see this sort of humanised artwork. It is so incredibly rare to see portraits of a family just as a normal family, and not as a paragon of Egyptian idealism.</w:t>
      </w:r>
    </w:p>
    <w:p w14:paraId="17C072ED" w14:textId="4D05ACAA" w:rsidR="00CD73D6" w:rsidRDefault="00CD73D6" w:rsidP="00CD73D6">
      <w:pPr>
        <w:spacing w:line="480" w:lineRule="auto"/>
        <w:rPr>
          <w:rFonts w:ascii="Times New Roman" w:hAnsi="Times New Roman" w:cs="Times New Roman"/>
          <w:sz w:val="24"/>
          <w:szCs w:val="24"/>
        </w:rPr>
      </w:pPr>
    </w:p>
    <w:p w14:paraId="6DBDC2EE" w14:textId="2D63B7EF" w:rsidR="00CD73D6" w:rsidRDefault="00CD73D6" w:rsidP="00CD73D6">
      <w:pPr>
        <w:spacing w:line="480" w:lineRule="auto"/>
        <w:rPr>
          <w:rFonts w:ascii="Times New Roman" w:hAnsi="Times New Roman" w:cs="Times New Roman"/>
          <w:sz w:val="24"/>
          <w:szCs w:val="24"/>
        </w:rPr>
      </w:pPr>
      <w:r w:rsidRPr="00CD73D6">
        <w:rPr>
          <w:rFonts w:ascii="Times New Roman" w:hAnsi="Times New Roman" w:cs="Times New Roman"/>
          <w:sz w:val="24"/>
          <w:szCs w:val="24"/>
        </w:rPr>
        <w:t xml:space="preserve">Overall, the revolutionary changes made to Egyptian art does not necessarily depict some sort of physical illness, but instead is probably more related </w:t>
      </w:r>
      <w:r w:rsidR="00B04A0E">
        <w:rPr>
          <w:rFonts w:ascii="Times New Roman" w:hAnsi="Times New Roman" w:cs="Times New Roman"/>
          <w:sz w:val="24"/>
          <w:szCs w:val="24"/>
        </w:rPr>
        <w:t>to</w:t>
      </w:r>
      <w:r w:rsidR="00B46A45">
        <w:rPr>
          <w:rFonts w:ascii="Times New Roman" w:hAnsi="Times New Roman" w:cs="Times New Roman"/>
          <w:sz w:val="24"/>
          <w:szCs w:val="24"/>
        </w:rPr>
        <w:t xml:space="preserve"> </w:t>
      </w:r>
      <w:r w:rsidRPr="00CD73D6">
        <w:rPr>
          <w:rFonts w:ascii="Times New Roman" w:hAnsi="Times New Roman" w:cs="Times New Roman"/>
          <w:sz w:val="24"/>
          <w:szCs w:val="24"/>
        </w:rPr>
        <w:t>the religious revolution happening at this time. If the Aten was a remote god, perhaps Akhenaten’s displays of normal family life in service to the Aten w</w:t>
      </w:r>
      <w:r w:rsidR="00B46A45">
        <w:rPr>
          <w:rFonts w:ascii="Times New Roman" w:hAnsi="Times New Roman" w:cs="Times New Roman"/>
          <w:sz w:val="24"/>
          <w:szCs w:val="24"/>
        </w:rPr>
        <w:t>ere</w:t>
      </w:r>
      <w:r w:rsidRPr="00CD73D6">
        <w:rPr>
          <w:rFonts w:ascii="Times New Roman" w:hAnsi="Times New Roman" w:cs="Times New Roman"/>
          <w:sz w:val="24"/>
          <w:szCs w:val="24"/>
        </w:rPr>
        <w:t xml:space="preserve"> to show that there was a human aspect to the religion. In whatever period, art almost always has a double meaning, and Akhenaten’s use of art to convey his religious beliefs, however, is not revolutionary. Interestingly,</w:t>
      </w:r>
    </w:p>
    <w:p w14:paraId="45726EA7" w14:textId="58B0830E" w:rsidR="00CD73D6" w:rsidRDefault="00CD73D6" w:rsidP="00CD73D6">
      <w:pPr>
        <w:jc w:val="both"/>
        <w:rPr>
          <w:rFonts w:ascii="Times New Roman" w:hAnsi="Times New Roman" w:cs="Times New Roman"/>
          <w:sz w:val="24"/>
          <w:szCs w:val="24"/>
        </w:rPr>
      </w:pPr>
      <w:r w:rsidRPr="00CD73D6">
        <w:rPr>
          <w:rFonts w:ascii="Times New Roman" w:hAnsi="Times New Roman" w:cs="Times New Roman"/>
          <w:sz w:val="24"/>
          <w:szCs w:val="24"/>
        </w:rPr>
        <w:t xml:space="preserve">“the supreme importance of all the material which was thus gathered lay, not in its artistic value, though that was often great, but in the evidence which it afforded of the details of the details of the </w:t>
      </w:r>
      <w:r w:rsidRPr="00CD73D6">
        <w:rPr>
          <w:rFonts w:ascii="Times New Roman" w:hAnsi="Times New Roman" w:cs="Times New Roman"/>
          <w:sz w:val="24"/>
          <w:szCs w:val="24"/>
        </w:rPr>
        <w:lastRenderedPageBreak/>
        <w:t>great religious revolution whose existence had been dimly apprehended by the earlier students of Egyptian history and archaeology- a revolution which, though much still remains to be searched out with regard to it, is now one of the most fully studied and elaborately illustrated incidents of ancient history.”</w:t>
      </w:r>
      <w:r>
        <w:rPr>
          <w:rStyle w:val="FootnoteReference"/>
          <w:rFonts w:ascii="Times New Roman" w:hAnsi="Times New Roman" w:cs="Times New Roman"/>
          <w:sz w:val="24"/>
          <w:szCs w:val="24"/>
        </w:rPr>
        <w:footnoteReference w:id="45"/>
      </w:r>
    </w:p>
    <w:p w14:paraId="4A0F9420" w14:textId="77777777" w:rsidR="00BD7110" w:rsidRDefault="00BD7110" w:rsidP="002569B4">
      <w:pPr>
        <w:jc w:val="both"/>
        <w:rPr>
          <w:rFonts w:ascii="Times New Roman" w:hAnsi="Times New Roman" w:cs="Times New Roman"/>
          <w:sz w:val="24"/>
          <w:szCs w:val="24"/>
        </w:rPr>
      </w:pPr>
    </w:p>
    <w:p w14:paraId="04ED7053" w14:textId="77777777" w:rsidR="003672D3" w:rsidRPr="003672D3" w:rsidRDefault="003672D3" w:rsidP="003672D3">
      <w:pPr>
        <w:spacing w:line="480" w:lineRule="auto"/>
        <w:rPr>
          <w:rFonts w:ascii="Times New Roman" w:hAnsi="Times New Roman" w:cs="Times New Roman"/>
          <w:sz w:val="24"/>
          <w:szCs w:val="24"/>
        </w:rPr>
      </w:pPr>
    </w:p>
    <w:p w14:paraId="7D201B39" w14:textId="53C15DBB" w:rsidR="00D41458" w:rsidRDefault="00D41458" w:rsidP="00D41458"/>
    <w:p w14:paraId="3C35AADF" w14:textId="71E901FA" w:rsidR="00D41458" w:rsidRDefault="00D41458" w:rsidP="00D41458"/>
    <w:p w14:paraId="12FDD347" w14:textId="2E9EFD39" w:rsidR="00D41458" w:rsidRDefault="00D41458" w:rsidP="00D41458"/>
    <w:p w14:paraId="2465308D" w14:textId="59045794" w:rsidR="00D41458" w:rsidRDefault="00D41458" w:rsidP="00D41458"/>
    <w:p w14:paraId="16A0B81D" w14:textId="42A86AD2" w:rsidR="00D41458" w:rsidRDefault="00D41458" w:rsidP="00D41458"/>
    <w:p w14:paraId="5216DF24" w14:textId="77777777" w:rsidR="00D41458" w:rsidRDefault="00D41458">
      <w:r>
        <w:br w:type="page"/>
      </w:r>
    </w:p>
    <w:p w14:paraId="2B965E32" w14:textId="678C13C1" w:rsidR="00D41458" w:rsidRPr="00C80359" w:rsidRDefault="00D41458" w:rsidP="00D41458">
      <w:pPr>
        <w:pStyle w:val="Heading1"/>
        <w:rPr>
          <w:rFonts w:ascii="Times New Roman" w:hAnsi="Times New Roman" w:cs="Times New Roman"/>
          <w:color w:val="000000" w:themeColor="text1"/>
        </w:rPr>
      </w:pPr>
      <w:bookmarkStart w:id="5" w:name="_Toc513620244"/>
      <w:r w:rsidRPr="00C80359">
        <w:rPr>
          <w:rFonts w:ascii="Times New Roman" w:hAnsi="Times New Roman" w:cs="Times New Roman"/>
          <w:color w:val="000000" w:themeColor="text1"/>
        </w:rPr>
        <w:lastRenderedPageBreak/>
        <w:t>Chapter 3- Are We Friends? International Diplomacy in the Amarna Period</w:t>
      </w:r>
      <w:bookmarkEnd w:id="5"/>
    </w:p>
    <w:p w14:paraId="03DEBB31" w14:textId="12C005BE" w:rsidR="00196167" w:rsidRDefault="00196167" w:rsidP="00196167"/>
    <w:p w14:paraId="6BA913AD" w14:textId="5064C2E4" w:rsidR="00196167" w:rsidRDefault="00196167" w:rsidP="00196167"/>
    <w:p w14:paraId="44958629" w14:textId="2D4BD9AD" w:rsidR="00196167" w:rsidRPr="00196167" w:rsidRDefault="00196167" w:rsidP="00196167">
      <w:pPr>
        <w:jc w:val="both"/>
        <w:rPr>
          <w:rFonts w:ascii="Times New Roman" w:hAnsi="Times New Roman" w:cs="Times New Roman"/>
          <w:sz w:val="24"/>
          <w:szCs w:val="24"/>
        </w:rPr>
      </w:pPr>
      <w:r w:rsidRPr="00196167">
        <w:rPr>
          <w:rFonts w:ascii="Times New Roman" w:hAnsi="Times New Roman" w:cs="Times New Roman"/>
          <w:sz w:val="24"/>
          <w:szCs w:val="24"/>
        </w:rPr>
        <w:t>“The New Kingdom was a period of extraordinary Egyptian expansion abroad and of the centralisation of bureaucratic power. During this period Egypt maintained control over extensive foreign territory, including Nubia and vassal states in the Levant. Diplomatic and commercial contacts were developed with countries throughout the Near East and Crete.”</w:t>
      </w:r>
      <w:r>
        <w:rPr>
          <w:rStyle w:val="FootnoteReference"/>
          <w:rFonts w:ascii="Times New Roman" w:hAnsi="Times New Roman" w:cs="Times New Roman"/>
          <w:sz w:val="24"/>
          <w:szCs w:val="24"/>
        </w:rPr>
        <w:footnoteReference w:id="46"/>
      </w:r>
      <w:r w:rsidRPr="00196167">
        <w:rPr>
          <w:rFonts w:ascii="Times New Roman" w:hAnsi="Times New Roman" w:cs="Times New Roman"/>
          <w:sz w:val="24"/>
          <w:szCs w:val="24"/>
        </w:rPr>
        <w:t xml:space="preserve">  </w:t>
      </w:r>
    </w:p>
    <w:p w14:paraId="4F96C5DE" w14:textId="6631BF12" w:rsidR="002F3559" w:rsidRDefault="002F3559" w:rsidP="002F3559"/>
    <w:p w14:paraId="1D7C052F" w14:textId="00FD18A5" w:rsidR="002F3559" w:rsidRDefault="00196167" w:rsidP="00196167">
      <w:pPr>
        <w:spacing w:line="480" w:lineRule="auto"/>
        <w:rPr>
          <w:rFonts w:ascii="Times New Roman" w:hAnsi="Times New Roman" w:cs="Times New Roman"/>
          <w:sz w:val="24"/>
          <w:szCs w:val="24"/>
        </w:rPr>
      </w:pPr>
      <w:r w:rsidRPr="00196167">
        <w:rPr>
          <w:rFonts w:ascii="Times New Roman" w:hAnsi="Times New Roman" w:cs="Times New Roman"/>
          <w:sz w:val="24"/>
          <w:szCs w:val="24"/>
        </w:rPr>
        <w:t>The Egypt that Akhenaten inherited from his father was rich and vast; however, this also would have meant it would have been harder to control, especially with interference from other powers, such as the Hittites</w:t>
      </w:r>
      <w:r>
        <w:rPr>
          <w:rFonts w:ascii="Times New Roman" w:hAnsi="Times New Roman" w:cs="Times New Roman"/>
          <w:sz w:val="24"/>
          <w:szCs w:val="24"/>
        </w:rPr>
        <w:t>.</w:t>
      </w:r>
    </w:p>
    <w:p w14:paraId="436E3974" w14:textId="77777777" w:rsidR="00196167" w:rsidRDefault="00196167" w:rsidP="00196167">
      <w:pPr>
        <w:jc w:val="both"/>
        <w:rPr>
          <w:rFonts w:ascii="Times New Roman" w:hAnsi="Times New Roman" w:cs="Times New Roman"/>
          <w:sz w:val="24"/>
          <w:szCs w:val="24"/>
        </w:rPr>
      </w:pPr>
      <w:r w:rsidRPr="00196167">
        <w:rPr>
          <w:rFonts w:ascii="Times New Roman" w:hAnsi="Times New Roman" w:cs="Times New Roman"/>
          <w:sz w:val="24"/>
          <w:szCs w:val="24"/>
        </w:rPr>
        <w:t>“Gifts, tribute, and trade goods were flowing in from all regions of the world: from Mycenae and Knossos, from the Hittites and the Assyrians, from Mitanni and Babylon, Libya, Nubia and distant Punt. Often and convincingly, the universalism of Amarna religion has been connected with the historical processes of the New Kingdom, with Egypt’s rise to the status of a world power in the international arena, which was ordered by international law.”</w:t>
      </w:r>
      <w:r>
        <w:rPr>
          <w:rStyle w:val="FootnoteReference"/>
          <w:rFonts w:ascii="Times New Roman" w:hAnsi="Times New Roman" w:cs="Times New Roman"/>
          <w:sz w:val="24"/>
          <w:szCs w:val="24"/>
        </w:rPr>
        <w:footnoteReference w:id="47"/>
      </w:r>
    </w:p>
    <w:p w14:paraId="4A72E026" w14:textId="77777777" w:rsidR="00196167" w:rsidRDefault="00196167" w:rsidP="00196167">
      <w:pPr>
        <w:jc w:val="both"/>
        <w:rPr>
          <w:rFonts w:ascii="Times New Roman" w:hAnsi="Times New Roman" w:cs="Times New Roman"/>
          <w:sz w:val="24"/>
          <w:szCs w:val="24"/>
        </w:rPr>
      </w:pPr>
    </w:p>
    <w:p w14:paraId="08A719A8" w14:textId="65F77DB4" w:rsidR="00196167" w:rsidRDefault="00196167" w:rsidP="00196167">
      <w:pPr>
        <w:spacing w:line="480" w:lineRule="auto"/>
        <w:rPr>
          <w:rFonts w:ascii="Times New Roman" w:hAnsi="Times New Roman" w:cs="Times New Roman"/>
          <w:sz w:val="24"/>
          <w:szCs w:val="24"/>
        </w:rPr>
      </w:pPr>
      <w:r w:rsidRPr="00196167">
        <w:rPr>
          <w:rFonts w:ascii="Times New Roman" w:hAnsi="Times New Roman" w:cs="Times New Roman"/>
          <w:sz w:val="24"/>
          <w:szCs w:val="24"/>
        </w:rPr>
        <w:t xml:space="preserve"> </w:t>
      </w:r>
      <w:r w:rsidR="000215EE" w:rsidRPr="000215EE">
        <w:rPr>
          <w:rFonts w:ascii="Times New Roman" w:hAnsi="Times New Roman" w:cs="Times New Roman"/>
          <w:sz w:val="24"/>
          <w:szCs w:val="24"/>
        </w:rPr>
        <w:t>International diplomacy means the relationship between places during a certain period; in this case, Egypt and other powers around the Middle East during the Amarna Period. By examining these relationships and the evidence left for us, such as the Amarna Letters, we can gain an insight into these relationships, and hope to understand why they were so vital, especially for the success of a civilisation so powerful as Egypt. One of the most important visual representations of international diplomacy during the Amarna Period come from the tombs of Huya and Meryre.</w:t>
      </w:r>
      <w:r w:rsidR="00FD26B3">
        <w:rPr>
          <w:rStyle w:val="FootnoteReference"/>
          <w:rFonts w:ascii="Times New Roman" w:hAnsi="Times New Roman" w:cs="Times New Roman"/>
          <w:sz w:val="24"/>
          <w:szCs w:val="24"/>
        </w:rPr>
        <w:footnoteReference w:id="48"/>
      </w:r>
      <w:r w:rsidR="000215EE" w:rsidRPr="000215EE">
        <w:rPr>
          <w:rFonts w:ascii="Times New Roman" w:hAnsi="Times New Roman" w:cs="Times New Roman"/>
          <w:sz w:val="24"/>
          <w:szCs w:val="24"/>
        </w:rPr>
        <w:t xml:space="preserve">  The reliefs are believed to date to around Year twelve of Akhenaten’s reign and depict the king and queen receiving tribute from representatives of the wider Egyptian world, such as the Hittites, Nubians and Syrians.</w:t>
      </w:r>
      <w:r w:rsidR="00FD26B3">
        <w:rPr>
          <w:rStyle w:val="FootnoteReference"/>
          <w:rFonts w:ascii="Times New Roman" w:hAnsi="Times New Roman" w:cs="Times New Roman"/>
          <w:sz w:val="24"/>
          <w:szCs w:val="24"/>
        </w:rPr>
        <w:footnoteReference w:id="49"/>
      </w:r>
      <w:r w:rsidR="00FD26B3">
        <w:rPr>
          <w:rFonts w:ascii="Times New Roman" w:hAnsi="Times New Roman" w:cs="Times New Roman"/>
          <w:sz w:val="24"/>
          <w:szCs w:val="24"/>
        </w:rPr>
        <w:t xml:space="preserve"> </w:t>
      </w:r>
      <w:r w:rsidR="000215EE" w:rsidRPr="000215EE">
        <w:rPr>
          <w:rFonts w:ascii="Times New Roman" w:hAnsi="Times New Roman" w:cs="Times New Roman"/>
          <w:sz w:val="24"/>
          <w:szCs w:val="24"/>
        </w:rPr>
        <w:t xml:space="preserve">In scenes like these, we can perceive how the Egyptians portrayed themselves to the rest of the international community. </w:t>
      </w:r>
      <w:r w:rsidR="00FD26B3" w:rsidRPr="00FD26B3">
        <w:rPr>
          <w:rFonts w:ascii="Times New Roman" w:hAnsi="Times New Roman" w:cs="Times New Roman"/>
          <w:sz w:val="24"/>
          <w:szCs w:val="24"/>
        </w:rPr>
        <w:t xml:space="preserve">Brewer and Teeter interestingly remind us that Akhenaten’s foreign policy “must be viewed within the context of the era of diplomacy established in the second half of the reign of Amenhotep III”.  Therefore we must </w:t>
      </w:r>
      <w:r w:rsidR="00FD26B3" w:rsidRPr="00FD26B3">
        <w:rPr>
          <w:rFonts w:ascii="Times New Roman" w:hAnsi="Times New Roman" w:cs="Times New Roman"/>
          <w:sz w:val="24"/>
          <w:szCs w:val="24"/>
        </w:rPr>
        <w:lastRenderedPageBreak/>
        <w:t>keep this idea in mind throughout this chapter. Another question to keep in mind is how revolutionary was Akhenaten’s foreign policy? Were there any differences in his approach to international diplomacy compared to his predecessors?</w:t>
      </w:r>
      <w:r w:rsidRPr="00196167">
        <w:rPr>
          <w:rFonts w:ascii="Times New Roman" w:hAnsi="Times New Roman" w:cs="Times New Roman"/>
          <w:sz w:val="24"/>
          <w:szCs w:val="24"/>
        </w:rPr>
        <w:t xml:space="preserve"> </w:t>
      </w:r>
    </w:p>
    <w:p w14:paraId="629E5794" w14:textId="6F92A5E6" w:rsidR="00FD26B3" w:rsidRDefault="00FD26B3" w:rsidP="00196167">
      <w:pPr>
        <w:spacing w:line="480" w:lineRule="auto"/>
        <w:rPr>
          <w:rFonts w:ascii="Times New Roman" w:hAnsi="Times New Roman" w:cs="Times New Roman"/>
          <w:sz w:val="24"/>
          <w:szCs w:val="24"/>
        </w:rPr>
      </w:pPr>
    </w:p>
    <w:p w14:paraId="67F3604A" w14:textId="0805BCE9" w:rsidR="00FD26B3" w:rsidRDefault="00DB7E48" w:rsidP="00196167">
      <w:pPr>
        <w:spacing w:line="480" w:lineRule="auto"/>
        <w:rPr>
          <w:rFonts w:ascii="Times New Roman" w:hAnsi="Times New Roman" w:cs="Times New Roman"/>
          <w:sz w:val="24"/>
          <w:szCs w:val="24"/>
        </w:rPr>
      </w:pPr>
      <w:r w:rsidRPr="00DB7E48">
        <w:rPr>
          <w:rFonts w:ascii="Times New Roman" w:hAnsi="Times New Roman" w:cs="Times New Roman"/>
          <w:sz w:val="24"/>
          <w:szCs w:val="24"/>
        </w:rPr>
        <w:t>Another debate surrounding Akhenaten whether he was a pacifist, a revolutionary stance for a pharaoh. Through research done mainly on the Amarna Letters, assumptions have been made that because a substantial amount of the Empire was lost during this period because Akhenaten failed at diplomacy. Yet, Waterson argues that, “although Amenhotep III and his son were not given to the pursuit of war, one must be fair to them and say that probably only another Thutmose III could have dealt with the situation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50"/>
      </w:r>
      <w:r>
        <w:rPr>
          <w:rFonts w:ascii="Times New Roman" w:hAnsi="Times New Roman" w:cs="Times New Roman"/>
          <w:sz w:val="24"/>
          <w:szCs w:val="24"/>
        </w:rPr>
        <w:t xml:space="preserve"> </w:t>
      </w:r>
      <w:r w:rsidRPr="00DB7E48">
        <w:rPr>
          <w:rFonts w:ascii="Times New Roman" w:hAnsi="Times New Roman" w:cs="Times New Roman"/>
          <w:sz w:val="24"/>
          <w:szCs w:val="24"/>
        </w:rPr>
        <w:t>There is a tendency for scholars to pursue the idea that he was a pacifist due to his emphasis on religion. However, there is a lot of evidence that states otherwise. To properly assess Akhenaten’s effectiveness on international diplomacy, we need to look at both sides of this argument. Chadwick argues that it was down to Akhenaten’s ‘political blunders’ that much of the empire was lost during the Amarna Period, but also that “it was unfortunate for him to have ruled at a time when the empire was facing many challenges and was beginning to unravel”.</w:t>
      </w:r>
      <w:r>
        <w:rPr>
          <w:rStyle w:val="FootnoteReference"/>
          <w:rFonts w:ascii="Times New Roman" w:hAnsi="Times New Roman" w:cs="Times New Roman"/>
          <w:sz w:val="24"/>
          <w:szCs w:val="24"/>
        </w:rPr>
        <w:footnoteReference w:id="51"/>
      </w:r>
      <w:r w:rsidR="00634F4E">
        <w:rPr>
          <w:rFonts w:ascii="Times New Roman" w:hAnsi="Times New Roman" w:cs="Times New Roman"/>
          <w:sz w:val="24"/>
          <w:szCs w:val="24"/>
        </w:rPr>
        <w:t xml:space="preserve"> </w:t>
      </w:r>
      <w:r w:rsidR="00634F4E" w:rsidRPr="00634F4E">
        <w:rPr>
          <w:rFonts w:ascii="Times New Roman" w:hAnsi="Times New Roman" w:cs="Times New Roman"/>
          <w:sz w:val="24"/>
          <w:szCs w:val="24"/>
        </w:rPr>
        <w:t>If this was the case, then the statement above by Waterson makes more sense; the empire was already starting to lose power, and due to the vast area it covered, it would make sense that after a short period of time it would start to decrease in size. However, because this decrease happened during Akhenaten’s reign, he has been branded as a coward and out of touch with international diplomacy. Clayton also argues that the state of the empire worsened because “Akhenaten increasingly left government and diplomats to their own devices”. However, he does also acknowledge that problems with the empire had started to occur in the reign of his father Amenhotep III.</w:t>
      </w:r>
      <w:r w:rsidR="00634F4E">
        <w:rPr>
          <w:rStyle w:val="FootnoteReference"/>
          <w:rFonts w:ascii="Times New Roman" w:hAnsi="Times New Roman" w:cs="Times New Roman"/>
          <w:sz w:val="24"/>
          <w:szCs w:val="24"/>
        </w:rPr>
        <w:footnoteReference w:id="52"/>
      </w:r>
      <w:r w:rsidR="00634F4E" w:rsidRPr="00634F4E">
        <w:rPr>
          <w:rFonts w:ascii="Times New Roman" w:hAnsi="Times New Roman" w:cs="Times New Roman"/>
          <w:sz w:val="24"/>
          <w:szCs w:val="24"/>
        </w:rPr>
        <w:t xml:space="preserve">  Therefore, if Akhenaten had inherited an empire with </w:t>
      </w:r>
      <w:r w:rsidR="00634F4E" w:rsidRPr="00634F4E">
        <w:rPr>
          <w:rFonts w:ascii="Times New Roman" w:hAnsi="Times New Roman" w:cs="Times New Roman"/>
          <w:sz w:val="24"/>
          <w:szCs w:val="24"/>
        </w:rPr>
        <w:lastRenderedPageBreak/>
        <w:t>problems already, perhaps it made more sense to focus on religion and, as a result, Egypt itself, albeit a smaller version than previously. In contrast to Akhenaten being a pacifist, Chadwick writes about Akhenaten performing military action, but just not accompanying the army himself. He writes about problems in the region of Akita, so Akhenaten sent his lieutenant to deal with the issue. It was resolved with three hundred and sixty-one cattle captured and one hundred and forty-five Kushites taken prisoner.</w:t>
      </w:r>
      <w:r w:rsidR="00634F4E">
        <w:rPr>
          <w:rStyle w:val="FootnoteReference"/>
          <w:rFonts w:ascii="Times New Roman" w:hAnsi="Times New Roman" w:cs="Times New Roman"/>
          <w:sz w:val="24"/>
          <w:szCs w:val="24"/>
        </w:rPr>
        <w:footnoteReference w:id="53"/>
      </w:r>
      <w:r w:rsidR="00634F4E">
        <w:rPr>
          <w:rFonts w:ascii="Times New Roman" w:hAnsi="Times New Roman" w:cs="Times New Roman"/>
          <w:sz w:val="24"/>
          <w:szCs w:val="24"/>
        </w:rPr>
        <w:t xml:space="preserve"> </w:t>
      </w:r>
      <w:r w:rsidR="005F0A7F" w:rsidRPr="005F0A7F">
        <w:rPr>
          <w:rFonts w:ascii="Times New Roman" w:hAnsi="Times New Roman" w:cs="Times New Roman"/>
          <w:sz w:val="24"/>
          <w:szCs w:val="24"/>
        </w:rPr>
        <w:t>Therefore, from this account we can assume that Akhenaten was potentially a good military leader; he just did not accompany his troops on campaign. It could be assumed that the reason for this was that he was more interested in the theological aspect of ruling, but also that he lacked experience. Why go into battle with little experience when you could send great generals, such as Horemheb or Nakhtmin, to protect Egypt? Perhaps this action was more revolutionary to the ancient Egyptians because their pharaohs had always been shown as leading military campaigns, and here was a pharaoh who preferred to stay behind. Waterson also argues that</w:t>
      </w:r>
      <w:r w:rsidR="005F0A7F">
        <w:rPr>
          <w:rFonts w:ascii="Times New Roman" w:hAnsi="Times New Roman" w:cs="Times New Roman"/>
          <w:sz w:val="24"/>
          <w:szCs w:val="24"/>
        </w:rPr>
        <w:t>:</w:t>
      </w:r>
    </w:p>
    <w:p w14:paraId="5F2CE40D" w14:textId="7CA14BF2" w:rsidR="005F0A7F" w:rsidRDefault="005F0A7F" w:rsidP="005F0A7F">
      <w:pPr>
        <w:jc w:val="both"/>
        <w:rPr>
          <w:rFonts w:ascii="Times New Roman" w:hAnsi="Times New Roman" w:cs="Times New Roman"/>
          <w:sz w:val="24"/>
          <w:szCs w:val="24"/>
        </w:rPr>
      </w:pPr>
      <w:r w:rsidRPr="005F0A7F">
        <w:rPr>
          <w:rFonts w:ascii="Times New Roman" w:hAnsi="Times New Roman" w:cs="Times New Roman"/>
          <w:sz w:val="24"/>
          <w:szCs w:val="24"/>
        </w:rPr>
        <w:t>“Akhenaten may have distracted attention from trouble in the Empire by initiating action at home against the deities of Egypt, thus reversing the age-old device whereby a ruler with problems at home distracts his people by means of a war against a foreign enemy, but the explanations for Akhenaten’s behaviour may, of course, lie on a more domestic and personal level.”</w:t>
      </w:r>
      <w:r>
        <w:rPr>
          <w:rStyle w:val="FootnoteReference"/>
          <w:rFonts w:ascii="Times New Roman" w:hAnsi="Times New Roman" w:cs="Times New Roman"/>
          <w:sz w:val="24"/>
          <w:szCs w:val="24"/>
        </w:rPr>
        <w:footnoteReference w:id="54"/>
      </w:r>
    </w:p>
    <w:p w14:paraId="52EB7DF2" w14:textId="2F4B90A5" w:rsidR="005F0A7F" w:rsidRDefault="005F0A7F" w:rsidP="005F0A7F">
      <w:pPr>
        <w:jc w:val="both"/>
        <w:rPr>
          <w:rFonts w:ascii="Times New Roman" w:hAnsi="Times New Roman" w:cs="Times New Roman"/>
          <w:sz w:val="24"/>
          <w:szCs w:val="24"/>
        </w:rPr>
      </w:pPr>
    </w:p>
    <w:p w14:paraId="00F8DAB8" w14:textId="65EB70F9" w:rsidR="005F0A7F" w:rsidRDefault="005F0A7F" w:rsidP="005F0A7F">
      <w:pPr>
        <w:jc w:val="both"/>
        <w:rPr>
          <w:rFonts w:ascii="Times New Roman" w:hAnsi="Times New Roman" w:cs="Times New Roman"/>
          <w:sz w:val="24"/>
          <w:szCs w:val="24"/>
        </w:rPr>
      </w:pPr>
    </w:p>
    <w:p w14:paraId="145A0024" w14:textId="71FEE9C3" w:rsidR="005F0A7F" w:rsidRDefault="005F74AA" w:rsidP="005F74AA">
      <w:pPr>
        <w:spacing w:line="480" w:lineRule="auto"/>
        <w:rPr>
          <w:rFonts w:ascii="Times New Roman" w:hAnsi="Times New Roman" w:cs="Times New Roman"/>
          <w:sz w:val="24"/>
          <w:szCs w:val="24"/>
        </w:rPr>
      </w:pPr>
      <w:r w:rsidRPr="005F74AA">
        <w:rPr>
          <w:rFonts w:ascii="Times New Roman" w:hAnsi="Times New Roman" w:cs="Times New Roman"/>
          <w:sz w:val="24"/>
          <w:szCs w:val="24"/>
        </w:rPr>
        <w:t>Interestingly, a revolutionary aspect of the Amarna Period is the prominence of the army, especially in Amarna itself. Although obviously the army had been an important part of society, we do not find them depicted during daily life that often, unlike at Amarna itself where we see scenes of soldiers interacting with the royal family and civilians. An army played an integral role in international diplomacy, and if Akhenaten was a pacifist, what did he need an army for? Tyldesley writes</w:t>
      </w:r>
      <w:r>
        <w:rPr>
          <w:rFonts w:ascii="Times New Roman" w:hAnsi="Times New Roman" w:cs="Times New Roman"/>
          <w:sz w:val="24"/>
          <w:szCs w:val="24"/>
        </w:rPr>
        <w:t>:</w:t>
      </w:r>
    </w:p>
    <w:p w14:paraId="35A445F2" w14:textId="77777777" w:rsidR="005F74AA" w:rsidRDefault="005F74AA" w:rsidP="005F74AA">
      <w:pPr>
        <w:jc w:val="both"/>
        <w:rPr>
          <w:rFonts w:ascii="Times New Roman" w:hAnsi="Times New Roman" w:cs="Times New Roman"/>
          <w:sz w:val="24"/>
          <w:szCs w:val="24"/>
        </w:rPr>
      </w:pPr>
      <w:r w:rsidRPr="005F74AA">
        <w:rPr>
          <w:rFonts w:ascii="Times New Roman" w:hAnsi="Times New Roman" w:cs="Times New Roman"/>
          <w:sz w:val="24"/>
          <w:szCs w:val="24"/>
        </w:rPr>
        <w:t xml:space="preserve">“the army now played a conspicuous role in daily life, lending their silent support to the king and his innovations. Although we know of no battles during Akhenaten’s reign, the talatat blocks have revealed that the king, often viewed as a pacifist, chose to surround himself with soldiers and </w:t>
      </w:r>
      <w:r w:rsidRPr="005F74AA">
        <w:rPr>
          <w:rFonts w:ascii="Times New Roman" w:hAnsi="Times New Roman" w:cs="Times New Roman"/>
          <w:sz w:val="24"/>
          <w:szCs w:val="24"/>
        </w:rPr>
        <w:lastRenderedPageBreak/>
        <w:t>armed civilians. Even the ‘Agents of the Harem Ladies’ were armed and ready for action. This heavy military presence may, of course, explain why there was no open opposition to any of Akhenaten’s reforms.”</w:t>
      </w:r>
      <w:r>
        <w:rPr>
          <w:rStyle w:val="FootnoteReference"/>
          <w:rFonts w:ascii="Times New Roman" w:hAnsi="Times New Roman" w:cs="Times New Roman"/>
          <w:sz w:val="24"/>
          <w:szCs w:val="24"/>
        </w:rPr>
        <w:footnoteReference w:id="55"/>
      </w:r>
    </w:p>
    <w:p w14:paraId="231B57BD" w14:textId="77777777" w:rsidR="005F74AA" w:rsidRDefault="005F74AA" w:rsidP="005F74AA">
      <w:pPr>
        <w:jc w:val="both"/>
        <w:rPr>
          <w:rFonts w:ascii="Times New Roman" w:hAnsi="Times New Roman" w:cs="Times New Roman"/>
          <w:sz w:val="24"/>
          <w:szCs w:val="24"/>
        </w:rPr>
      </w:pPr>
    </w:p>
    <w:p w14:paraId="6E5B06C3" w14:textId="77777777" w:rsidR="007B06BF" w:rsidRDefault="007B06BF" w:rsidP="005F74AA">
      <w:pPr>
        <w:spacing w:line="480" w:lineRule="auto"/>
        <w:rPr>
          <w:rFonts w:ascii="Times New Roman" w:hAnsi="Times New Roman" w:cs="Times New Roman"/>
          <w:sz w:val="24"/>
          <w:szCs w:val="24"/>
        </w:rPr>
      </w:pPr>
      <w:r w:rsidRPr="007B06BF">
        <w:rPr>
          <w:rFonts w:ascii="Times New Roman" w:hAnsi="Times New Roman" w:cs="Times New Roman"/>
          <w:sz w:val="24"/>
          <w:szCs w:val="24"/>
        </w:rPr>
        <w:t>However, I would argue that there was not any need for an army to deal with mass rebellions within Egypt itself, because although Akhenaten was implementing all these revolutionary changes, they do not seem to have been enforced, with a lot of evidence showing that people were still worshipping the traditional gods anyway. Therefore, why would they have rebelled? It would seem to make more sense to wait for Akhenaten to die and then revert everything to how it had been previously, which is what happened. Also it has to be remembered, as Kemp details, that the army benefitted greatly from Akhenaten’s failure as this allowed military families to seize power at the end of the Eighteenth Dynasty; first Horemheb, and then Seti I in the Nineteenth Dynasty.</w:t>
      </w:r>
      <w:r>
        <w:rPr>
          <w:rStyle w:val="FootnoteReference"/>
          <w:rFonts w:ascii="Times New Roman" w:hAnsi="Times New Roman" w:cs="Times New Roman"/>
          <w:sz w:val="24"/>
          <w:szCs w:val="24"/>
        </w:rPr>
        <w:footnoteReference w:id="56"/>
      </w:r>
      <w:r w:rsidRPr="007B06BF">
        <w:rPr>
          <w:rFonts w:ascii="Times New Roman" w:hAnsi="Times New Roman" w:cs="Times New Roman"/>
          <w:sz w:val="24"/>
          <w:szCs w:val="24"/>
        </w:rPr>
        <w:t xml:space="preserve"> Concerning a fascinating display of military power, Fletcher writes</w:t>
      </w:r>
      <w:r>
        <w:rPr>
          <w:rFonts w:ascii="Times New Roman" w:hAnsi="Times New Roman" w:cs="Times New Roman"/>
          <w:sz w:val="24"/>
          <w:szCs w:val="24"/>
        </w:rPr>
        <w:t>:</w:t>
      </w:r>
    </w:p>
    <w:p w14:paraId="413117A3" w14:textId="77777777" w:rsidR="007B06BF" w:rsidRDefault="007B06BF" w:rsidP="007B06BF">
      <w:pPr>
        <w:jc w:val="both"/>
        <w:rPr>
          <w:rFonts w:ascii="Times New Roman" w:hAnsi="Times New Roman" w:cs="Times New Roman"/>
          <w:sz w:val="24"/>
          <w:szCs w:val="24"/>
        </w:rPr>
      </w:pPr>
      <w:r w:rsidRPr="007B06BF">
        <w:rPr>
          <w:rFonts w:ascii="Times New Roman" w:hAnsi="Times New Roman" w:cs="Times New Roman"/>
          <w:sz w:val="24"/>
          <w:szCs w:val="24"/>
        </w:rPr>
        <w:t>“a military theme also figured prominently on the walls of some of Karnak’s other Aten shrines: Akhenaten and Nefertiti were both shown as aggressive defenders of their country, executing foreign prisoners. And it may well have been more than posturing, since one of the few letters Akhenaten wrote to his vassals in Palestine declared that traitors would be punished and sent to Egypt in fetters, ‘and you and your entire family shall die by the axe of the king’.”</w:t>
      </w:r>
      <w:r>
        <w:rPr>
          <w:rStyle w:val="FootnoteReference"/>
          <w:rFonts w:ascii="Times New Roman" w:hAnsi="Times New Roman" w:cs="Times New Roman"/>
          <w:sz w:val="24"/>
          <w:szCs w:val="24"/>
        </w:rPr>
        <w:footnoteReference w:id="57"/>
      </w:r>
      <w:r w:rsidRPr="007B06BF">
        <w:rPr>
          <w:rFonts w:ascii="Times New Roman" w:hAnsi="Times New Roman" w:cs="Times New Roman"/>
          <w:sz w:val="24"/>
          <w:szCs w:val="24"/>
        </w:rPr>
        <w:t xml:space="preserve"> </w:t>
      </w:r>
    </w:p>
    <w:p w14:paraId="16144B7C" w14:textId="77777777" w:rsidR="007B06BF" w:rsidRDefault="007B06BF" w:rsidP="007B06BF">
      <w:pPr>
        <w:jc w:val="both"/>
        <w:rPr>
          <w:rFonts w:ascii="Times New Roman" w:hAnsi="Times New Roman" w:cs="Times New Roman"/>
          <w:sz w:val="24"/>
          <w:szCs w:val="24"/>
        </w:rPr>
      </w:pPr>
    </w:p>
    <w:p w14:paraId="55B798B3" w14:textId="77777777" w:rsidR="007B06BF" w:rsidRDefault="007B06BF" w:rsidP="007B06BF">
      <w:pPr>
        <w:spacing w:line="480" w:lineRule="auto"/>
        <w:rPr>
          <w:rFonts w:ascii="Times New Roman" w:hAnsi="Times New Roman" w:cs="Times New Roman"/>
          <w:sz w:val="24"/>
          <w:szCs w:val="24"/>
        </w:rPr>
      </w:pPr>
      <w:r w:rsidRPr="007B06BF">
        <w:rPr>
          <w:rFonts w:ascii="Times New Roman" w:hAnsi="Times New Roman" w:cs="Times New Roman"/>
          <w:sz w:val="24"/>
          <w:szCs w:val="24"/>
        </w:rPr>
        <w:t xml:space="preserve"> This leads us into arguably the most important information regarding international diplomacy: the Amarna Letters.</w:t>
      </w:r>
    </w:p>
    <w:p w14:paraId="1FF9023B" w14:textId="77777777" w:rsidR="007B06BF" w:rsidRDefault="007B06BF" w:rsidP="007B06BF">
      <w:pPr>
        <w:spacing w:line="480" w:lineRule="auto"/>
        <w:rPr>
          <w:rFonts w:ascii="Times New Roman" w:hAnsi="Times New Roman" w:cs="Times New Roman"/>
          <w:sz w:val="24"/>
          <w:szCs w:val="24"/>
        </w:rPr>
      </w:pPr>
    </w:p>
    <w:p w14:paraId="4A973209" w14:textId="77777777" w:rsidR="0071497D" w:rsidRDefault="0071497D" w:rsidP="007B06BF">
      <w:pPr>
        <w:spacing w:line="480" w:lineRule="auto"/>
        <w:rPr>
          <w:rFonts w:ascii="Times New Roman" w:hAnsi="Times New Roman" w:cs="Times New Roman"/>
          <w:sz w:val="24"/>
          <w:szCs w:val="24"/>
        </w:rPr>
      </w:pPr>
      <w:r w:rsidRPr="0071497D">
        <w:rPr>
          <w:rFonts w:ascii="Times New Roman" w:hAnsi="Times New Roman" w:cs="Times New Roman"/>
          <w:sz w:val="24"/>
          <w:szCs w:val="24"/>
        </w:rPr>
        <w:t>Before looking at the Amarna Letters, Amarna society should briefly be considered. Ragionieri describes it as this</w:t>
      </w:r>
      <w:r>
        <w:rPr>
          <w:rFonts w:ascii="Times New Roman" w:hAnsi="Times New Roman" w:cs="Times New Roman"/>
          <w:sz w:val="24"/>
          <w:szCs w:val="24"/>
        </w:rPr>
        <w:t>:</w:t>
      </w:r>
    </w:p>
    <w:p w14:paraId="58DA12CF" w14:textId="77777777" w:rsidR="0071497D" w:rsidRDefault="0071497D" w:rsidP="0071497D">
      <w:pPr>
        <w:jc w:val="both"/>
        <w:rPr>
          <w:rFonts w:ascii="Times New Roman" w:hAnsi="Times New Roman" w:cs="Times New Roman"/>
          <w:sz w:val="24"/>
          <w:szCs w:val="24"/>
        </w:rPr>
      </w:pPr>
      <w:r w:rsidRPr="0071497D">
        <w:rPr>
          <w:rFonts w:ascii="Times New Roman" w:hAnsi="Times New Roman" w:cs="Times New Roman"/>
          <w:sz w:val="24"/>
          <w:szCs w:val="24"/>
        </w:rPr>
        <w:t>“before considering the formation of Amarna society, its institutions, rules, and roles, three points should be stressed: 1. The states of the Ancient Near East formed and international society, at least during the last centuries of the Late Bronze Age. 2. The Amarna Age was an international society in the making, the first of its kind. 3. Amarna society was structurally different from other international societies.”</w:t>
      </w:r>
      <w:r>
        <w:rPr>
          <w:rStyle w:val="FootnoteReference"/>
          <w:rFonts w:ascii="Times New Roman" w:hAnsi="Times New Roman" w:cs="Times New Roman"/>
          <w:sz w:val="24"/>
          <w:szCs w:val="24"/>
        </w:rPr>
        <w:footnoteReference w:id="58"/>
      </w:r>
    </w:p>
    <w:p w14:paraId="2FCAFD16" w14:textId="77777777" w:rsidR="0071497D" w:rsidRDefault="0071497D" w:rsidP="0071497D">
      <w:pPr>
        <w:jc w:val="both"/>
        <w:rPr>
          <w:rFonts w:ascii="Times New Roman" w:hAnsi="Times New Roman" w:cs="Times New Roman"/>
          <w:sz w:val="24"/>
          <w:szCs w:val="24"/>
        </w:rPr>
      </w:pPr>
    </w:p>
    <w:p w14:paraId="38806871" w14:textId="77777777" w:rsidR="0071497D" w:rsidRDefault="0071497D" w:rsidP="0071497D">
      <w:pPr>
        <w:spacing w:line="480" w:lineRule="auto"/>
        <w:rPr>
          <w:rFonts w:ascii="Times New Roman" w:hAnsi="Times New Roman" w:cs="Times New Roman"/>
          <w:sz w:val="24"/>
          <w:szCs w:val="24"/>
        </w:rPr>
      </w:pPr>
      <w:r w:rsidRPr="0071497D">
        <w:rPr>
          <w:rFonts w:ascii="Times New Roman" w:hAnsi="Times New Roman" w:cs="Times New Roman"/>
          <w:sz w:val="24"/>
          <w:szCs w:val="24"/>
        </w:rPr>
        <w:lastRenderedPageBreak/>
        <w:t>The Amarna Letters were discovered around 1887 in Amarna and span at most thirty years, including the Amarna Period. Three hundred and eighty-two tablets were found and were sorted into three categories: letters between Egypt and powers equal to their own; letters between Egypt and smaller vassals (Syria and Palestine mainly); and miscellaneous texts for training purposes.</w:t>
      </w:r>
      <w:r>
        <w:rPr>
          <w:rStyle w:val="FootnoteReference"/>
          <w:rFonts w:ascii="Times New Roman" w:hAnsi="Times New Roman" w:cs="Times New Roman"/>
          <w:sz w:val="24"/>
          <w:szCs w:val="24"/>
        </w:rPr>
        <w:footnoteReference w:id="59"/>
      </w:r>
      <w:r>
        <w:rPr>
          <w:rFonts w:ascii="Times New Roman" w:hAnsi="Times New Roman" w:cs="Times New Roman"/>
          <w:sz w:val="24"/>
          <w:szCs w:val="24"/>
        </w:rPr>
        <w:t xml:space="preserve"> </w:t>
      </w:r>
      <w:r w:rsidRPr="0071497D">
        <w:rPr>
          <w:rFonts w:ascii="Times New Roman" w:hAnsi="Times New Roman" w:cs="Times New Roman"/>
          <w:sz w:val="24"/>
          <w:szCs w:val="24"/>
        </w:rPr>
        <w:t>The majority of the letters seem to be foreign powers asking the pharaoh to send them items, normally gold. It seems that these types of letters have possibly gone unanswered; this is yet another reason Akhenaten has been accused of being poor at foreign diplomacy. However, most pharaohs before him had not acknowledged these requests either, so this evidence is invalid. The survival of the Amarna Letters is why they are such an important source of information for Egyptian international diplomacy: as Kemp states</w:t>
      </w:r>
      <w:r>
        <w:rPr>
          <w:rFonts w:ascii="Times New Roman" w:hAnsi="Times New Roman" w:cs="Times New Roman"/>
          <w:sz w:val="24"/>
          <w:szCs w:val="24"/>
        </w:rPr>
        <w:t>:</w:t>
      </w:r>
    </w:p>
    <w:p w14:paraId="5B5ADA12" w14:textId="594AFCD3" w:rsidR="005F74AA" w:rsidRDefault="0071497D" w:rsidP="0071497D">
      <w:pPr>
        <w:jc w:val="both"/>
        <w:rPr>
          <w:rFonts w:ascii="Times New Roman" w:hAnsi="Times New Roman" w:cs="Times New Roman"/>
          <w:sz w:val="24"/>
          <w:szCs w:val="24"/>
        </w:rPr>
      </w:pPr>
      <w:r w:rsidRPr="0071497D">
        <w:rPr>
          <w:rFonts w:ascii="Times New Roman" w:hAnsi="Times New Roman" w:cs="Times New Roman"/>
          <w:sz w:val="24"/>
          <w:szCs w:val="24"/>
        </w:rPr>
        <w:t>“administration in Egypt centred on written records, mostly papyri, but also, for correspondence with parts of the Near East and eastern Mediterranean, clay tablets. It was accepted in ancient Egypt that when disputes arose, over ownership of property or ways in which individuals had behaved, it was important to refer to written documentation. Some kinds of documents were kept over several generations, so substantial space for storing them was required.</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60"/>
      </w:r>
      <w:r w:rsidR="005F74AA" w:rsidRPr="005F74AA">
        <w:rPr>
          <w:rFonts w:ascii="Times New Roman" w:hAnsi="Times New Roman" w:cs="Times New Roman"/>
          <w:sz w:val="24"/>
          <w:szCs w:val="24"/>
        </w:rPr>
        <w:t xml:space="preserve"> </w:t>
      </w:r>
    </w:p>
    <w:p w14:paraId="2CD2064B" w14:textId="10482458" w:rsidR="0071497D" w:rsidRDefault="0071497D" w:rsidP="0071497D">
      <w:pPr>
        <w:jc w:val="both"/>
        <w:rPr>
          <w:rFonts w:ascii="Times New Roman" w:hAnsi="Times New Roman" w:cs="Times New Roman"/>
          <w:sz w:val="24"/>
          <w:szCs w:val="24"/>
        </w:rPr>
      </w:pPr>
    </w:p>
    <w:p w14:paraId="3AA7072E" w14:textId="7D4C9DA2" w:rsidR="0071497D" w:rsidRDefault="0071497D" w:rsidP="0071497D">
      <w:pPr>
        <w:spacing w:line="480" w:lineRule="auto"/>
        <w:rPr>
          <w:rFonts w:ascii="Times New Roman" w:hAnsi="Times New Roman" w:cs="Times New Roman"/>
          <w:sz w:val="24"/>
          <w:szCs w:val="24"/>
        </w:rPr>
      </w:pPr>
      <w:r w:rsidRPr="0071497D">
        <w:rPr>
          <w:rFonts w:ascii="Times New Roman" w:hAnsi="Times New Roman" w:cs="Times New Roman"/>
          <w:sz w:val="24"/>
          <w:szCs w:val="24"/>
        </w:rPr>
        <w:t>Therefore, it is perhaps not the physical materiality of the letters that is revolutionary in a sense, but rather the information they give us, especially considering the attempted destruction of anything to do with Amarna. Considering the prominence of Akhenaten’s queen Nefertiti during this period, we would perhaps be expecting her to be mentioned somewhere in the letters. However, although we find several reference</w:t>
      </w:r>
      <w:r w:rsidR="008022DC">
        <w:rPr>
          <w:rFonts w:ascii="Times New Roman" w:hAnsi="Times New Roman" w:cs="Times New Roman"/>
          <w:sz w:val="24"/>
          <w:szCs w:val="24"/>
        </w:rPr>
        <w:t>s</w:t>
      </w:r>
      <w:bookmarkStart w:id="6" w:name="_GoBack"/>
      <w:bookmarkEnd w:id="6"/>
      <w:r w:rsidRPr="0071497D">
        <w:rPr>
          <w:rFonts w:ascii="Times New Roman" w:hAnsi="Times New Roman" w:cs="Times New Roman"/>
          <w:sz w:val="24"/>
          <w:szCs w:val="24"/>
        </w:rPr>
        <w:t xml:space="preserve"> enquiring after the health of Akhenaten’s mother Tiye, there is no mention of Nefertiti anywhere, as Tyldesley explains</w:t>
      </w:r>
      <w:r>
        <w:rPr>
          <w:rFonts w:ascii="Times New Roman" w:hAnsi="Times New Roman" w:cs="Times New Roman"/>
          <w:sz w:val="24"/>
          <w:szCs w:val="24"/>
        </w:rPr>
        <w:t>:</w:t>
      </w:r>
    </w:p>
    <w:p w14:paraId="24554D7C" w14:textId="77777777" w:rsidR="0071497D" w:rsidRDefault="0071497D" w:rsidP="0071497D">
      <w:pPr>
        <w:jc w:val="both"/>
        <w:rPr>
          <w:rFonts w:ascii="Times New Roman" w:hAnsi="Times New Roman" w:cs="Times New Roman"/>
          <w:sz w:val="24"/>
          <w:szCs w:val="24"/>
        </w:rPr>
      </w:pPr>
      <w:r w:rsidRPr="0071497D">
        <w:rPr>
          <w:rFonts w:ascii="Times New Roman" w:hAnsi="Times New Roman" w:cs="Times New Roman"/>
          <w:sz w:val="24"/>
          <w:szCs w:val="24"/>
        </w:rPr>
        <w:t>“Nefertiti’s curious exclusion from the Amarna Letters does seem to suggest that her influence was confined to the religious sphere. It may also be, at least in part, a reflection of her husband’s general lack of interest in all foreign affairs, although there is perhaps a danger that Akhenaten’s pacifism and insularity may in turn be overstated. While no one could claim Akhenaten as one of the great Egyptian warrior pharaohs, the empire certainly did not collapse during his reign. Unfortunately, as the sequence of Amarna Letters is obviously incomplete we are forced to draw our deductions from a markedly one-sided view of events.”</w:t>
      </w:r>
      <w:r>
        <w:rPr>
          <w:rStyle w:val="FootnoteReference"/>
          <w:rFonts w:ascii="Times New Roman" w:hAnsi="Times New Roman" w:cs="Times New Roman"/>
          <w:sz w:val="24"/>
          <w:szCs w:val="24"/>
        </w:rPr>
        <w:footnoteReference w:id="61"/>
      </w:r>
      <w:r w:rsidRPr="0071497D">
        <w:rPr>
          <w:rFonts w:ascii="Times New Roman" w:hAnsi="Times New Roman" w:cs="Times New Roman"/>
          <w:sz w:val="24"/>
          <w:szCs w:val="24"/>
        </w:rPr>
        <w:t xml:space="preserve"> </w:t>
      </w:r>
    </w:p>
    <w:p w14:paraId="117B9B44" w14:textId="77777777" w:rsidR="0071497D" w:rsidRDefault="0071497D" w:rsidP="0071497D">
      <w:pPr>
        <w:jc w:val="both"/>
        <w:rPr>
          <w:rFonts w:ascii="Times New Roman" w:hAnsi="Times New Roman" w:cs="Times New Roman"/>
          <w:sz w:val="24"/>
          <w:szCs w:val="24"/>
        </w:rPr>
      </w:pPr>
    </w:p>
    <w:p w14:paraId="3EBF5876" w14:textId="4A031828" w:rsidR="0071497D" w:rsidRDefault="00680395" w:rsidP="0071497D">
      <w:pPr>
        <w:spacing w:line="480" w:lineRule="auto"/>
        <w:rPr>
          <w:rFonts w:ascii="Times New Roman" w:hAnsi="Times New Roman" w:cs="Times New Roman"/>
          <w:sz w:val="24"/>
          <w:szCs w:val="24"/>
        </w:rPr>
      </w:pPr>
      <w:r w:rsidRPr="00680395">
        <w:rPr>
          <w:rFonts w:ascii="Times New Roman" w:hAnsi="Times New Roman" w:cs="Times New Roman"/>
          <w:sz w:val="24"/>
          <w:szCs w:val="24"/>
        </w:rPr>
        <w:lastRenderedPageBreak/>
        <w:t>Therefore, even if the Amarna Letters can tell us a phenomenal amount of information concerning international diplomacy, in most cases we do not have Egypt’s responses, making them a rather controversial source. We cannot expect the Letters to conclusively be used to make a statement regarding Akhenaten’s effectiveness on foreign politics because we simply do not have all the evidence. Until this evidence can be confirmed, we cannot truly examine whether Akhenaten’s revolution had influenced, or even impacted, upon international diplomacy.</w:t>
      </w:r>
    </w:p>
    <w:p w14:paraId="73C28966" w14:textId="091E0A37" w:rsidR="00680395" w:rsidRDefault="00680395" w:rsidP="0071497D">
      <w:pPr>
        <w:spacing w:line="480" w:lineRule="auto"/>
        <w:rPr>
          <w:rFonts w:ascii="Times New Roman" w:hAnsi="Times New Roman" w:cs="Times New Roman"/>
          <w:sz w:val="24"/>
          <w:szCs w:val="24"/>
        </w:rPr>
      </w:pPr>
    </w:p>
    <w:p w14:paraId="607A92B5" w14:textId="659EEC17" w:rsidR="00680395" w:rsidRDefault="00680395" w:rsidP="0071497D">
      <w:pPr>
        <w:spacing w:line="480" w:lineRule="auto"/>
        <w:rPr>
          <w:rFonts w:ascii="Times New Roman" w:hAnsi="Times New Roman" w:cs="Times New Roman"/>
          <w:sz w:val="24"/>
          <w:szCs w:val="24"/>
        </w:rPr>
      </w:pPr>
      <w:r w:rsidRPr="00680395">
        <w:rPr>
          <w:rFonts w:ascii="Times New Roman" w:hAnsi="Times New Roman" w:cs="Times New Roman"/>
          <w:sz w:val="24"/>
          <w:szCs w:val="24"/>
        </w:rPr>
        <w:t>In conclusion,</w:t>
      </w:r>
    </w:p>
    <w:p w14:paraId="11147411" w14:textId="77777777" w:rsidR="00680395" w:rsidRDefault="00680395" w:rsidP="00680395">
      <w:pPr>
        <w:jc w:val="both"/>
        <w:rPr>
          <w:rFonts w:ascii="Times New Roman" w:hAnsi="Times New Roman" w:cs="Times New Roman"/>
          <w:sz w:val="24"/>
          <w:szCs w:val="24"/>
        </w:rPr>
      </w:pPr>
      <w:r w:rsidRPr="00680395">
        <w:rPr>
          <w:rFonts w:ascii="Times New Roman" w:hAnsi="Times New Roman" w:cs="Times New Roman"/>
          <w:sz w:val="24"/>
          <w:szCs w:val="24"/>
        </w:rPr>
        <w:t>“the most remarkable feature of the Amarna system of international relations was its survival for more than two hundred years. Despite competition, the power and its prestige, vigilance to potential threats, and the domestic glorification of prowess in battle, the Great Powers mostly succeeded in avoiding war. They negotiated rather than fought, with rare exceptions, and succeeded in accommodating each other’s needs and ambitions while facilitating trade and cultural contact.”</w:t>
      </w:r>
      <w:r>
        <w:rPr>
          <w:rStyle w:val="FootnoteReference"/>
          <w:rFonts w:ascii="Times New Roman" w:hAnsi="Times New Roman" w:cs="Times New Roman"/>
          <w:sz w:val="24"/>
          <w:szCs w:val="24"/>
        </w:rPr>
        <w:footnoteReference w:id="62"/>
      </w:r>
    </w:p>
    <w:p w14:paraId="44159450" w14:textId="77777777" w:rsidR="00680395" w:rsidRDefault="00680395" w:rsidP="00680395">
      <w:pPr>
        <w:jc w:val="both"/>
        <w:rPr>
          <w:rFonts w:ascii="Times New Roman" w:hAnsi="Times New Roman" w:cs="Times New Roman"/>
          <w:sz w:val="24"/>
          <w:szCs w:val="24"/>
        </w:rPr>
      </w:pPr>
    </w:p>
    <w:p w14:paraId="1CD414EF" w14:textId="4F0B0B20" w:rsidR="00680395" w:rsidRPr="00196167" w:rsidRDefault="00680395" w:rsidP="00680395">
      <w:pPr>
        <w:spacing w:line="480" w:lineRule="auto"/>
        <w:rPr>
          <w:rFonts w:ascii="Times New Roman" w:hAnsi="Times New Roman" w:cs="Times New Roman"/>
          <w:sz w:val="24"/>
          <w:szCs w:val="24"/>
        </w:rPr>
      </w:pPr>
      <w:r w:rsidRPr="00680395">
        <w:rPr>
          <w:rFonts w:ascii="Times New Roman" w:hAnsi="Times New Roman" w:cs="Times New Roman"/>
          <w:sz w:val="24"/>
          <w:szCs w:val="24"/>
        </w:rPr>
        <w:t xml:space="preserve"> Akhenaten’s stance on international diplomacy did not differ from those of his predecessors, despite the attempts of modern scholars to blame him for the decline of the empire. The only revolutionary aspect of it was his focus perhaps more on his religious callings. However, this does not necessarily mean he was bad at foreign relations. Unfortunately our main source, the Amarna Letters, are heavily one-sided, which impacts our ability to conclusively detangle international diplomacy during the Amarna Period. </w:t>
      </w:r>
    </w:p>
    <w:p w14:paraId="67517599" w14:textId="77777777" w:rsidR="00D41458" w:rsidRDefault="00D41458">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6E261139" w14:textId="091DADFF" w:rsidR="00D41458" w:rsidRPr="00C80359" w:rsidRDefault="00D41458" w:rsidP="00D41458">
      <w:pPr>
        <w:pStyle w:val="Heading1"/>
        <w:rPr>
          <w:rFonts w:ascii="Times New Roman" w:hAnsi="Times New Roman" w:cs="Times New Roman"/>
          <w:color w:val="000000" w:themeColor="text1"/>
        </w:rPr>
      </w:pPr>
      <w:bookmarkStart w:id="7" w:name="_Toc513620245"/>
      <w:r w:rsidRPr="00C80359">
        <w:rPr>
          <w:rFonts w:ascii="Times New Roman" w:hAnsi="Times New Roman" w:cs="Times New Roman"/>
          <w:color w:val="000000" w:themeColor="text1"/>
        </w:rPr>
        <w:lastRenderedPageBreak/>
        <w:t>Chapter 4- Visions of Beauty: Women during the Amarna Period</w:t>
      </w:r>
      <w:bookmarkEnd w:id="7"/>
    </w:p>
    <w:p w14:paraId="52A8C0DD" w14:textId="2EFBC517" w:rsidR="000A5A51" w:rsidRDefault="000A5A51" w:rsidP="000A5A51"/>
    <w:p w14:paraId="0BC4BEED" w14:textId="15DD4D16" w:rsidR="000A5A51" w:rsidRDefault="000A5A51" w:rsidP="000A5A51"/>
    <w:p w14:paraId="65E3074D" w14:textId="59FF3452" w:rsidR="000A5A51" w:rsidRDefault="000A5A51" w:rsidP="000A5A51">
      <w:pPr>
        <w:spacing w:line="480" w:lineRule="auto"/>
        <w:rPr>
          <w:rFonts w:ascii="Times New Roman" w:hAnsi="Times New Roman" w:cs="Times New Roman"/>
          <w:sz w:val="24"/>
          <w:szCs w:val="24"/>
        </w:rPr>
      </w:pPr>
      <w:r w:rsidRPr="000A5A51">
        <w:rPr>
          <w:rFonts w:ascii="Times New Roman" w:hAnsi="Times New Roman" w:cs="Times New Roman"/>
          <w:sz w:val="24"/>
          <w:szCs w:val="24"/>
        </w:rPr>
        <w:t>Nefertiti is one of the most famous faces in ancient Egyptian history</w:t>
      </w:r>
      <w:r w:rsidRPr="000A5A51">
        <w:t>.</w:t>
      </w:r>
      <w:r>
        <w:rPr>
          <w:rStyle w:val="FootnoteReference"/>
        </w:rPr>
        <w:footnoteReference w:id="63"/>
      </w:r>
      <w:r w:rsidRPr="000A5A51">
        <w:t xml:space="preserve">  </w:t>
      </w:r>
      <w:r w:rsidRPr="000A5A51">
        <w:rPr>
          <w:rFonts w:ascii="Times New Roman" w:hAnsi="Times New Roman" w:cs="Times New Roman"/>
          <w:sz w:val="24"/>
          <w:szCs w:val="24"/>
        </w:rPr>
        <w:t>Instantly recognisable, her beauty has often overshadowed the power she held in Egyptian society, but also the influence and power she potentially held alongside her husband. To gain an insight into the role Nefertiti played during the Amarna Period and why it was revolutionary, we need to examine the role of women generally within Egyptian society. Tyldesley writes</w:t>
      </w:r>
      <w:r>
        <w:rPr>
          <w:rFonts w:ascii="Times New Roman" w:hAnsi="Times New Roman" w:cs="Times New Roman"/>
          <w:sz w:val="24"/>
          <w:szCs w:val="24"/>
        </w:rPr>
        <w:t>:</w:t>
      </w:r>
    </w:p>
    <w:p w14:paraId="340B95DD" w14:textId="77777777" w:rsidR="000A5A51" w:rsidRDefault="000A5A51" w:rsidP="000A5A51">
      <w:pPr>
        <w:jc w:val="both"/>
        <w:rPr>
          <w:rFonts w:ascii="Times New Roman" w:hAnsi="Times New Roman" w:cs="Times New Roman"/>
          <w:sz w:val="24"/>
          <w:szCs w:val="24"/>
        </w:rPr>
      </w:pPr>
      <w:r w:rsidRPr="000A5A51">
        <w:rPr>
          <w:rFonts w:ascii="Times New Roman" w:hAnsi="Times New Roman" w:cs="Times New Roman"/>
          <w:sz w:val="24"/>
          <w:szCs w:val="24"/>
        </w:rPr>
        <w:t>“the women of the Eighteenth Dynasty enjoyed a freedom that made them unique in the ancient world. They had the same legal rights as men, and were permitted to own property, to work outside the home, and to live alone and raise their children without the protection of a male guardian. Nevertheless, few women received a formal education and, in a country where maybe between two and ten percent of the population was literate, few women could read or write. Women were not expected to train for careers. They were expected to marry and produce children, and mothers enjoyed a position of great respect within the home and the wide community. Nefertiti was no exception.”</w:t>
      </w:r>
      <w:r>
        <w:rPr>
          <w:rStyle w:val="FootnoteReference"/>
          <w:rFonts w:ascii="Times New Roman" w:hAnsi="Times New Roman" w:cs="Times New Roman"/>
          <w:sz w:val="24"/>
          <w:szCs w:val="24"/>
        </w:rPr>
        <w:footnoteReference w:id="64"/>
      </w:r>
      <w:r w:rsidRPr="000A5A51">
        <w:rPr>
          <w:rFonts w:ascii="Times New Roman" w:hAnsi="Times New Roman" w:cs="Times New Roman"/>
          <w:sz w:val="24"/>
          <w:szCs w:val="24"/>
        </w:rPr>
        <w:t xml:space="preserve"> </w:t>
      </w:r>
    </w:p>
    <w:p w14:paraId="5EED9D7D" w14:textId="77777777" w:rsidR="000A5A51" w:rsidRDefault="000A5A51" w:rsidP="000A5A51">
      <w:pPr>
        <w:jc w:val="both"/>
        <w:rPr>
          <w:rFonts w:ascii="Times New Roman" w:hAnsi="Times New Roman" w:cs="Times New Roman"/>
          <w:sz w:val="24"/>
          <w:szCs w:val="24"/>
        </w:rPr>
      </w:pPr>
    </w:p>
    <w:p w14:paraId="2E870156" w14:textId="3E46E5C4" w:rsidR="000A5A51" w:rsidRDefault="000A5A51" w:rsidP="000A5A51">
      <w:pPr>
        <w:spacing w:line="480" w:lineRule="auto"/>
        <w:rPr>
          <w:rFonts w:ascii="Times New Roman" w:hAnsi="Times New Roman" w:cs="Times New Roman"/>
          <w:sz w:val="24"/>
          <w:szCs w:val="24"/>
        </w:rPr>
      </w:pPr>
      <w:r w:rsidRPr="000A5A51">
        <w:rPr>
          <w:rFonts w:ascii="Times New Roman" w:hAnsi="Times New Roman" w:cs="Times New Roman"/>
          <w:sz w:val="24"/>
          <w:szCs w:val="24"/>
        </w:rPr>
        <w:t>Therefore, perhaps to the ancient Egyptians, Nefertiti’s role was not that revolutionary as Egyptian women were afforded a substantial amount of power within society. However, if you are to look at the wider context, Nefertiti is positioned in a place of power almost equal to her husband, and feasibly, her power spread into areas where it would not have normally, like religion. On the other hand, it must be remembered that queens before Nefertiti had been afforded a degree of prominence alongside their kings; most recently, Nefertiti’s mother-in-law, Tiye.</w:t>
      </w:r>
      <w:r>
        <w:rPr>
          <w:rStyle w:val="FootnoteReference"/>
          <w:rFonts w:ascii="Times New Roman" w:hAnsi="Times New Roman" w:cs="Times New Roman"/>
          <w:sz w:val="24"/>
          <w:szCs w:val="24"/>
        </w:rPr>
        <w:footnoteReference w:id="65"/>
      </w:r>
    </w:p>
    <w:p w14:paraId="73D456AF" w14:textId="6B20AF15" w:rsidR="000A5A51" w:rsidRDefault="000A5A51" w:rsidP="000A5A51">
      <w:pPr>
        <w:jc w:val="both"/>
        <w:rPr>
          <w:rFonts w:ascii="Times New Roman" w:hAnsi="Times New Roman" w:cs="Times New Roman"/>
          <w:sz w:val="24"/>
          <w:szCs w:val="24"/>
        </w:rPr>
      </w:pPr>
      <w:r w:rsidRPr="000A5A51">
        <w:rPr>
          <w:rFonts w:ascii="Times New Roman" w:hAnsi="Times New Roman" w:cs="Times New Roman"/>
          <w:sz w:val="24"/>
          <w:szCs w:val="24"/>
        </w:rPr>
        <w:t>“The late seventeenth and earlier eighteenth dynasties had already yielded a series of powerful queen regents and queen consorts, with Tiye, wife of Amenhotep III and mother of Akhenaten, one of the most prominent. Tiye, conspicuously featured in many inscriptions and statues, abandoned traditional queenly reticence and stood alongside rather than behind her husband, providing the female complement to his kingly role.”</w:t>
      </w:r>
      <w:r>
        <w:rPr>
          <w:rStyle w:val="FootnoteReference"/>
          <w:rFonts w:ascii="Times New Roman" w:hAnsi="Times New Roman" w:cs="Times New Roman"/>
          <w:sz w:val="24"/>
          <w:szCs w:val="24"/>
        </w:rPr>
        <w:footnoteReference w:id="66"/>
      </w:r>
      <w:r w:rsidRPr="000A5A51">
        <w:rPr>
          <w:rFonts w:ascii="Times New Roman" w:hAnsi="Times New Roman" w:cs="Times New Roman"/>
          <w:sz w:val="24"/>
          <w:szCs w:val="24"/>
        </w:rPr>
        <w:t xml:space="preserve">  </w:t>
      </w:r>
    </w:p>
    <w:p w14:paraId="5FE9A87F" w14:textId="21F1F152" w:rsidR="000A5A51" w:rsidRDefault="000A5A51" w:rsidP="000A5A51">
      <w:pPr>
        <w:jc w:val="both"/>
        <w:rPr>
          <w:rFonts w:ascii="Times New Roman" w:hAnsi="Times New Roman" w:cs="Times New Roman"/>
          <w:sz w:val="24"/>
          <w:szCs w:val="24"/>
        </w:rPr>
      </w:pPr>
    </w:p>
    <w:p w14:paraId="59C3A0D1" w14:textId="7C2259D0" w:rsidR="000A5A51" w:rsidRDefault="000A5A51" w:rsidP="000A5A51">
      <w:pPr>
        <w:spacing w:line="480" w:lineRule="auto"/>
        <w:rPr>
          <w:rFonts w:ascii="Times New Roman" w:hAnsi="Times New Roman" w:cs="Times New Roman"/>
          <w:sz w:val="24"/>
          <w:szCs w:val="24"/>
        </w:rPr>
      </w:pPr>
      <w:r w:rsidRPr="000A5A51">
        <w:rPr>
          <w:rFonts w:ascii="Times New Roman" w:hAnsi="Times New Roman" w:cs="Times New Roman"/>
          <w:sz w:val="24"/>
          <w:szCs w:val="24"/>
        </w:rPr>
        <w:lastRenderedPageBreak/>
        <w:t>Perhaps Nefertiti wished to emulate her mother-in-law and fortunately, Akhenaten was willing to emphasise the importance of his queen. Waterson also argues that Tiye, using her personality as an advantage, influenced not only her husband, but her son as well.</w:t>
      </w:r>
      <w:r w:rsidR="00A34A9E">
        <w:rPr>
          <w:rStyle w:val="FootnoteReference"/>
          <w:rFonts w:ascii="Times New Roman" w:hAnsi="Times New Roman" w:cs="Times New Roman"/>
          <w:sz w:val="24"/>
          <w:szCs w:val="24"/>
        </w:rPr>
        <w:footnoteReference w:id="67"/>
      </w:r>
      <w:r w:rsidR="00A34A9E">
        <w:rPr>
          <w:rFonts w:ascii="Times New Roman" w:hAnsi="Times New Roman" w:cs="Times New Roman"/>
          <w:sz w:val="24"/>
          <w:szCs w:val="24"/>
        </w:rPr>
        <w:t xml:space="preserve"> </w:t>
      </w:r>
      <w:r w:rsidR="00A34A9E" w:rsidRPr="00A34A9E">
        <w:rPr>
          <w:rFonts w:ascii="Times New Roman" w:hAnsi="Times New Roman" w:cs="Times New Roman"/>
          <w:sz w:val="24"/>
          <w:szCs w:val="24"/>
        </w:rPr>
        <w:t>Could this also be true of Nefertiti?</w:t>
      </w:r>
    </w:p>
    <w:p w14:paraId="4CDC8CD4" w14:textId="44137C0E" w:rsidR="00A34A9E" w:rsidRDefault="00A34A9E" w:rsidP="000A5A51">
      <w:pPr>
        <w:spacing w:line="480" w:lineRule="auto"/>
        <w:rPr>
          <w:rFonts w:ascii="Times New Roman" w:hAnsi="Times New Roman" w:cs="Times New Roman"/>
          <w:sz w:val="24"/>
          <w:szCs w:val="24"/>
        </w:rPr>
      </w:pPr>
    </w:p>
    <w:p w14:paraId="3A8AF329" w14:textId="2DE4E2E7" w:rsidR="00A34A9E" w:rsidRDefault="00A873A9" w:rsidP="000A5A51">
      <w:pPr>
        <w:spacing w:line="480" w:lineRule="auto"/>
        <w:rPr>
          <w:rFonts w:ascii="Times New Roman" w:hAnsi="Times New Roman" w:cs="Times New Roman"/>
          <w:sz w:val="24"/>
          <w:szCs w:val="24"/>
        </w:rPr>
      </w:pPr>
      <w:r w:rsidRPr="00A873A9">
        <w:rPr>
          <w:rFonts w:ascii="Times New Roman" w:hAnsi="Times New Roman" w:cs="Times New Roman"/>
          <w:sz w:val="24"/>
          <w:szCs w:val="24"/>
        </w:rPr>
        <w:t>An example of how we know the prominence of women during the Amarna Period are the depictions of Nefertiti. Fletcher argues</w:t>
      </w:r>
      <w:r>
        <w:rPr>
          <w:rFonts w:ascii="Times New Roman" w:hAnsi="Times New Roman" w:cs="Times New Roman"/>
          <w:sz w:val="24"/>
          <w:szCs w:val="24"/>
        </w:rPr>
        <w:t>:</w:t>
      </w:r>
    </w:p>
    <w:p w14:paraId="3B6C9818" w14:textId="77777777" w:rsidR="00A873A9" w:rsidRDefault="00A873A9" w:rsidP="00A873A9">
      <w:pPr>
        <w:jc w:val="both"/>
        <w:rPr>
          <w:rFonts w:ascii="Times New Roman" w:hAnsi="Times New Roman" w:cs="Times New Roman"/>
          <w:sz w:val="24"/>
          <w:szCs w:val="24"/>
        </w:rPr>
      </w:pPr>
      <w:r w:rsidRPr="00A873A9">
        <w:rPr>
          <w:rFonts w:ascii="Times New Roman" w:hAnsi="Times New Roman" w:cs="Times New Roman"/>
          <w:sz w:val="24"/>
          <w:szCs w:val="24"/>
        </w:rPr>
        <w:t>“the Egyptian acknowledgement of the female capacity for violence was not, however, restricted to goddesses. In a range of artistic representations, female town dwellers stab invading male soldiers, a female pharaoh fires arrows at a male opponent, Hatshepsut carries a mace when still a queen, Tiye attacks the enemy as a sphinx and Nefertiti executes prisoners with her scimitar. Although such scenes are usually brushed aside as fictitious or ritual events, they can all be supported by literary and archaeological evidence, which is less easy to ignore. Some women were sufficiently threatening to be listed as enemies of the state.”</w:t>
      </w:r>
      <w:r>
        <w:rPr>
          <w:rStyle w:val="FootnoteReference"/>
          <w:rFonts w:ascii="Times New Roman" w:hAnsi="Times New Roman" w:cs="Times New Roman"/>
          <w:sz w:val="24"/>
          <w:szCs w:val="24"/>
        </w:rPr>
        <w:footnoteReference w:id="68"/>
      </w:r>
      <w:r w:rsidRPr="00A873A9">
        <w:rPr>
          <w:rFonts w:ascii="Times New Roman" w:hAnsi="Times New Roman" w:cs="Times New Roman"/>
          <w:sz w:val="24"/>
          <w:szCs w:val="24"/>
        </w:rPr>
        <w:t xml:space="preserve"> </w:t>
      </w:r>
    </w:p>
    <w:p w14:paraId="1F09F009" w14:textId="77777777" w:rsidR="00A873A9" w:rsidRDefault="00A873A9" w:rsidP="00A873A9">
      <w:pPr>
        <w:jc w:val="both"/>
        <w:rPr>
          <w:rFonts w:ascii="Times New Roman" w:hAnsi="Times New Roman" w:cs="Times New Roman"/>
          <w:sz w:val="24"/>
          <w:szCs w:val="24"/>
        </w:rPr>
      </w:pPr>
    </w:p>
    <w:p w14:paraId="40E183D2" w14:textId="3CC3480D" w:rsidR="00A873A9" w:rsidRDefault="00A873A9" w:rsidP="00A873A9">
      <w:pPr>
        <w:spacing w:line="480" w:lineRule="auto"/>
        <w:rPr>
          <w:rFonts w:ascii="Times New Roman" w:hAnsi="Times New Roman" w:cs="Times New Roman"/>
          <w:sz w:val="24"/>
          <w:szCs w:val="24"/>
        </w:rPr>
      </w:pPr>
      <w:r w:rsidRPr="00A873A9">
        <w:rPr>
          <w:rFonts w:ascii="Times New Roman" w:hAnsi="Times New Roman" w:cs="Times New Roman"/>
          <w:sz w:val="24"/>
          <w:szCs w:val="24"/>
        </w:rPr>
        <w:t xml:space="preserve"> These depictions show women performing actions that are normally associated with men, especially violent ones. However, is it really surprising that women were being shown as defenders of Egypt? The goddess of war was Sekhmet, a female deity. Why should women not also be shown as defenders of their country? After all, they were raising the next generation of Egyptians. As some of these reliefs date from before the Amarna Period, it is perhaps safe to assume that the trend of depicting strong women started in previous dynasties, but it was allowed to flourish during the Amarna Period.</w:t>
      </w:r>
      <w:r>
        <w:rPr>
          <w:rFonts w:ascii="Times New Roman" w:hAnsi="Times New Roman" w:cs="Times New Roman"/>
          <w:sz w:val="24"/>
          <w:szCs w:val="24"/>
        </w:rPr>
        <w:t xml:space="preserve"> </w:t>
      </w:r>
      <w:r w:rsidRPr="00A873A9">
        <w:rPr>
          <w:rFonts w:ascii="Times New Roman" w:hAnsi="Times New Roman" w:cs="Times New Roman"/>
          <w:sz w:val="24"/>
          <w:szCs w:val="24"/>
        </w:rPr>
        <w:t>Alongside militaristic reliefs, Nefertiti is often shown alongside her husband, but also wearing kingly regalia:</w:t>
      </w:r>
    </w:p>
    <w:p w14:paraId="4D977193" w14:textId="77777777" w:rsidR="00A873A9" w:rsidRDefault="00A873A9" w:rsidP="00A873A9">
      <w:pPr>
        <w:jc w:val="both"/>
        <w:rPr>
          <w:rFonts w:ascii="Times New Roman" w:hAnsi="Times New Roman" w:cs="Times New Roman"/>
          <w:sz w:val="24"/>
          <w:szCs w:val="24"/>
        </w:rPr>
      </w:pPr>
      <w:r w:rsidRPr="00A873A9">
        <w:rPr>
          <w:rFonts w:ascii="Times New Roman" w:hAnsi="Times New Roman" w:cs="Times New Roman"/>
          <w:sz w:val="24"/>
          <w:szCs w:val="24"/>
        </w:rPr>
        <w:t>“Nefertiti’s remarkable position beside her husband was emphasised by their frequent and shared depictions and in her own distinct regalia. This included the typical helmet crown, a characteristic, sack-like hood and various other types of crowns that were reserved for either male rulers or goddesses such as Tefnut and Hathor. Although these exceptional depictions certainly deserve scholarly investigation, they do not justify statements to the effect that Nefertiti significantly helped form- or was the driving force behind- her husband’s new teaching.”</w:t>
      </w:r>
      <w:r>
        <w:rPr>
          <w:rStyle w:val="FootnoteReference"/>
          <w:rFonts w:ascii="Times New Roman" w:hAnsi="Times New Roman" w:cs="Times New Roman"/>
          <w:sz w:val="24"/>
          <w:szCs w:val="24"/>
        </w:rPr>
        <w:footnoteReference w:id="69"/>
      </w:r>
      <w:r w:rsidRPr="00A873A9">
        <w:rPr>
          <w:rFonts w:ascii="Times New Roman" w:hAnsi="Times New Roman" w:cs="Times New Roman"/>
          <w:sz w:val="24"/>
          <w:szCs w:val="24"/>
        </w:rPr>
        <w:t xml:space="preserve"> </w:t>
      </w:r>
    </w:p>
    <w:p w14:paraId="3016D40B" w14:textId="77777777" w:rsidR="00A873A9" w:rsidRDefault="00A873A9" w:rsidP="00A873A9">
      <w:pPr>
        <w:spacing w:line="480" w:lineRule="auto"/>
        <w:rPr>
          <w:rFonts w:ascii="Times New Roman" w:hAnsi="Times New Roman" w:cs="Times New Roman"/>
          <w:sz w:val="24"/>
          <w:szCs w:val="24"/>
        </w:rPr>
      </w:pPr>
    </w:p>
    <w:p w14:paraId="5A965749" w14:textId="77777777" w:rsidR="00A873A9" w:rsidRDefault="00A873A9" w:rsidP="00A873A9">
      <w:pPr>
        <w:spacing w:line="480" w:lineRule="auto"/>
        <w:rPr>
          <w:rFonts w:ascii="Times New Roman" w:hAnsi="Times New Roman" w:cs="Times New Roman"/>
          <w:sz w:val="24"/>
          <w:szCs w:val="24"/>
        </w:rPr>
      </w:pPr>
      <w:r w:rsidRPr="00A873A9">
        <w:rPr>
          <w:rFonts w:ascii="Times New Roman" w:hAnsi="Times New Roman" w:cs="Times New Roman"/>
          <w:sz w:val="24"/>
          <w:szCs w:val="24"/>
        </w:rPr>
        <w:lastRenderedPageBreak/>
        <w:t xml:space="preserve">Often, these depictions </w:t>
      </w:r>
      <w:r>
        <w:rPr>
          <w:rFonts w:ascii="Times New Roman" w:hAnsi="Times New Roman" w:cs="Times New Roman"/>
          <w:sz w:val="24"/>
          <w:szCs w:val="24"/>
        </w:rPr>
        <w:t>were</w:t>
      </w:r>
      <w:r w:rsidRPr="00A873A9">
        <w:rPr>
          <w:rFonts w:ascii="Times New Roman" w:hAnsi="Times New Roman" w:cs="Times New Roman"/>
          <w:sz w:val="24"/>
          <w:szCs w:val="24"/>
        </w:rPr>
        <w:t xml:space="preserve"> religious in nature</w:t>
      </w:r>
      <w:r>
        <w:rPr>
          <w:rFonts w:ascii="Times New Roman" w:hAnsi="Times New Roman" w:cs="Times New Roman"/>
          <w:sz w:val="24"/>
          <w:szCs w:val="24"/>
        </w:rPr>
        <w:t>.</w:t>
      </w:r>
    </w:p>
    <w:p w14:paraId="03A3F937" w14:textId="77777777" w:rsidR="00A873A9" w:rsidRDefault="00A873A9" w:rsidP="00A873A9">
      <w:pPr>
        <w:spacing w:line="480" w:lineRule="auto"/>
        <w:rPr>
          <w:rFonts w:ascii="Times New Roman" w:hAnsi="Times New Roman" w:cs="Times New Roman"/>
          <w:sz w:val="24"/>
          <w:szCs w:val="24"/>
        </w:rPr>
      </w:pPr>
    </w:p>
    <w:p w14:paraId="2AAFEE62" w14:textId="2ADFF816" w:rsidR="00A873A9" w:rsidRDefault="00E665A1" w:rsidP="00A873A9">
      <w:pPr>
        <w:spacing w:line="480" w:lineRule="auto"/>
        <w:rPr>
          <w:rFonts w:ascii="Times New Roman" w:hAnsi="Times New Roman" w:cs="Times New Roman"/>
          <w:sz w:val="24"/>
          <w:szCs w:val="24"/>
        </w:rPr>
      </w:pPr>
      <w:r w:rsidRPr="00E665A1">
        <w:rPr>
          <w:rFonts w:ascii="Times New Roman" w:hAnsi="Times New Roman" w:cs="Times New Roman"/>
          <w:sz w:val="24"/>
          <w:szCs w:val="24"/>
        </w:rPr>
        <w:t>Within religion, it is safe to assume that Nefertiti held a status equal to her husband. She is often shown performing religious rituals, in some cases even leading them, without her husband. Waterson tells us that, at Waset in particular, Nefertiti is extremely prominent:</w:t>
      </w:r>
    </w:p>
    <w:p w14:paraId="6EF281F6" w14:textId="77777777" w:rsidR="00E665A1" w:rsidRDefault="00E665A1" w:rsidP="00E665A1">
      <w:pPr>
        <w:jc w:val="both"/>
        <w:rPr>
          <w:rFonts w:ascii="Times New Roman" w:hAnsi="Times New Roman" w:cs="Times New Roman"/>
          <w:sz w:val="24"/>
          <w:szCs w:val="24"/>
        </w:rPr>
      </w:pPr>
      <w:r w:rsidRPr="00E665A1">
        <w:rPr>
          <w:rFonts w:ascii="Times New Roman" w:hAnsi="Times New Roman" w:cs="Times New Roman"/>
          <w:sz w:val="24"/>
          <w:szCs w:val="24"/>
        </w:rPr>
        <w:t>“reliefs in the two structures show Nefertiti officiating alone, standing in the place normally reserved for the king before the heavily-loaded offering tables. In every scene she is accompanied either by Meretaten or, more rarely, by Meketaten or Ankhesenpaaten, her three eldest daughters, each princess shaking a sistrum; but Akhenaten is nowhere to be seen.”</w:t>
      </w:r>
      <w:r>
        <w:rPr>
          <w:rStyle w:val="FootnoteReference"/>
          <w:rFonts w:ascii="Times New Roman" w:hAnsi="Times New Roman" w:cs="Times New Roman"/>
          <w:sz w:val="24"/>
          <w:szCs w:val="24"/>
        </w:rPr>
        <w:footnoteReference w:id="70"/>
      </w:r>
      <w:r w:rsidRPr="00E665A1">
        <w:rPr>
          <w:rFonts w:ascii="Times New Roman" w:hAnsi="Times New Roman" w:cs="Times New Roman"/>
          <w:sz w:val="24"/>
          <w:szCs w:val="24"/>
        </w:rPr>
        <w:t xml:space="preserve"> </w:t>
      </w:r>
    </w:p>
    <w:p w14:paraId="441D4DF7" w14:textId="77777777" w:rsidR="00E665A1" w:rsidRDefault="00E665A1" w:rsidP="00E665A1">
      <w:pPr>
        <w:jc w:val="both"/>
        <w:rPr>
          <w:rFonts w:ascii="Times New Roman" w:hAnsi="Times New Roman" w:cs="Times New Roman"/>
          <w:sz w:val="24"/>
          <w:szCs w:val="24"/>
        </w:rPr>
      </w:pPr>
    </w:p>
    <w:p w14:paraId="26FFADF8" w14:textId="77777777" w:rsidR="00E665A1" w:rsidRDefault="00E665A1" w:rsidP="00E665A1">
      <w:pPr>
        <w:spacing w:line="480" w:lineRule="auto"/>
        <w:rPr>
          <w:rFonts w:ascii="Times New Roman" w:hAnsi="Times New Roman" w:cs="Times New Roman"/>
          <w:sz w:val="24"/>
          <w:szCs w:val="24"/>
        </w:rPr>
      </w:pPr>
      <w:r w:rsidRPr="00E665A1">
        <w:rPr>
          <w:rFonts w:ascii="Times New Roman" w:hAnsi="Times New Roman" w:cs="Times New Roman"/>
          <w:sz w:val="24"/>
          <w:szCs w:val="24"/>
        </w:rPr>
        <w:t>This suggests to me that Akhenaten trusted his queen enough to allow her to lead rituals dedicated to the Aten. As he was now high-priest of the Aten, it is interesting that Nefertiti should be depicted instead, but it perhaps give us a unique insight into the religious hierarchy during this time. Nefertiti’s own divinity is also called into question by scholars. In the Amarna Period, it is argued that Nefertiti herself was often seen as divine. She was now part of the divine triad; herself, Akhenaten and the Aten. As stated at the start of this chapter, women held great respect in Egyptian society for having children. Nefertiti and Akhenaten had at least six daughters that we know of, albeit no sons. However, her pregnancies were a sign of her fertility, and therefore, in a way, a sign of Egypt’s:</w:t>
      </w:r>
    </w:p>
    <w:p w14:paraId="6D3D2E3E" w14:textId="50F01FB9" w:rsidR="00E665A1" w:rsidRPr="000A5A51" w:rsidRDefault="00E665A1" w:rsidP="00E665A1">
      <w:pPr>
        <w:jc w:val="both"/>
        <w:rPr>
          <w:rFonts w:ascii="Times New Roman" w:hAnsi="Times New Roman" w:cs="Times New Roman"/>
          <w:sz w:val="24"/>
          <w:szCs w:val="24"/>
        </w:rPr>
      </w:pPr>
      <w:r w:rsidRPr="00E665A1">
        <w:rPr>
          <w:rFonts w:ascii="Times New Roman" w:hAnsi="Times New Roman" w:cs="Times New Roman"/>
          <w:sz w:val="24"/>
          <w:szCs w:val="24"/>
        </w:rPr>
        <w:t>“her frequent pregnancies also seem to have reinforced Nefertiti’s role as the life-giving creator goddess, her status as a mother being an important part of her ritualised role.”</w:t>
      </w:r>
      <w:r>
        <w:rPr>
          <w:rStyle w:val="FootnoteReference"/>
          <w:rFonts w:ascii="Times New Roman" w:hAnsi="Times New Roman" w:cs="Times New Roman"/>
          <w:sz w:val="24"/>
          <w:szCs w:val="24"/>
        </w:rPr>
        <w:footnoteReference w:id="71"/>
      </w:r>
      <w:r w:rsidRPr="00E665A1">
        <w:rPr>
          <w:rFonts w:ascii="Times New Roman" w:hAnsi="Times New Roman" w:cs="Times New Roman"/>
          <w:sz w:val="24"/>
          <w:szCs w:val="24"/>
        </w:rPr>
        <w:t xml:space="preserve">  </w:t>
      </w:r>
    </w:p>
    <w:p w14:paraId="3C73791F" w14:textId="1ABB2E47" w:rsidR="00D41458" w:rsidRDefault="00D41458" w:rsidP="00D41458"/>
    <w:p w14:paraId="19EB26E6" w14:textId="77777777" w:rsidR="00E665A1" w:rsidRDefault="00E665A1" w:rsidP="00D41458"/>
    <w:p w14:paraId="045C5C9E" w14:textId="07209886" w:rsidR="00D41458" w:rsidRDefault="008D475F" w:rsidP="008D475F">
      <w:pPr>
        <w:spacing w:line="480" w:lineRule="auto"/>
        <w:rPr>
          <w:rFonts w:ascii="Times New Roman" w:hAnsi="Times New Roman" w:cs="Times New Roman"/>
          <w:sz w:val="24"/>
          <w:szCs w:val="24"/>
        </w:rPr>
      </w:pPr>
      <w:r w:rsidRPr="008D475F">
        <w:rPr>
          <w:rFonts w:ascii="Times New Roman" w:hAnsi="Times New Roman" w:cs="Times New Roman"/>
          <w:sz w:val="24"/>
          <w:szCs w:val="24"/>
        </w:rPr>
        <w:t xml:space="preserve">However, there is really only one piece of evidence that potentially confirms her divinity, and it is </w:t>
      </w:r>
      <w:r w:rsidR="00AB796B">
        <w:rPr>
          <w:rFonts w:ascii="Times New Roman" w:hAnsi="Times New Roman" w:cs="Times New Roman"/>
          <w:sz w:val="24"/>
          <w:szCs w:val="24"/>
        </w:rPr>
        <w:t>linked to Akhenaten</w:t>
      </w:r>
      <w:r w:rsidRPr="008D475F">
        <w:rPr>
          <w:rFonts w:ascii="Times New Roman" w:hAnsi="Times New Roman" w:cs="Times New Roman"/>
          <w:sz w:val="24"/>
          <w:szCs w:val="24"/>
        </w:rPr>
        <w:t>:</w:t>
      </w:r>
    </w:p>
    <w:p w14:paraId="11ED4604" w14:textId="77777777" w:rsidR="00AB796B" w:rsidRDefault="00AB796B" w:rsidP="00AB796B">
      <w:pPr>
        <w:jc w:val="both"/>
        <w:rPr>
          <w:rFonts w:ascii="Times New Roman" w:hAnsi="Times New Roman" w:cs="Times New Roman"/>
          <w:sz w:val="24"/>
          <w:szCs w:val="24"/>
        </w:rPr>
      </w:pPr>
      <w:r w:rsidRPr="00AB796B">
        <w:rPr>
          <w:rFonts w:ascii="Times New Roman" w:hAnsi="Times New Roman" w:cs="Times New Roman"/>
          <w:sz w:val="24"/>
          <w:szCs w:val="24"/>
        </w:rPr>
        <w:t xml:space="preserve">“the four corners of the sarcophagus were embellished with representations of Nefertiti in raised relief, standing with her arms outstretched and palms flat along the sarcophagus sides as if to embrace and protect the dead king. The carving of the figure is somewhat clumsy, and does not bear much resemblance to other images of the queen, but she is clearly labelled and there can be little doubt over her identity. Nefertiti wears a fine pleated dress, a long-curled wig, a double uraeus </w:t>
      </w:r>
      <w:r w:rsidRPr="00AB796B">
        <w:rPr>
          <w:rFonts w:ascii="Times New Roman" w:hAnsi="Times New Roman" w:cs="Times New Roman"/>
          <w:sz w:val="24"/>
          <w:szCs w:val="24"/>
        </w:rPr>
        <w:lastRenderedPageBreak/>
        <w:t>and a complicated and unusual crown incorporating a sun disc, cobra frieze, double uraeus and two tall feathers.”</w:t>
      </w:r>
      <w:r>
        <w:rPr>
          <w:rStyle w:val="FootnoteReference"/>
          <w:rFonts w:ascii="Times New Roman" w:hAnsi="Times New Roman" w:cs="Times New Roman"/>
          <w:sz w:val="24"/>
          <w:szCs w:val="24"/>
        </w:rPr>
        <w:footnoteReference w:id="72"/>
      </w:r>
    </w:p>
    <w:p w14:paraId="63E4FB82" w14:textId="77777777" w:rsidR="00AB796B" w:rsidRDefault="00AB796B" w:rsidP="00AB796B">
      <w:pPr>
        <w:jc w:val="both"/>
        <w:rPr>
          <w:rFonts w:ascii="Times New Roman" w:hAnsi="Times New Roman" w:cs="Times New Roman"/>
          <w:sz w:val="24"/>
          <w:szCs w:val="24"/>
        </w:rPr>
      </w:pPr>
    </w:p>
    <w:p w14:paraId="399B821F" w14:textId="77777777" w:rsidR="00AB796B" w:rsidRDefault="00AB796B" w:rsidP="00AB796B">
      <w:pPr>
        <w:spacing w:line="480" w:lineRule="auto"/>
        <w:rPr>
          <w:rFonts w:ascii="Times New Roman" w:hAnsi="Times New Roman" w:cs="Times New Roman"/>
          <w:sz w:val="24"/>
          <w:szCs w:val="24"/>
        </w:rPr>
      </w:pPr>
      <w:r w:rsidRPr="00AB796B">
        <w:rPr>
          <w:rFonts w:ascii="Times New Roman" w:hAnsi="Times New Roman" w:cs="Times New Roman"/>
          <w:sz w:val="24"/>
          <w:szCs w:val="24"/>
        </w:rPr>
        <w:t>This depiction of Nefertiti is intriguing because the places she is carved is traditionally where funerary goddesses would have been placed to protect the king in the afterlife. However, due to the change of funerary beliefs during the Amarna Period, this change symbolizes the religious revolution of Akhenaten, and perhaps that he wanted his wife to protect him in the afterlife. On the other hand, this alone cannot be evidence of Nefertiti’s divinity.</w:t>
      </w:r>
    </w:p>
    <w:p w14:paraId="0ECF4959" w14:textId="77777777" w:rsidR="00AB796B" w:rsidRDefault="00AB796B" w:rsidP="00AB796B">
      <w:pPr>
        <w:spacing w:line="480" w:lineRule="auto"/>
        <w:rPr>
          <w:rFonts w:ascii="Times New Roman" w:hAnsi="Times New Roman" w:cs="Times New Roman"/>
          <w:sz w:val="24"/>
          <w:szCs w:val="24"/>
        </w:rPr>
      </w:pPr>
    </w:p>
    <w:p w14:paraId="0F5A6581" w14:textId="77777777" w:rsidR="008972AA" w:rsidRDefault="008972AA" w:rsidP="00AB796B">
      <w:pPr>
        <w:spacing w:line="480" w:lineRule="auto"/>
        <w:rPr>
          <w:rFonts w:ascii="Times New Roman" w:hAnsi="Times New Roman" w:cs="Times New Roman"/>
          <w:sz w:val="24"/>
          <w:szCs w:val="24"/>
        </w:rPr>
      </w:pPr>
      <w:r w:rsidRPr="008972AA">
        <w:rPr>
          <w:rFonts w:ascii="Times New Roman" w:hAnsi="Times New Roman" w:cs="Times New Roman"/>
          <w:sz w:val="24"/>
          <w:szCs w:val="24"/>
        </w:rPr>
        <w:t>Akhenaten and Nefertiti’s daughters were also afforded a place of prominence during the Amarna Period. We know of six daughters: Meretaten (Beloved of the Aten); Meketaten (Protected by the Aten); Ankhesenpaaten (May she live for the Aten); Neferneferuaten Tasherit (Nefertiti the Younger); Neferneferure (Perfect is the goddess of Re) and Setepenre (Chosen by Re).</w:t>
      </w:r>
      <w:r>
        <w:rPr>
          <w:rStyle w:val="FootnoteReference"/>
          <w:rFonts w:ascii="Times New Roman" w:hAnsi="Times New Roman" w:cs="Times New Roman"/>
          <w:sz w:val="24"/>
          <w:szCs w:val="24"/>
        </w:rPr>
        <w:footnoteReference w:id="73"/>
      </w:r>
      <w:r>
        <w:rPr>
          <w:rFonts w:ascii="Times New Roman" w:hAnsi="Times New Roman" w:cs="Times New Roman"/>
          <w:sz w:val="24"/>
          <w:szCs w:val="24"/>
        </w:rPr>
        <w:t xml:space="preserve"> </w:t>
      </w:r>
      <w:r w:rsidRPr="008972AA">
        <w:rPr>
          <w:rFonts w:ascii="Times New Roman" w:hAnsi="Times New Roman" w:cs="Times New Roman"/>
          <w:sz w:val="24"/>
          <w:szCs w:val="24"/>
        </w:rPr>
        <w:t>Their daughters are depicted again and again; more often than not, when their parents are depicted, they are also. Although it is not rare to see children, especially daughters, represented, it is rare to see them portrayed with such love and affection that they are. It is also unusual to see them depicted in a relaxed family environment with their parents, who at this time due to the religious revolution, had been elevated to the status of gods. As Arnold states</w:t>
      </w:r>
      <w:r>
        <w:rPr>
          <w:rFonts w:ascii="Times New Roman" w:hAnsi="Times New Roman" w:cs="Times New Roman"/>
          <w:sz w:val="24"/>
          <w:szCs w:val="24"/>
        </w:rPr>
        <w:t>:</w:t>
      </w:r>
    </w:p>
    <w:p w14:paraId="47A7A01A" w14:textId="77777777" w:rsidR="008972AA" w:rsidRDefault="008972AA" w:rsidP="008972AA">
      <w:pPr>
        <w:jc w:val="both"/>
        <w:rPr>
          <w:rFonts w:ascii="Times New Roman" w:hAnsi="Times New Roman" w:cs="Times New Roman"/>
          <w:sz w:val="24"/>
          <w:szCs w:val="24"/>
        </w:rPr>
      </w:pPr>
      <w:r w:rsidRPr="008972AA">
        <w:rPr>
          <w:rFonts w:ascii="Times New Roman" w:hAnsi="Times New Roman" w:cs="Times New Roman"/>
          <w:sz w:val="24"/>
          <w:szCs w:val="24"/>
        </w:rPr>
        <w:t>“there can be no doubt that both Akhenaten and Nefertiti were extremely proud of their six daughters. One has the distinct impression that this-and not just the girls’ religious significance- was the reason they were so often depicted in Amarna art, and depicted with such care, even love.”</w:t>
      </w:r>
      <w:r>
        <w:rPr>
          <w:rStyle w:val="FootnoteReference"/>
          <w:rFonts w:ascii="Times New Roman" w:hAnsi="Times New Roman" w:cs="Times New Roman"/>
          <w:sz w:val="24"/>
          <w:szCs w:val="24"/>
        </w:rPr>
        <w:footnoteReference w:id="74"/>
      </w:r>
      <w:r w:rsidRPr="008972AA">
        <w:rPr>
          <w:rFonts w:ascii="Times New Roman" w:hAnsi="Times New Roman" w:cs="Times New Roman"/>
          <w:sz w:val="24"/>
          <w:szCs w:val="24"/>
        </w:rPr>
        <w:t xml:space="preserve"> </w:t>
      </w:r>
    </w:p>
    <w:p w14:paraId="4E4F9BB2" w14:textId="77777777" w:rsidR="008972AA" w:rsidRDefault="008972AA" w:rsidP="008972AA">
      <w:pPr>
        <w:jc w:val="both"/>
        <w:rPr>
          <w:rFonts w:ascii="Times New Roman" w:hAnsi="Times New Roman" w:cs="Times New Roman"/>
          <w:sz w:val="24"/>
          <w:szCs w:val="24"/>
        </w:rPr>
      </w:pPr>
    </w:p>
    <w:p w14:paraId="46D5554F" w14:textId="77777777" w:rsidR="008972AA" w:rsidRDefault="008972AA" w:rsidP="008972AA">
      <w:pPr>
        <w:spacing w:line="480" w:lineRule="auto"/>
        <w:rPr>
          <w:rFonts w:ascii="Times New Roman" w:hAnsi="Times New Roman" w:cs="Times New Roman"/>
          <w:sz w:val="24"/>
          <w:szCs w:val="24"/>
        </w:rPr>
      </w:pPr>
    </w:p>
    <w:p w14:paraId="08880DF2" w14:textId="4B1EE1D7" w:rsidR="00AB796B" w:rsidRDefault="008972AA" w:rsidP="008972AA">
      <w:pPr>
        <w:spacing w:line="480" w:lineRule="auto"/>
        <w:rPr>
          <w:rFonts w:ascii="Times New Roman" w:hAnsi="Times New Roman" w:cs="Times New Roman"/>
          <w:sz w:val="24"/>
          <w:szCs w:val="24"/>
        </w:rPr>
      </w:pPr>
      <w:r>
        <w:rPr>
          <w:rFonts w:ascii="Times New Roman" w:hAnsi="Times New Roman" w:cs="Times New Roman"/>
          <w:sz w:val="24"/>
          <w:szCs w:val="24"/>
        </w:rPr>
        <w:t>In modern scholarship, t</w:t>
      </w:r>
      <w:r w:rsidRPr="008972AA">
        <w:rPr>
          <w:rFonts w:ascii="Times New Roman" w:hAnsi="Times New Roman" w:cs="Times New Roman"/>
          <w:sz w:val="24"/>
          <w:szCs w:val="24"/>
        </w:rPr>
        <w:t>here is another debate about whether Nefertiti was actually co-regent to Akhenaten, especially during the later years of the Amarna Period. According to Fletcher</w:t>
      </w:r>
      <w:r>
        <w:rPr>
          <w:rFonts w:ascii="Times New Roman" w:hAnsi="Times New Roman" w:cs="Times New Roman"/>
          <w:sz w:val="24"/>
          <w:szCs w:val="24"/>
        </w:rPr>
        <w:t>:</w:t>
      </w:r>
    </w:p>
    <w:p w14:paraId="7ACAC61A" w14:textId="7133E84F" w:rsidR="008972AA" w:rsidRDefault="008972AA" w:rsidP="008972AA">
      <w:pPr>
        <w:jc w:val="both"/>
        <w:rPr>
          <w:rFonts w:ascii="Times New Roman" w:hAnsi="Times New Roman" w:cs="Times New Roman"/>
          <w:sz w:val="24"/>
          <w:szCs w:val="24"/>
        </w:rPr>
      </w:pPr>
      <w:r w:rsidRPr="008972AA">
        <w:rPr>
          <w:rFonts w:ascii="Times New Roman" w:hAnsi="Times New Roman" w:cs="Times New Roman"/>
          <w:sz w:val="24"/>
          <w:szCs w:val="24"/>
        </w:rPr>
        <w:t xml:space="preserve">“building on an impressive track record in which she was shown in poses and regalia only used by kings, evidence that Nefertiti became Akhenaten’s co-regent can be found on the co-regency stela </w:t>
      </w:r>
      <w:r w:rsidRPr="008972AA">
        <w:rPr>
          <w:rFonts w:ascii="Times New Roman" w:hAnsi="Times New Roman" w:cs="Times New Roman"/>
          <w:sz w:val="24"/>
          <w:szCs w:val="24"/>
        </w:rPr>
        <w:lastRenderedPageBreak/>
        <w:t>with its clearly female figure, together with the later tradition that a woman ruled as king in the later Eighteenth dynasty.”</w:t>
      </w:r>
      <w:r>
        <w:rPr>
          <w:rStyle w:val="FootnoteReference"/>
          <w:rFonts w:ascii="Times New Roman" w:hAnsi="Times New Roman" w:cs="Times New Roman"/>
          <w:sz w:val="24"/>
          <w:szCs w:val="24"/>
        </w:rPr>
        <w:footnoteReference w:id="75"/>
      </w:r>
      <w:r w:rsidRPr="008972AA">
        <w:rPr>
          <w:rFonts w:ascii="Times New Roman" w:hAnsi="Times New Roman" w:cs="Times New Roman"/>
          <w:sz w:val="24"/>
          <w:szCs w:val="24"/>
        </w:rPr>
        <w:t xml:space="preserve">  </w:t>
      </w:r>
    </w:p>
    <w:p w14:paraId="6F640593" w14:textId="6B36C160" w:rsidR="008972AA" w:rsidRDefault="008972AA" w:rsidP="008972AA">
      <w:pPr>
        <w:jc w:val="both"/>
        <w:rPr>
          <w:rFonts w:ascii="Times New Roman" w:hAnsi="Times New Roman" w:cs="Times New Roman"/>
          <w:sz w:val="24"/>
          <w:szCs w:val="24"/>
        </w:rPr>
      </w:pPr>
    </w:p>
    <w:p w14:paraId="2EA56C26" w14:textId="168CA4C3" w:rsidR="008972AA" w:rsidRDefault="008972AA" w:rsidP="008972AA">
      <w:pPr>
        <w:spacing w:line="480" w:lineRule="auto"/>
        <w:rPr>
          <w:rFonts w:ascii="Times New Roman" w:hAnsi="Times New Roman" w:cs="Times New Roman"/>
          <w:sz w:val="24"/>
          <w:szCs w:val="24"/>
        </w:rPr>
      </w:pPr>
      <w:r w:rsidRPr="008972AA">
        <w:rPr>
          <w:rFonts w:ascii="Times New Roman" w:hAnsi="Times New Roman" w:cs="Times New Roman"/>
          <w:sz w:val="24"/>
          <w:szCs w:val="24"/>
        </w:rPr>
        <w:t>However, we are lacking any conclusive evidence regarding a co-regency between Akhenaten and Nefertiti. Although she is often depicted as Akhenaten’s equal, this does not necessarily mean that she was equal in every regard. Tyldesley finds it highly unlikely that Nefertiti was Akhenaten’s co-regent stating</w:t>
      </w:r>
      <w:r>
        <w:rPr>
          <w:rFonts w:ascii="Times New Roman" w:hAnsi="Times New Roman" w:cs="Times New Roman"/>
          <w:sz w:val="24"/>
          <w:szCs w:val="24"/>
        </w:rPr>
        <w:t>:</w:t>
      </w:r>
    </w:p>
    <w:p w14:paraId="600B7D1D" w14:textId="77777777" w:rsidR="008972AA" w:rsidRDefault="008972AA" w:rsidP="008972AA">
      <w:pPr>
        <w:jc w:val="both"/>
        <w:rPr>
          <w:rFonts w:ascii="Times New Roman" w:hAnsi="Times New Roman" w:cs="Times New Roman"/>
          <w:sz w:val="24"/>
          <w:szCs w:val="24"/>
        </w:rPr>
      </w:pPr>
      <w:r w:rsidRPr="008972AA">
        <w:rPr>
          <w:rFonts w:ascii="Times New Roman" w:hAnsi="Times New Roman" w:cs="Times New Roman"/>
          <w:sz w:val="24"/>
          <w:szCs w:val="24"/>
        </w:rPr>
        <w:t>“in the absence of any textual evidence to support the theory of Nefertiti as co-regent, hints as to her precise role have been sought in an examination of her appearance, her actions and her accessories as represented in reliefs and sculpture. The conclusions which can be drawn from such a survey are meagre and will always be open to doubt. Even though she is frequently depicted at the same scale as her husband, Nefertiti’s size does not provide us with any clue to her status. The concept of the queen shown at the same scale of her husband had already been introduced with art of Amenhotep III and Tiye, and this naturally continues into the reign of their son. In fact Nefertiti’s height differs from scene to scene; she variously appears at near-equal size to or much smaller than the king, and it seems that she was occasionally depicted at a smaller scale for artistic rather than political purposes, so that the descending line of the king, queen and daughters would reflect the sloping rays of the Aten.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76"/>
      </w:r>
      <w:r w:rsidRPr="008972AA">
        <w:rPr>
          <w:rFonts w:ascii="Times New Roman" w:hAnsi="Times New Roman" w:cs="Times New Roman"/>
          <w:sz w:val="24"/>
          <w:szCs w:val="24"/>
        </w:rPr>
        <w:t xml:space="preserve"> </w:t>
      </w:r>
    </w:p>
    <w:p w14:paraId="2816E0E4" w14:textId="77777777" w:rsidR="008972AA" w:rsidRDefault="008972AA" w:rsidP="008972AA">
      <w:pPr>
        <w:jc w:val="both"/>
        <w:rPr>
          <w:rFonts w:ascii="Times New Roman" w:hAnsi="Times New Roman" w:cs="Times New Roman"/>
          <w:sz w:val="24"/>
          <w:szCs w:val="24"/>
        </w:rPr>
      </w:pPr>
    </w:p>
    <w:p w14:paraId="2C9981F7" w14:textId="42E46478" w:rsidR="008972AA" w:rsidRDefault="008972AA" w:rsidP="008972AA">
      <w:pPr>
        <w:spacing w:line="480" w:lineRule="auto"/>
        <w:rPr>
          <w:rFonts w:ascii="Times New Roman" w:hAnsi="Times New Roman" w:cs="Times New Roman"/>
          <w:sz w:val="24"/>
          <w:szCs w:val="24"/>
        </w:rPr>
      </w:pPr>
      <w:r w:rsidRPr="008972AA">
        <w:rPr>
          <w:rFonts w:ascii="Times New Roman" w:hAnsi="Times New Roman" w:cs="Times New Roman"/>
          <w:sz w:val="24"/>
          <w:szCs w:val="24"/>
        </w:rPr>
        <w:t xml:space="preserve"> Therefore, using Tyldesley’s analysis, I personally think that it is very unlikely that there was ever a co-regency between Akhenaten and Nefertiti because the evidence provided for this claim is very weak. The depictions of Nefertiti shown at an equal size to Akhenaten could just be artistic representation. Also, perhaps the emphasis on her importance relates more to the religious sphere rather than the political one.</w:t>
      </w:r>
    </w:p>
    <w:p w14:paraId="4EEF2337" w14:textId="4726C3BB" w:rsidR="008972AA" w:rsidRDefault="008972AA" w:rsidP="008972AA">
      <w:pPr>
        <w:spacing w:line="480" w:lineRule="auto"/>
        <w:rPr>
          <w:rFonts w:ascii="Times New Roman" w:hAnsi="Times New Roman" w:cs="Times New Roman"/>
          <w:sz w:val="24"/>
          <w:szCs w:val="24"/>
        </w:rPr>
      </w:pPr>
    </w:p>
    <w:p w14:paraId="352FB31A" w14:textId="0AD299A8" w:rsidR="008972AA" w:rsidRDefault="006414A7" w:rsidP="008972AA">
      <w:pPr>
        <w:spacing w:line="480" w:lineRule="auto"/>
        <w:rPr>
          <w:rFonts w:ascii="Times New Roman" w:hAnsi="Times New Roman" w:cs="Times New Roman"/>
          <w:sz w:val="24"/>
          <w:szCs w:val="24"/>
        </w:rPr>
      </w:pPr>
      <w:r w:rsidRPr="006414A7">
        <w:rPr>
          <w:rFonts w:ascii="Times New Roman" w:hAnsi="Times New Roman" w:cs="Times New Roman"/>
          <w:sz w:val="24"/>
          <w:szCs w:val="24"/>
        </w:rPr>
        <w:t>Finally, it is unclear what happened to Nefertiti towards the end of the Amarna Period. She seems to suddenly disappear from the archaeological record with no explanation. To try to explain this, scholars have come up with various interpretations:</w:t>
      </w:r>
    </w:p>
    <w:p w14:paraId="5CBA592A" w14:textId="77777777" w:rsidR="001927A4" w:rsidRDefault="001927A4" w:rsidP="006414A7">
      <w:pPr>
        <w:jc w:val="both"/>
        <w:rPr>
          <w:rFonts w:ascii="Times New Roman" w:hAnsi="Times New Roman" w:cs="Times New Roman"/>
          <w:sz w:val="24"/>
          <w:szCs w:val="24"/>
        </w:rPr>
      </w:pPr>
      <w:r w:rsidRPr="001927A4">
        <w:rPr>
          <w:rFonts w:ascii="Times New Roman" w:hAnsi="Times New Roman" w:cs="Times New Roman"/>
          <w:sz w:val="24"/>
          <w:szCs w:val="24"/>
        </w:rPr>
        <w:t xml:space="preserve">“several historical interpretations have been proposed, but the most common interpretations boil down to four hypotheses. The first suggests that the queen died some-time after the twelfth regnal year of Akhenaten. A second hypothesis claims that the queen fell into disgrace and was banished from the central part of Amarna. She did not leave the town, but moved to a residence in the northern part of Amarna. A variant of this explanation is that the queen left Egypt and moved back to her hometown of either Crete or Syria. These theories are no longer current and have been </w:t>
      </w:r>
      <w:r w:rsidRPr="001927A4">
        <w:rPr>
          <w:rFonts w:ascii="Times New Roman" w:hAnsi="Times New Roman" w:cs="Times New Roman"/>
          <w:sz w:val="24"/>
          <w:szCs w:val="24"/>
        </w:rPr>
        <w:lastRenderedPageBreak/>
        <w:t>replaced by the following two. An influential ‘newer’ theory claims that Nefertiti was made co-regent of Akhenaten around his twelfth regnal year and that she changed her name to Ankhkheperure Neferneferuaten. This means that following his death Nefertiti would be her husband’s direct successor. Akhenaten, however, was not replaced by his wife but by a young male king with the name of Smenkhkare. Smenkhare adopted part of the name of Nefertiti to confirm his kingly status. Finally, it is also argued that it was Nefertiti who eventually changed her name to Smenkhare, based on the fact that there is no evidence that Smenkhare was male.”</w:t>
      </w:r>
      <w:r>
        <w:rPr>
          <w:rStyle w:val="FootnoteReference"/>
          <w:rFonts w:ascii="Times New Roman" w:hAnsi="Times New Roman" w:cs="Times New Roman"/>
          <w:sz w:val="24"/>
          <w:szCs w:val="24"/>
        </w:rPr>
        <w:footnoteReference w:id="77"/>
      </w:r>
      <w:r w:rsidRPr="001927A4">
        <w:rPr>
          <w:rFonts w:ascii="Times New Roman" w:hAnsi="Times New Roman" w:cs="Times New Roman"/>
          <w:sz w:val="24"/>
          <w:szCs w:val="24"/>
        </w:rPr>
        <w:t xml:space="preserve"> </w:t>
      </w:r>
    </w:p>
    <w:p w14:paraId="11F7FDB7" w14:textId="77777777" w:rsidR="001927A4" w:rsidRDefault="001927A4" w:rsidP="006414A7">
      <w:pPr>
        <w:jc w:val="both"/>
        <w:rPr>
          <w:rFonts w:ascii="Times New Roman" w:hAnsi="Times New Roman" w:cs="Times New Roman"/>
          <w:sz w:val="24"/>
          <w:szCs w:val="24"/>
        </w:rPr>
      </w:pPr>
    </w:p>
    <w:p w14:paraId="4C5D82B2" w14:textId="495CB7CF" w:rsidR="006414A7" w:rsidRPr="008D475F" w:rsidRDefault="001927A4" w:rsidP="001927A4">
      <w:pPr>
        <w:spacing w:line="480" w:lineRule="auto"/>
        <w:rPr>
          <w:rFonts w:ascii="Times New Roman" w:hAnsi="Times New Roman" w:cs="Times New Roman"/>
          <w:sz w:val="24"/>
          <w:szCs w:val="24"/>
        </w:rPr>
      </w:pPr>
      <w:r w:rsidRPr="001927A4">
        <w:rPr>
          <w:rFonts w:ascii="Times New Roman" w:hAnsi="Times New Roman" w:cs="Times New Roman"/>
          <w:sz w:val="24"/>
          <w:szCs w:val="24"/>
        </w:rPr>
        <w:t xml:space="preserve">In my opinion, I believe that the most likely scenario is the last theory. Tutankhamun would have been far too young at Akhenaten’s death, so it makes more sense that Akhenaten would pass the throne onto someone that he knew shared the same religious beliefs that he had, and had been by his side his entire reign. Nefertiti became a symbol of Akhenaten’s revolution, both in their time, and in ours.  </w:t>
      </w:r>
    </w:p>
    <w:p w14:paraId="1CFEAB98" w14:textId="5A2116DB" w:rsidR="00D41458" w:rsidRDefault="00D41458" w:rsidP="00D41458"/>
    <w:p w14:paraId="4276A653" w14:textId="77777777" w:rsidR="00D41458" w:rsidRDefault="00D41458">
      <w:r>
        <w:br w:type="page"/>
      </w:r>
    </w:p>
    <w:p w14:paraId="1AB2D84F" w14:textId="74996E15" w:rsidR="00D41458" w:rsidRPr="00C80359" w:rsidRDefault="00D41458" w:rsidP="00D41458">
      <w:pPr>
        <w:pStyle w:val="Heading1"/>
        <w:rPr>
          <w:rFonts w:ascii="Times New Roman" w:hAnsi="Times New Roman" w:cs="Times New Roman"/>
          <w:color w:val="000000" w:themeColor="text1"/>
        </w:rPr>
      </w:pPr>
      <w:bookmarkStart w:id="8" w:name="_Toc513620246"/>
      <w:r w:rsidRPr="00C80359">
        <w:rPr>
          <w:rFonts w:ascii="Times New Roman" w:hAnsi="Times New Roman" w:cs="Times New Roman"/>
          <w:color w:val="000000" w:themeColor="text1"/>
        </w:rPr>
        <w:lastRenderedPageBreak/>
        <w:t>Conclusion- How Revolutionary was the Amarna Period?</w:t>
      </w:r>
      <w:bookmarkEnd w:id="8"/>
    </w:p>
    <w:p w14:paraId="3D211CF5" w14:textId="3A60AA43" w:rsidR="00C95837" w:rsidRDefault="00C95837" w:rsidP="00C95837"/>
    <w:p w14:paraId="390CA29C" w14:textId="77777777" w:rsidR="007234DE" w:rsidRDefault="007234DE" w:rsidP="00C95837">
      <w:pPr>
        <w:spacing w:line="480" w:lineRule="auto"/>
        <w:rPr>
          <w:rFonts w:ascii="Times New Roman" w:hAnsi="Times New Roman" w:cs="Times New Roman"/>
          <w:sz w:val="24"/>
          <w:szCs w:val="24"/>
        </w:rPr>
      </w:pPr>
    </w:p>
    <w:p w14:paraId="29709C37" w14:textId="34C711AA" w:rsidR="00C95837" w:rsidRDefault="00C95837" w:rsidP="00C95837">
      <w:pPr>
        <w:spacing w:line="480" w:lineRule="auto"/>
        <w:rPr>
          <w:rFonts w:ascii="Times New Roman" w:hAnsi="Times New Roman" w:cs="Times New Roman"/>
          <w:sz w:val="24"/>
          <w:szCs w:val="24"/>
        </w:rPr>
      </w:pPr>
      <w:r w:rsidRPr="00C95837">
        <w:rPr>
          <w:rFonts w:ascii="Times New Roman" w:hAnsi="Times New Roman" w:cs="Times New Roman"/>
          <w:sz w:val="24"/>
          <w:szCs w:val="24"/>
        </w:rPr>
        <w:t>Even though the Amarna Period only lasted for a very short period of time, it is the most controversial and revolutionary period of ancient Egyptian history. It was obviously revolutionary enough that after the death of Akhenaten and Nefertiti, everything was reverted back to the way it had been previously. Interestingly, most of these reforms were made by Akhenaten’s son Tutankhaten, who changed his name to Tutankhamun to symbolise th</w:t>
      </w:r>
      <w:r w:rsidR="007234DE">
        <w:rPr>
          <w:rFonts w:ascii="Times New Roman" w:hAnsi="Times New Roman" w:cs="Times New Roman"/>
          <w:sz w:val="24"/>
          <w:szCs w:val="24"/>
        </w:rPr>
        <w:t>e</w:t>
      </w:r>
      <w:r w:rsidRPr="00C95837">
        <w:rPr>
          <w:rFonts w:ascii="Times New Roman" w:hAnsi="Times New Roman" w:cs="Times New Roman"/>
          <w:sz w:val="24"/>
          <w:szCs w:val="24"/>
        </w:rPr>
        <w:t xml:space="preserve"> change</w:t>
      </w:r>
      <w:r w:rsidR="007234DE">
        <w:rPr>
          <w:rFonts w:ascii="Times New Roman" w:hAnsi="Times New Roman" w:cs="Times New Roman"/>
          <w:sz w:val="24"/>
          <w:szCs w:val="24"/>
        </w:rPr>
        <w:t>s he was about to perform</w:t>
      </w:r>
      <w:r w:rsidRPr="00C95837">
        <w:rPr>
          <w:rFonts w:ascii="Times New Roman" w:hAnsi="Times New Roman" w:cs="Times New Roman"/>
          <w:sz w:val="24"/>
          <w:szCs w:val="24"/>
        </w:rPr>
        <w:t>. However, it is debateable how much Tutankhamun was involved in these changes as he was only around nine years old when he succeeded the throne. The changes included reinstating the traditional gods, moving the capital city back to Thebes, and the move back to more traditional artwork. It also included the vast destruction and defacement of anything to do with Akhenaten and Nefertiti.</w:t>
      </w:r>
    </w:p>
    <w:p w14:paraId="53FD7C2D" w14:textId="3E91A6E2" w:rsidR="007234DE" w:rsidRDefault="007234DE" w:rsidP="00C95837">
      <w:pPr>
        <w:spacing w:line="480" w:lineRule="auto"/>
        <w:rPr>
          <w:rFonts w:ascii="Times New Roman" w:hAnsi="Times New Roman" w:cs="Times New Roman"/>
          <w:sz w:val="24"/>
          <w:szCs w:val="24"/>
        </w:rPr>
      </w:pPr>
    </w:p>
    <w:p w14:paraId="74BC1273" w14:textId="1A9E33EE" w:rsidR="007234DE" w:rsidRDefault="007234DE" w:rsidP="00C95837">
      <w:pPr>
        <w:spacing w:line="480" w:lineRule="auto"/>
        <w:rPr>
          <w:rFonts w:ascii="Times New Roman" w:hAnsi="Times New Roman" w:cs="Times New Roman"/>
          <w:sz w:val="24"/>
          <w:szCs w:val="24"/>
        </w:rPr>
      </w:pPr>
      <w:r w:rsidRPr="007234DE">
        <w:rPr>
          <w:rFonts w:ascii="Times New Roman" w:hAnsi="Times New Roman" w:cs="Times New Roman"/>
          <w:sz w:val="24"/>
          <w:szCs w:val="24"/>
        </w:rPr>
        <w:t>In the first chapter, I discussed religion and the impact it had on Egyptian society. Although Akhenaten had completely overthrown the traditional Egyptian religion, it is debatable whether it had a lasting or strong impact on the country as people were still worshipping the traditional gods, albeit on a smaller scale. Akhenaten was also following his father and previous pharaohs in elevating the status of the Aten, however, he did try to alter Egyptian society completely. Another factor that was completely revolutionary was the complete change in funerary beliefs. For Egyptians, most of their lives were dedicated to ensuring their place in the afterlife, and to have this taken away from them must have been completely astounding. Therefore, perhaps the logic behind Akhenaten’s religious revolution was not revolutionary as he was building on what his predecessors had already laid in place. However, his reforms were completely revolutionary as he had elevated the Aten to the status where it was the supreme god, and later in his reign, he did banish the traditional gods.</w:t>
      </w:r>
    </w:p>
    <w:p w14:paraId="423AF8B8" w14:textId="44AD433A" w:rsidR="002E7927" w:rsidRDefault="002E7927" w:rsidP="00C95837">
      <w:pPr>
        <w:spacing w:line="480" w:lineRule="auto"/>
        <w:rPr>
          <w:rFonts w:ascii="Times New Roman" w:hAnsi="Times New Roman" w:cs="Times New Roman"/>
          <w:sz w:val="24"/>
          <w:szCs w:val="24"/>
        </w:rPr>
      </w:pPr>
      <w:r w:rsidRPr="002E7927">
        <w:rPr>
          <w:rFonts w:ascii="Times New Roman" w:hAnsi="Times New Roman" w:cs="Times New Roman"/>
          <w:sz w:val="24"/>
          <w:szCs w:val="24"/>
        </w:rPr>
        <w:lastRenderedPageBreak/>
        <w:t>The differences in art are a particularly interesting part of Akhenaten’s revolution as no pharaoh before, or since, was portrayed in that style. However, Robins does argue that the Amarna Period had a lasting impact on art as figures tended to then be portrayed with the slender limbs from the Amarna Period.</w:t>
      </w:r>
      <w:r>
        <w:rPr>
          <w:rStyle w:val="FootnoteReference"/>
          <w:rFonts w:ascii="Times New Roman" w:hAnsi="Times New Roman" w:cs="Times New Roman"/>
          <w:sz w:val="24"/>
          <w:szCs w:val="24"/>
        </w:rPr>
        <w:footnoteReference w:id="78"/>
      </w:r>
      <w:r>
        <w:rPr>
          <w:rFonts w:ascii="Times New Roman" w:hAnsi="Times New Roman" w:cs="Times New Roman"/>
          <w:sz w:val="24"/>
          <w:szCs w:val="24"/>
        </w:rPr>
        <w:t xml:space="preserve"> </w:t>
      </w:r>
      <w:r w:rsidRPr="002E7927">
        <w:rPr>
          <w:rFonts w:ascii="Times New Roman" w:hAnsi="Times New Roman" w:cs="Times New Roman"/>
          <w:sz w:val="24"/>
          <w:szCs w:val="24"/>
        </w:rPr>
        <w:t xml:space="preserve">The art is very strange looking but it does have more of a religious purpose, rather than making the pharaoh look all powerful. One of my favourite things about Amarna art is the portrayal of the family scenes. You never see these types of scenes elsewhere and I think that they are really lovely examples of the love of family and it gives us a more human insight into the period. This </w:t>
      </w:r>
      <w:r>
        <w:rPr>
          <w:rFonts w:ascii="Times New Roman" w:hAnsi="Times New Roman" w:cs="Times New Roman"/>
          <w:sz w:val="24"/>
          <w:szCs w:val="24"/>
        </w:rPr>
        <w:t>insight</w:t>
      </w:r>
      <w:r w:rsidRPr="002E7927">
        <w:rPr>
          <w:rFonts w:ascii="Times New Roman" w:hAnsi="Times New Roman" w:cs="Times New Roman"/>
          <w:sz w:val="24"/>
          <w:szCs w:val="24"/>
        </w:rPr>
        <w:t xml:space="preserve"> itself is revolutionary.</w:t>
      </w:r>
    </w:p>
    <w:p w14:paraId="45F8D6D2" w14:textId="76560C74" w:rsidR="00652F1E" w:rsidRDefault="00652F1E" w:rsidP="00C95837">
      <w:pPr>
        <w:spacing w:line="480" w:lineRule="auto"/>
        <w:rPr>
          <w:rFonts w:ascii="Times New Roman" w:hAnsi="Times New Roman" w:cs="Times New Roman"/>
          <w:sz w:val="24"/>
          <w:szCs w:val="24"/>
        </w:rPr>
      </w:pPr>
    </w:p>
    <w:p w14:paraId="5E28B9FF" w14:textId="19516962" w:rsidR="00652F1E" w:rsidRDefault="00652F1E" w:rsidP="00C95837">
      <w:pPr>
        <w:spacing w:line="480" w:lineRule="auto"/>
        <w:rPr>
          <w:rFonts w:ascii="Times New Roman" w:hAnsi="Times New Roman" w:cs="Times New Roman"/>
          <w:sz w:val="24"/>
          <w:szCs w:val="24"/>
        </w:rPr>
      </w:pPr>
      <w:r w:rsidRPr="00652F1E">
        <w:rPr>
          <w:rFonts w:ascii="Times New Roman" w:hAnsi="Times New Roman" w:cs="Times New Roman"/>
          <w:sz w:val="24"/>
          <w:szCs w:val="24"/>
        </w:rPr>
        <w:t>Regarding international diplomacy, many assumptions have been made regarding Akhenaten’s foreign policy and stance on war. I think that it is wrong to assume that because he was interested in religion and theology and spent time building temples to the Aten and a new city dedicated to the Aten, that he lacked any interest in foreign politics. I also think that it is very unfair to place all the blame on Akhenaten for Egypt losing some of its empire, especially as problems had started to occur during the reign of his father. There is plenty of evidence to contradict Akhenaten’s assumed pacifism; he just seemed to prefer sending an experienced lieutenant, rather than leading the army himself. As for Akhenaten ignoring letters from other powers, Egyptian pharaohs before him had done this, mainly because the letters were normally asking for gold. The main problem with the Amarna Letters is that we do not have the responses from Egypt which has led scholars to think of Akhenaten in a certain manner. Therefore, Akhenaten’s international diplomacy itself was not revolutionary, but the way it, and him, have been interpreted by modern scholars is revolutionary.</w:t>
      </w:r>
    </w:p>
    <w:p w14:paraId="63449749" w14:textId="596CBEAF" w:rsidR="009C48EE" w:rsidRDefault="009C48EE" w:rsidP="00C95837">
      <w:pPr>
        <w:spacing w:line="480" w:lineRule="auto"/>
        <w:rPr>
          <w:rFonts w:ascii="Times New Roman" w:hAnsi="Times New Roman" w:cs="Times New Roman"/>
          <w:sz w:val="24"/>
          <w:szCs w:val="24"/>
        </w:rPr>
      </w:pPr>
    </w:p>
    <w:p w14:paraId="3BDC2062" w14:textId="6A8F4407" w:rsidR="009C48EE" w:rsidRDefault="009C48EE" w:rsidP="00C95837">
      <w:pPr>
        <w:spacing w:line="480" w:lineRule="auto"/>
        <w:rPr>
          <w:rFonts w:ascii="Times New Roman" w:hAnsi="Times New Roman" w:cs="Times New Roman"/>
          <w:sz w:val="24"/>
          <w:szCs w:val="24"/>
        </w:rPr>
      </w:pPr>
      <w:r w:rsidRPr="009C48EE">
        <w:rPr>
          <w:rFonts w:ascii="Times New Roman" w:hAnsi="Times New Roman" w:cs="Times New Roman"/>
          <w:sz w:val="24"/>
          <w:szCs w:val="24"/>
        </w:rPr>
        <w:lastRenderedPageBreak/>
        <w:t xml:space="preserve">The status of women during the Amarna Period seems to have been a continuation of the status they had been receiving earlier in the </w:t>
      </w:r>
      <w:r>
        <w:rPr>
          <w:rFonts w:ascii="Times New Roman" w:hAnsi="Times New Roman" w:cs="Times New Roman"/>
          <w:sz w:val="24"/>
          <w:szCs w:val="24"/>
        </w:rPr>
        <w:t>E</w:t>
      </w:r>
      <w:r w:rsidRPr="009C48EE">
        <w:rPr>
          <w:rFonts w:ascii="Times New Roman" w:hAnsi="Times New Roman" w:cs="Times New Roman"/>
          <w:sz w:val="24"/>
          <w:szCs w:val="24"/>
        </w:rPr>
        <w:t xml:space="preserve">ighteenth </w:t>
      </w:r>
      <w:r>
        <w:rPr>
          <w:rFonts w:ascii="Times New Roman" w:hAnsi="Times New Roman" w:cs="Times New Roman"/>
          <w:sz w:val="24"/>
          <w:szCs w:val="24"/>
        </w:rPr>
        <w:t>D</w:t>
      </w:r>
      <w:r w:rsidRPr="009C48EE">
        <w:rPr>
          <w:rFonts w:ascii="Times New Roman" w:hAnsi="Times New Roman" w:cs="Times New Roman"/>
          <w:sz w:val="24"/>
          <w:szCs w:val="24"/>
        </w:rPr>
        <w:t xml:space="preserve">ynasty. Queen Tiye had risen to prominence during the reign of her husband, as did Nefertiti during Akhenaten’s. Therefore, I feel it is possible to conclude that Tiye perhaps had an influence on the position Nefertiti received, and therefore it is perhaps less revolutionary than one might first believe. However, it is revolutionary to see Nefertiti depicted without her husband performing religious rituals, most often or not with their eldest daughters. The </w:t>
      </w:r>
      <w:r>
        <w:rPr>
          <w:rFonts w:ascii="Times New Roman" w:hAnsi="Times New Roman" w:cs="Times New Roman"/>
          <w:sz w:val="24"/>
          <w:szCs w:val="24"/>
        </w:rPr>
        <w:t>E</w:t>
      </w:r>
      <w:r w:rsidRPr="009C48EE">
        <w:rPr>
          <w:rFonts w:ascii="Times New Roman" w:hAnsi="Times New Roman" w:cs="Times New Roman"/>
          <w:sz w:val="24"/>
          <w:szCs w:val="24"/>
        </w:rPr>
        <w:t xml:space="preserve">ighteenth </w:t>
      </w:r>
      <w:r>
        <w:rPr>
          <w:rFonts w:ascii="Times New Roman" w:hAnsi="Times New Roman" w:cs="Times New Roman"/>
          <w:sz w:val="24"/>
          <w:szCs w:val="24"/>
        </w:rPr>
        <w:t>D</w:t>
      </w:r>
      <w:r w:rsidRPr="009C48EE">
        <w:rPr>
          <w:rFonts w:ascii="Times New Roman" w:hAnsi="Times New Roman" w:cs="Times New Roman"/>
          <w:sz w:val="24"/>
          <w:szCs w:val="24"/>
        </w:rPr>
        <w:t>ynasty had produced many strong and prominent women who seemed to refuse to be in the background</w:t>
      </w:r>
      <w:r>
        <w:rPr>
          <w:rFonts w:ascii="Times New Roman" w:hAnsi="Times New Roman" w:cs="Times New Roman"/>
          <w:sz w:val="24"/>
          <w:szCs w:val="24"/>
        </w:rPr>
        <w:t>, but this does not conclusively mean that they held any real power.</w:t>
      </w:r>
    </w:p>
    <w:p w14:paraId="1531A64C" w14:textId="2CC57EB6" w:rsidR="00D56192" w:rsidRDefault="00D56192" w:rsidP="00C95837">
      <w:pPr>
        <w:spacing w:line="480" w:lineRule="auto"/>
        <w:rPr>
          <w:rFonts w:ascii="Times New Roman" w:hAnsi="Times New Roman" w:cs="Times New Roman"/>
          <w:sz w:val="24"/>
          <w:szCs w:val="24"/>
        </w:rPr>
      </w:pPr>
    </w:p>
    <w:p w14:paraId="2F9AE270" w14:textId="6658273E" w:rsidR="00D56192" w:rsidRDefault="00D75551" w:rsidP="00C95837">
      <w:pPr>
        <w:spacing w:line="480" w:lineRule="auto"/>
        <w:rPr>
          <w:rFonts w:ascii="Times New Roman" w:hAnsi="Times New Roman" w:cs="Times New Roman"/>
          <w:sz w:val="24"/>
          <w:szCs w:val="24"/>
        </w:rPr>
      </w:pPr>
      <w:r w:rsidRPr="00D75551">
        <w:rPr>
          <w:rFonts w:ascii="Times New Roman" w:hAnsi="Times New Roman" w:cs="Times New Roman"/>
          <w:sz w:val="24"/>
          <w:szCs w:val="24"/>
        </w:rPr>
        <w:t>At the end of the eighteenth dynasty, Akhenaten and Nefertiti were already being wiped from Egyptian history. With the help of the nineteenth dynasty pharaohs, they remained forgotten from history until the discovery of Tutankhamun in 1922 by Howard Carter. However, as Dodson states</w:t>
      </w:r>
      <w:r>
        <w:rPr>
          <w:rFonts w:ascii="Times New Roman" w:hAnsi="Times New Roman" w:cs="Times New Roman"/>
          <w:sz w:val="24"/>
          <w:szCs w:val="24"/>
        </w:rPr>
        <w:t>:</w:t>
      </w:r>
    </w:p>
    <w:p w14:paraId="5EE65D99" w14:textId="651F7876" w:rsidR="00D75551" w:rsidRDefault="00D75551" w:rsidP="00D75551">
      <w:pPr>
        <w:jc w:val="both"/>
        <w:rPr>
          <w:rFonts w:ascii="Times New Roman" w:hAnsi="Times New Roman" w:cs="Times New Roman"/>
          <w:sz w:val="24"/>
          <w:szCs w:val="24"/>
        </w:rPr>
      </w:pPr>
      <w:r w:rsidRPr="00D75551">
        <w:rPr>
          <w:rFonts w:ascii="Times New Roman" w:hAnsi="Times New Roman" w:cs="Times New Roman"/>
          <w:sz w:val="24"/>
          <w:szCs w:val="24"/>
        </w:rPr>
        <w:t>“it is of course the height of irony that, after this intensive campaign to expunge them from the annals of Egypt, the Amarna pharaohs are today probably the most recognised of all the country’s ancient rulers. Indeed, the mask of Tutankhamun and the Berlin bust of Nefertiti are among the most iconic images in the world, while discussion of Akhenaten, his beliefs, and activities, can provoke a level of passion that is unusual regarding a man dead for over three millennia.”</w:t>
      </w:r>
      <w:r>
        <w:rPr>
          <w:rStyle w:val="FootnoteReference"/>
          <w:rFonts w:ascii="Times New Roman" w:hAnsi="Times New Roman" w:cs="Times New Roman"/>
          <w:sz w:val="24"/>
          <w:szCs w:val="24"/>
        </w:rPr>
        <w:footnoteReference w:id="79"/>
      </w:r>
      <w:r w:rsidRPr="00D75551">
        <w:rPr>
          <w:rFonts w:ascii="Times New Roman" w:hAnsi="Times New Roman" w:cs="Times New Roman"/>
          <w:sz w:val="24"/>
          <w:szCs w:val="24"/>
        </w:rPr>
        <w:t xml:space="preserve">  </w:t>
      </w:r>
    </w:p>
    <w:p w14:paraId="035D3A09" w14:textId="2A8825B7" w:rsidR="00D75551" w:rsidRDefault="00D75551" w:rsidP="00D75551">
      <w:pPr>
        <w:jc w:val="both"/>
        <w:rPr>
          <w:rFonts w:ascii="Times New Roman" w:hAnsi="Times New Roman" w:cs="Times New Roman"/>
          <w:sz w:val="24"/>
          <w:szCs w:val="24"/>
        </w:rPr>
      </w:pPr>
    </w:p>
    <w:p w14:paraId="5C70F2D4" w14:textId="77777777" w:rsidR="00D05904" w:rsidRDefault="00063A9A" w:rsidP="00D75551">
      <w:pPr>
        <w:spacing w:line="480" w:lineRule="auto"/>
        <w:rPr>
          <w:rFonts w:ascii="Times New Roman" w:hAnsi="Times New Roman" w:cs="Times New Roman"/>
          <w:sz w:val="24"/>
          <w:szCs w:val="24"/>
        </w:rPr>
      </w:pPr>
      <w:r w:rsidRPr="00063A9A">
        <w:rPr>
          <w:rFonts w:ascii="Times New Roman" w:hAnsi="Times New Roman" w:cs="Times New Roman"/>
          <w:sz w:val="24"/>
          <w:szCs w:val="24"/>
        </w:rPr>
        <w:t>The Amarna Period still has a lot of questions that need to be answered, and I hope</w:t>
      </w:r>
      <w:r>
        <w:rPr>
          <w:rFonts w:ascii="Times New Roman" w:hAnsi="Times New Roman" w:cs="Times New Roman"/>
          <w:sz w:val="24"/>
          <w:szCs w:val="24"/>
        </w:rPr>
        <w:t xml:space="preserve"> that over time, we will eventually find the evidence that we need to understand it.</w:t>
      </w:r>
    </w:p>
    <w:p w14:paraId="2392F8AB" w14:textId="77777777" w:rsidR="00D05904" w:rsidRDefault="00D05904" w:rsidP="00D75551">
      <w:pPr>
        <w:spacing w:line="480" w:lineRule="auto"/>
        <w:rPr>
          <w:rFonts w:ascii="Times New Roman" w:hAnsi="Times New Roman" w:cs="Times New Roman"/>
          <w:sz w:val="24"/>
          <w:szCs w:val="24"/>
        </w:rPr>
      </w:pPr>
    </w:p>
    <w:p w14:paraId="1FCD5F08" w14:textId="77777777" w:rsidR="00D05904" w:rsidRDefault="00D05904" w:rsidP="00D75551">
      <w:pPr>
        <w:spacing w:line="480" w:lineRule="auto"/>
        <w:rPr>
          <w:rFonts w:ascii="Times New Roman" w:hAnsi="Times New Roman" w:cs="Times New Roman"/>
          <w:sz w:val="24"/>
          <w:szCs w:val="24"/>
        </w:rPr>
      </w:pPr>
    </w:p>
    <w:p w14:paraId="7B51FC5E" w14:textId="77777777" w:rsidR="00D05904" w:rsidRDefault="00D05904" w:rsidP="00D75551">
      <w:pPr>
        <w:spacing w:line="480" w:lineRule="auto"/>
        <w:rPr>
          <w:rFonts w:ascii="Times New Roman" w:hAnsi="Times New Roman" w:cs="Times New Roman"/>
          <w:sz w:val="24"/>
          <w:szCs w:val="24"/>
        </w:rPr>
      </w:pPr>
    </w:p>
    <w:p w14:paraId="58AE5C49" w14:textId="77777777" w:rsidR="00D05904" w:rsidRDefault="00D05904" w:rsidP="00D75551">
      <w:pPr>
        <w:spacing w:line="480" w:lineRule="auto"/>
        <w:rPr>
          <w:rFonts w:ascii="Times New Roman" w:hAnsi="Times New Roman" w:cs="Times New Roman"/>
          <w:sz w:val="24"/>
          <w:szCs w:val="24"/>
        </w:rPr>
      </w:pPr>
    </w:p>
    <w:p w14:paraId="79F7944E" w14:textId="77777777" w:rsidR="00D05904" w:rsidRDefault="00D05904" w:rsidP="00D75551">
      <w:pPr>
        <w:spacing w:line="480" w:lineRule="auto"/>
        <w:rPr>
          <w:rFonts w:ascii="Times New Roman" w:hAnsi="Times New Roman" w:cs="Times New Roman"/>
          <w:sz w:val="24"/>
          <w:szCs w:val="24"/>
        </w:rPr>
      </w:pPr>
    </w:p>
    <w:p w14:paraId="441BAB08" w14:textId="3B0BE507" w:rsidR="00D75551" w:rsidRPr="00D05904" w:rsidRDefault="00D05904" w:rsidP="00D05904">
      <w:pPr>
        <w:pStyle w:val="Heading1"/>
        <w:rPr>
          <w:rFonts w:ascii="Times New Roman" w:hAnsi="Times New Roman" w:cs="Times New Roman"/>
        </w:rPr>
      </w:pPr>
      <w:bookmarkStart w:id="9" w:name="_Toc513620247"/>
      <w:r w:rsidRPr="00D05904">
        <w:rPr>
          <w:rFonts w:ascii="Times New Roman" w:hAnsi="Times New Roman" w:cs="Times New Roman"/>
          <w:color w:val="000000" w:themeColor="text1"/>
        </w:rPr>
        <w:lastRenderedPageBreak/>
        <w:t>Appendix</w:t>
      </w:r>
      <w:r w:rsidR="00063A9A" w:rsidRPr="00D05904">
        <w:rPr>
          <w:rFonts w:ascii="Times New Roman" w:hAnsi="Times New Roman" w:cs="Times New Roman"/>
        </w:rPr>
        <w:t xml:space="preserve"> </w:t>
      </w:r>
      <w:r w:rsidRPr="00D05904">
        <w:rPr>
          <w:rFonts w:ascii="Times New Roman" w:hAnsi="Times New Roman" w:cs="Times New Roman"/>
          <w:color w:val="000000" w:themeColor="text1"/>
        </w:rPr>
        <w:t>1- Timeline</w:t>
      </w:r>
      <w:bookmarkEnd w:id="9"/>
    </w:p>
    <w:p w14:paraId="2C236259" w14:textId="6480C287" w:rsidR="00D05904" w:rsidRDefault="00D05904" w:rsidP="00D05904"/>
    <w:p w14:paraId="3AB398D9" w14:textId="16FB9493" w:rsidR="00D05904" w:rsidRDefault="00D05904" w:rsidP="00D05904"/>
    <w:p w14:paraId="1669A938" w14:textId="4D4D3FD2" w:rsidR="00D05904" w:rsidRPr="00D05904" w:rsidRDefault="00D05904" w:rsidP="00D05904">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w:t>
      </w:r>
      <w:r w:rsidRPr="00D05904">
        <w:rPr>
          <w:rFonts w:ascii="Times New Roman" w:hAnsi="Times New Roman" w:cs="Times New Roman"/>
          <w:sz w:val="24"/>
          <w:szCs w:val="24"/>
        </w:rPr>
        <w:t>“Story of Egypt”- Pg. 373</w:t>
      </w:r>
    </w:p>
    <w:p w14:paraId="6E8D83C9" w14:textId="77777777" w:rsidR="00D05904" w:rsidRPr="00D05904" w:rsidRDefault="00D05904" w:rsidP="00D05904">
      <w:pPr>
        <w:spacing w:line="360" w:lineRule="auto"/>
        <w:rPr>
          <w:rFonts w:ascii="Times New Roman" w:hAnsi="Times New Roman" w:cs="Times New Roman"/>
          <w:sz w:val="24"/>
          <w:szCs w:val="24"/>
        </w:rPr>
      </w:pPr>
    </w:p>
    <w:p w14:paraId="7446BE6D"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NEW KINGDOM- c.1550-1069BC</w:t>
      </w:r>
    </w:p>
    <w:p w14:paraId="59045B59"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Eighteenth Dynasty: 1550-1295BC</w:t>
      </w:r>
    </w:p>
    <w:p w14:paraId="17315A00"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Ahmose I: 1550-1525BC</w:t>
      </w:r>
    </w:p>
    <w:p w14:paraId="5B565E5B"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Amenhotep I: 1525- 1504BC</w:t>
      </w:r>
    </w:p>
    <w:p w14:paraId="1B6EB748"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Tuthmosis I: 1504- 1492BC</w:t>
      </w:r>
    </w:p>
    <w:p w14:paraId="017A000E"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Tuthmosis II: 1492- 1479BC</w:t>
      </w:r>
    </w:p>
    <w:p w14:paraId="4060C3B8"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Tuthmosis III: 1479- 1425BC</w:t>
      </w:r>
    </w:p>
    <w:p w14:paraId="5B41513F"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Hatshepsut: 1473- 1458BC</w:t>
      </w:r>
    </w:p>
    <w:p w14:paraId="73D6B64D"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Amenhotep II: 1427- 1400BC</w:t>
      </w:r>
    </w:p>
    <w:p w14:paraId="0F1C8EB4"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Tuthmosis IV: 1400-1390BC</w:t>
      </w:r>
    </w:p>
    <w:p w14:paraId="559B4410"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Amenhotep III: 1390- 1352BC</w:t>
      </w:r>
    </w:p>
    <w:p w14:paraId="408F0E40"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Amenhotep IV/ Akhenaten: 1352- 1336BC*</w:t>
      </w:r>
    </w:p>
    <w:p w14:paraId="4B22916E"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(Neferneferuaten) Smenkhare: 1338-1336BC*</w:t>
      </w:r>
    </w:p>
    <w:p w14:paraId="0831FD2F"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Tutankhamun: 1336-1327BC*</w:t>
      </w:r>
    </w:p>
    <w:p w14:paraId="00CAADD9"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Ay: 1327-1323BC*</w:t>
      </w:r>
    </w:p>
    <w:p w14:paraId="7A7C1307" w14:textId="77777777" w:rsidR="00D05904" w:rsidRP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w:t>
      </w:r>
      <w:r w:rsidRPr="00D05904">
        <w:rPr>
          <w:rFonts w:ascii="Times New Roman" w:hAnsi="Times New Roman" w:cs="Times New Roman"/>
          <w:sz w:val="24"/>
          <w:szCs w:val="24"/>
        </w:rPr>
        <w:tab/>
        <w:t>Horemheb: 1323-1295BC*</w:t>
      </w:r>
    </w:p>
    <w:p w14:paraId="04F2F267" w14:textId="77777777" w:rsidR="00D05904" w:rsidRPr="00D05904" w:rsidRDefault="00D05904" w:rsidP="00D05904">
      <w:pPr>
        <w:spacing w:line="360" w:lineRule="auto"/>
        <w:rPr>
          <w:rFonts w:ascii="Times New Roman" w:hAnsi="Times New Roman" w:cs="Times New Roman"/>
          <w:sz w:val="24"/>
          <w:szCs w:val="24"/>
        </w:rPr>
      </w:pPr>
    </w:p>
    <w:p w14:paraId="4C7F99C7" w14:textId="525E144F" w:rsidR="00D05904" w:rsidRDefault="00D05904" w:rsidP="00D05904">
      <w:pPr>
        <w:spacing w:line="360" w:lineRule="auto"/>
        <w:rPr>
          <w:rFonts w:ascii="Times New Roman" w:hAnsi="Times New Roman" w:cs="Times New Roman"/>
          <w:sz w:val="24"/>
          <w:szCs w:val="24"/>
        </w:rPr>
      </w:pPr>
      <w:r w:rsidRPr="00D05904">
        <w:rPr>
          <w:rFonts w:ascii="Times New Roman" w:hAnsi="Times New Roman" w:cs="Times New Roman"/>
          <w:sz w:val="24"/>
          <w:szCs w:val="24"/>
        </w:rPr>
        <w:t>*Pharaohs of the Amarna Period</w:t>
      </w:r>
    </w:p>
    <w:p w14:paraId="7E3E0193" w14:textId="2BCF4D4E" w:rsidR="00D05904" w:rsidRDefault="00D05904" w:rsidP="00D05904">
      <w:pPr>
        <w:spacing w:line="360" w:lineRule="auto"/>
        <w:rPr>
          <w:rFonts w:ascii="Times New Roman" w:hAnsi="Times New Roman" w:cs="Times New Roman"/>
          <w:sz w:val="24"/>
          <w:szCs w:val="24"/>
        </w:rPr>
      </w:pPr>
    </w:p>
    <w:p w14:paraId="4AD56833" w14:textId="780B5593" w:rsidR="00D05904" w:rsidRDefault="00D05904" w:rsidP="00D05904">
      <w:pPr>
        <w:spacing w:line="360" w:lineRule="auto"/>
        <w:rPr>
          <w:rFonts w:ascii="Times New Roman" w:hAnsi="Times New Roman" w:cs="Times New Roman"/>
          <w:sz w:val="24"/>
          <w:szCs w:val="24"/>
        </w:rPr>
      </w:pPr>
    </w:p>
    <w:p w14:paraId="65DEDB91" w14:textId="319A2A8F" w:rsidR="00D05904" w:rsidRDefault="00D05904" w:rsidP="00D05904">
      <w:pPr>
        <w:spacing w:line="360" w:lineRule="auto"/>
        <w:rPr>
          <w:rFonts w:ascii="Times New Roman" w:hAnsi="Times New Roman" w:cs="Times New Roman"/>
          <w:sz w:val="24"/>
          <w:szCs w:val="24"/>
        </w:rPr>
      </w:pPr>
    </w:p>
    <w:p w14:paraId="025F8479" w14:textId="2569C53D" w:rsidR="00D05904" w:rsidRDefault="00D05904" w:rsidP="00D05904">
      <w:pPr>
        <w:spacing w:line="360" w:lineRule="auto"/>
        <w:rPr>
          <w:rFonts w:ascii="Times New Roman" w:hAnsi="Times New Roman" w:cs="Times New Roman"/>
          <w:sz w:val="24"/>
          <w:szCs w:val="24"/>
        </w:rPr>
      </w:pPr>
    </w:p>
    <w:p w14:paraId="65C0803D" w14:textId="25049527" w:rsidR="00D05904" w:rsidRDefault="00D05904" w:rsidP="00D05904">
      <w:pPr>
        <w:spacing w:line="360" w:lineRule="auto"/>
        <w:rPr>
          <w:rFonts w:ascii="Times New Roman" w:hAnsi="Times New Roman" w:cs="Times New Roman"/>
          <w:sz w:val="24"/>
          <w:szCs w:val="24"/>
        </w:rPr>
      </w:pPr>
    </w:p>
    <w:p w14:paraId="318A428E" w14:textId="6EABA9AF" w:rsidR="00D05904" w:rsidRDefault="00D05904" w:rsidP="00D05904">
      <w:pPr>
        <w:pStyle w:val="Heading1"/>
        <w:rPr>
          <w:rFonts w:ascii="Times New Roman" w:eastAsiaTheme="minorHAnsi" w:hAnsi="Times New Roman" w:cs="Times New Roman"/>
          <w:color w:val="auto"/>
          <w:sz w:val="24"/>
          <w:szCs w:val="24"/>
        </w:rPr>
      </w:pPr>
    </w:p>
    <w:p w14:paraId="4A99823B" w14:textId="7E25DB62" w:rsidR="00D05904" w:rsidRDefault="00D05904" w:rsidP="00D05904"/>
    <w:p w14:paraId="0D5E4986" w14:textId="75374429" w:rsidR="00D05904" w:rsidRDefault="00D05904" w:rsidP="00D05904"/>
    <w:p w14:paraId="643ED8B8" w14:textId="5A0D068D" w:rsidR="00D05904" w:rsidRDefault="00D05904" w:rsidP="00D05904"/>
    <w:p w14:paraId="40C124CB" w14:textId="4CAD43DB" w:rsidR="00D05904" w:rsidRDefault="00D05904" w:rsidP="00D05904"/>
    <w:p w14:paraId="2E1106AC" w14:textId="5E39AD5A" w:rsidR="00D05904" w:rsidRDefault="00D05904" w:rsidP="00D05904"/>
    <w:p w14:paraId="65BC50BA" w14:textId="0471D327" w:rsidR="00D05904" w:rsidRDefault="00D05904" w:rsidP="00D05904"/>
    <w:p w14:paraId="1DBE4202" w14:textId="26F6FB1A" w:rsidR="00D05904" w:rsidRDefault="00D05904" w:rsidP="00D05904"/>
    <w:p w14:paraId="6C0BED02" w14:textId="20905A64" w:rsidR="00D05904" w:rsidRDefault="00D05904" w:rsidP="00D05904"/>
    <w:p w14:paraId="5CE8811F" w14:textId="3217A059" w:rsidR="00D05904" w:rsidRDefault="00D05904" w:rsidP="00D05904">
      <w:pPr>
        <w:pStyle w:val="Heading1"/>
        <w:rPr>
          <w:rFonts w:ascii="Times New Roman" w:hAnsi="Times New Roman" w:cs="Times New Roman"/>
          <w:color w:val="000000" w:themeColor="text1"/>
        </w:rPr>
      </w:pPr>
      <w:bookmarkStart w:id="10" w:name="_Toc513620248"/>
      <w:r w:rsidRPr="00D05904">
        <w:rPr>
          <w:rFonts w:ascii="Times New Roman" w:hAnsi="Times New Roman" w:cs="Times New Roman"/>
          <w:color w:val="000000" w:themeColor="text1"/>
        </w:rPr>
        <w:lastRenderedPageBreak/>
        <w:t xml:space="preserve">Appendix 2- </w:t>
      </w:r>
      <w:r>
        <w:rPr>
          <w:rFonts w:ascii="Times New Roman" w:hAnsi="Times New Roman" w:cs="Times New Roman"/>
          <w:color w:val="000000" w:themeColor="text1"/>
        </w:rPr>
        <w:t>Figures</w:t>
      </w:r>
      <w:bookmarkEnd w:id="10"/>
    </w:p>
    <w:p w14:paraId="4F6F430F" w14:textId="7A6C7049" w:rsidR="00D05904" w:rsidRDefault="00D05904" w:rsidP="00D05904"/>
    <w:p w14:paraId="3440B36E" w14:textId="77777777" w:rsidR="00D05904" w:rsidRDefault="00D05904" w:rsidP="00D05904">
      <w:pPr>
        <w:keepNext/>
      </w:pPr>
      <w:r>
        <w:rPr>
          <w:noProof/>
        </w:rPr>
        <w:drawing>
          <wp:inline distT="0" distB="0" distL="0" distR="0" wp14:anchorId="1623B24E" wp14:editId="0A85196F">
            <wp:extent cx="2383790" cy="38588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3790" cy="3858895"/>
                    </a:xfrm>
                    <a:prstGeom prst="rect">
                      <a:avLst/>
                    </a:prstGeom>
                    <a:noFill/>
                  </pic:spPr>
                </pic:pic>
              </a:graphicData>
            </a:graphic>
          </wp:inline>
        </w:drawing>
      </w:r>
    </w:p>
    <w:p w14:paraId="2D1C988E" w14:textId="2AE0B5CE" w:rsidR="00D05904" w:rsidRDefault="00D05904" w:rsidP="00D05904">
      <w:pPr>
        <w:pStyle w:val="Caption"/>
      </w:pPr>
      <w:r>
        <w:t xml:space="preserve">Figure </w:t>
      </w:r>
      <w:fldSimple w:instr=" SEQ Figure \* ARABIC ">
        <w:r w:rsidR="00DB387C">
          <w:rPr>
            <w:noProof/>
          </w:rPr>
          <w:t>1</w:t>
        </w:r>
      </w:fldSimple>
      <w:r>
        <w:t>- Sculptors’ model of Akhenaten. Global Egyptian Museum: 2017</w:t>
      </w:r>
      <w:r w:rsidR="00DB387C">
        <w:t>.</w:t>
      </w:r>
    </w:p>
    <w:p w14:paraId="6F25E725" w14:textId="77777777" w:rsidR="00AD266B" w:rsidRDefault="00AD266B" w:rsidP="00AD266B">
      <w:pPr>
        <w:keepNext/>
      </w:pPr>
      <w:r>
        <w:rPr>
          <w:noProof/>
        </w:rPr>
        <w:drawing>
          <wp:inline distT="0" distB="0" distL="0" distR="0" wp14:anchorId="5FDABF05" wp14:editId="0935943D">
            <wp:extent cx="2426335" cy="35356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26335" cy="3535680"/>
                    </a:xfrm>
                    <a:prstGeom prst="rect">
                      <a:avLst/>
                    </a:prstGeom>
                    <a:noFill/>
                  </pic:spPr>
                </pic:pic>
              </a:graphicData>
            </a:graphic>
          </wp:inline>
        </w:drawing>
      </w:r>
    </w:p>
    <w:p w14:paraId="69D40A62" w14:textId="6383354E" w:rsidR="00D05904" w:rsidRDefault="00AD266B" w:rsidP="00AD266B">
      <w:pPr>
        <w:pStyle w:val="Caption"/>
      </w:pPr>
      <w:r>
        <w:t xml:space="preserve">Figure </w:t>
      </w:r>
      <w:fldSimple w:instr=" SEQ Figure \* ARABIC ">
        <w:r w:rsidR="00DB387C">
          <w:rPr>
            <w:noProof/>
          </w:rPr>
          <w:t>2</w:t>
        </w:r>
      </w:fldSimple>
      <w:r>
        <w:t>- Head from a statue of Queen Tiye.</w:t>
      </w:r>
      <w:r w:rsidR="00DB387C">
        <w:t xml:space="preserve"> SMB- Digital: 2018.</w:t>
      </w:r>
    </w:p>
    <w:p w14:paraId="32D57CBB" w14:textId="431EDC90" w:rsidR="00DB387C" w:rsidRDefault="00DB387C" w:rsidP="00DB387C"/>
    <w:p w14:paraId="120056DC" w14:textId="3210E188" w:rsidR="00DB387C" w:rsidRDefault="00DB387C" w:rsidP="00DB387C"/>
    <w:p w14:paraId="4CA8ED4E" w14:textId="07A4AD72" w:rsidR="00DB387C" w:rsidRDefault="00DB387C" w:rsidP="00DB387C"/>
    <w:p w14:paraId="66E5171C" w14:textId="77777777" w:rsidR="00DB387C" w:rsidRDefault="00DB387C" w:rsidP="00DB387C">
      <w:pPr>
        <w:keepNext/>
      </w:pPr>
      <w:r>
        <w:rPr>
          <w:noProof/>
        </w:rPr>
        <w:lastRenderedPageBreak/>
        <w:drawing>
          <wp:inline distT="0" distB="0" distL="0" distR="0" wp14:anchorId="3FAFFDB6" wp14:editId="63C09517">
            <wp:extent cx="3755390" cy="28289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55390" cy="2828925"/>
                    </a:xfrm>
                    <a:prstGeom prst="rect">
                      <a:avLst/>
                    </a:prstGeom>
                    <a:noFill/>
                  </pic:spPr>
                </pic:pic>
              </a:graphicData>
            </a:graphic>
          </wp:inline>
        </w:drawing>
      </w:r>
    </w:p>
    <w:p w14:paraId="539E954D" w14:textId="574B756F" w:rsidR="00DB387C" w:rsidRDefault="00DB387C" w:rsidP="00DB387C">
      <w:pPr>
        <w:pStyle w:val="Caption"/>
      </w:pPr>
      <w:r>
        <w:t xml:space="preserve">Figure </w:t>
      </w:r>
      <w:fldSimple w:instr=" SEQ Figure \* ARABIC ">
        <w:r>
          <w:rPr>
            <w:noProof/>
          </w:rPr>
          <w:t>3</w:t>
        </w:r>
      </w:fldSimple>
      <w:r>
        <w:t>- House altar depicting Akhenaten, Nefertiti and their children. SMB- Digital: 2018.</w:t>
      </w:r>
    </w:p>
    <w:p w14:paraId="036E1C02" w14:textId="32353CB0" w:rsidR="00DB387C" w:rsidRDefault="00DB387C" w:rsidP="00DB387C"/>
    <w:p w14:paraId="3F65FC1C" w14:textId="4685A5A6" w:rsidR="00DB387C" w:rsidRDefault="00DB387C" w:rsidP="00DB387C"/>
    <w:p w14:paraId="1030A53A" w14:textId="353F6655" w:rsidR="00DB387C" w:rsidRDefault="00DB387C" w:rsidP="00DB387C"/>
    <w:p w14:paraId="5C459090" w14:textId="73C7BB4D" w:rsidR="00DB387C" w:rsidRDefault="00DB387C" w:rsidP="00DB387C"/>
    <w:p w14:paraId="506974C1" w14:textId="77777777" w:rsidR="00DB387C" w:rsidRPr="00DB387C" w:rsidRDefault="00DB387C" w:rsidP="00DB387C"/>
    <w:p w14:paraId="73C3C40F" w14:textId="77777777" w:rsidR="00DB387C" w:rsidRDefault="00DB387C" w:rsidP="00DB387C">
      <w:pPr>
        <w:keepNext/>
      </w:pPr>
      <w:r>
        <w:rPr>
          <w:noProof/>
        </w:rPr>
        <w:drawing>
          <wp:inline distT="0" distB="0" distL="0" distR="0" wp14:anchorId="3C64387E" wp14:editId="1C3D059F">
            <wp:extent cx="2316480" cy="326136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16480" cy="3261360"/>
                    </a:xfrm>
                    <a:prstGeom prst="rect">
                      <a:avLst/>
                    </a:prstGeom>
                    <a:noFill/>
                  </pic:spPr>
                </pic:pic>
              </a:graphicData>
            </a:graphic>
          </wp:inline>
        </w:drawing>
      </w:r>
    </w:p>
    <w:p w14:paraId="186DA7E2" w14:textId="302A3141" w:rsidR="00DB387C" w:rsidRDefault="00DB387C" w:rsidP="00DB387C">
      <w:pPr>
        <w:pStyle w:val="Caption"/>
      </w:pPr>
      <w:r>
        <w:t xml:space="preserve">Figure </w:t>
      </w:r>
      <w:fldSimple w:instr=" SEQ Figure \* ARABIC ">
        <w:r>
          <w:rPr>
            <w:noProof/>
          </w:rPr>
          <w:t>4</w:t>
        </w:r>
      </w:fldSimple>
      <w:r>
        <w:t>- Bust of Nefertiti. SMB- Digital: 2018.</w:t>
      </w:r>
    </w:p>
    <w:p w14:paraId="6E6DFEE2" w14:textId="77777777" w:rsidR="00DB387C" w:rsidRDefault="00DB387C" w:rsidP="00DB387C">
      <w:pPr>
        <w:keepNext/>
      </w:pPr>
      <w:r>
        <w:rPr>
          <w:noProof/>
        </w:rPr>
        <w:lastRenderedPageBreak/>
        <w:drawing>
          <wp:inline distT="0" distB="0" distL="0" distR="0" wp14:anchorId="075421DE" wp14:editId="5C87E13E">
            <wp:extent cx="3066415" cy="2451100"/>
            <wp:effectExtent l="0" t="0" r="63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66415" cy="2451100"/>
                    </a:xfrm>
                    <a:prstGeom prst="rect">
                      <a:avLst/>
                    </a:prstGeom>
                    <a:noFill/>
                  </pic:spPr>
                </pic:pic>
              </a:graphicData>
            </a:graphic>
          </wp:inline>
        </w:drawing>
      </w:r>
    </w:p>
    <w:p w14:paraId="109D9C16" w14:textId="222C6078" w:rsidR="00DB387C" w:rsidRDefault="00DB387C" w:rsidP="00DB387C">
      <w:pPr>
        <w:pStyle w:val="Caption"/>
      </w:pPr>
      <w:r>
        <w:t xml:space="preserve">Figure </w:t>
      </w:r>
      <w:fldSimple w:instr=" SEQ Figure \* ARABIC ">
        <w:r>
          <w:rPr>
            <w:noProof/>
          </w:rPr>
          <w:t>5</w:t>
        </w:r>
      </w:fldSimple>
      <w:r>
        <w:t>- Depiction of two of the Amarna Princesses. Metropolitan Museum of Art: 2018.</w:t>
      </w:r>
    </w:p>
    <w:p w14:paraId="05435EA5" w14:textId="0492881B" w:rsidR="00DB387C" w:rsidRDefault="00DB387C" w:rsidP="00DB387C"/>
    <w:p w14:paraId="047C3513" w14:textId="2C0CD566" w:rsidR="00DB387C" w:rsidRDefault="00DB387C" w:rsidP="00DB387C"/>
    <w:p w14:paraId="03636614" w14:textId="174FAD56" w:rsidR="00DB387C" w:rsidRDefault="00DB387C" w:rsidP="00DB387C"/>
    <w:p w14:paraId="66B98C30" w14:textId="7744065E" w:rsidR="00DB387C" w:rsidRDefault="00DB387C" w:rsidP="00DB387C"/>
    <w:p w14:paraId="07B54ACC" w14:textId="77777777" w:rsidR="00DB387C" w:rsidRPr="00DB387C" w:rsidRDefault="00DB387C" w:rsidP="00DB387C"/>
    <w:p w14:paraId="3A8F97F7" w14:textId="77777777" w:rsidR="00DB387C" w:rsidRDefault="00DB387C" w:rsidP="00DB387C">
      <w:pPr>
        <w:keepNext/>
      </w:pPr>
      <w:r>
        <w:rPr>
          <w:noProof/>
        </w:rPr>
        <w:drawing>
          <wp:inline distT="0" distB="0" distL="0" distR="0" wp14:anchorId="7DB47963" wp14:editId="588277BA">
            <wp:extent cx="3615055" cy="2212975"/>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15055" cy="2212975"/>
                    </a:xfrm>
                    <a:prstGeom prst="rect">
                      <a:avLst/>
                    </a:prstGeom>
                    <a:noFill/>
                  </pic:spPr>
                </pic:pic>
              </a:graphicData>
            </a:graphic>
          </wp:inline>
        </w:drawing>
      </w:r>
    </w:p>
    <w:p w14:paraId="47610782" w14:textId="6E39D157" w:rsidR="00DB387C" w:rsidRDefault="00DB387C" w:rsidP="00DB387C">
      <w:pPr>
        <w:pStyle w:val="Caption"/>
      </w:pPr>
      <w:r>
        <w:t xml:space="preserve">Figure </w:t>
      </w:r>
      <w:fldSimple w:instr=" SEQ Figure \* ARABIC ">
        <w:r>
          <w:rPr>
            <w:noProof/>
          </w:rPr>
          <w:t>6</w:t>
        </w:r>
      </w:fldSimple>
      <w:r>
        <w:t>- Durbar tribute scene from the tomb of Meryre II. Wikipedia: 2018.</w:t>
      </w:r>
    </w:p>
    <w:p w14:paraId="3B20DE75" w14:textId="7702FF0C" w:rsidR="000F1BB0" w:rsidRDefault="000F1BB0" w:rsidP="000F1BB0"/>
    <w:p w14:paraId="48FF79AD" w14:textId="0BEBC7AE" w:rsidR="000F1BB0" w:rsidRDefault="000F1BB0" w:rsidP="000F1BB0"/>
    <w:p w14:paraId="6F580BEA" w14:textId="1FCE0892" w:rsidR="000F1BB0" w:rsidRDefault="000F1BB0" w:rsidP="000F1BB0"/>
    <w:p w14:paraId="3E2B868E" w14:textId="26D5D44C" w:rsidR="000F1BB0" w:rsidRDefault="000F1BB0" w:rsidP="000F1BB0"/>
    <w:p w14:paraId="743E31DC" w14:textId="110BC55A" w:rsidR="000F1BB0" w:rsidRDefault="000F1BB0" w:rsidP="000F1BB0"/>
    <w:p w14:paraId="0B9ECE10" w14:textId="6653F069" w:rsidR="000F1BB0" w:rsidRDefault="000F1BB0" w:rsidP="000F1BB0"/>
    <w:p w14:paraId="3D3AD99E" w14:textId="15BB4457" w:rsidR="000F1BB0" w:rsidRDefault="000F1BB0" w:rsidP="000F1BB0"/>
    <w:p w14:paraId="4C396B16" w14:textId="51CE0EA5" w:rsidR="000F1BB0" w:rsidRDefault="000F1BB0" w:rsidP="000F1BB0"/>
    <w:p w14:paraId="6914C01B" w14:textId="5C1AC8CA" w:rsidR="000F1BB0" w:rsidRDefault="000F1BB0" w:rsidP="000F1BB0"/>
    <w:p w14:paraId="0A95C654" w14:textId="2EE628EF" w:rsidR="000F1BB0" w:rsidRDefault="000F1BB0" w:rsidP="000F1BB0"/>
    <w:p w14:paraId="4EBD16F0" w14:textId="4725E548" w:rsidR="000F1BB0" w:rsidRDefault="000F1BB0" w:rsidP="000F1BB0"/>
    <w:p w14:paraId="13D9CACF" w14:textId="25461DE6" w:rsidR="000F1BB0" w:rsidRDefault="000F1BB0" w:rsidP="000F1BB0"/>
    <w:p w14:paraId="0DF5CAF6" w14:textId="29780102" w:rsidR="000F1BB0" w:rsidRDefault="000F1BB0" w:rsidP="000F1BB0"/>
    <w:p w14:paraId="7BCB61B2" w14:textId="446FDDCE" w:rsidR="000F1BB0" w:rsidRDefault="000F1BB0" w:rsidP="000F1BB0"/>
    <w:p w14:paraId="129CF04B" w14:textId="29BB3986" w:rsidR="000F1BB0" w:rsidRDefault="000F1BB0" w:rsidP="000F1BB0"/>
    <w:p w14:paraId="0E9AA013" w14:textId="5CFBBCF0" w:rsidR="000F1BB0" w:rsidRDefault="000F1BB0" w:rsidP="000F1BB0"/>
    <w:p w14:paraId="408C1A54" w14:textId="0ADC23E4" w:rsidR="000F1BB0" w:rsidRPr="002B6C2A" w:rsidRDefault="000F1BB0" w:rsidP="000F1BB0">
      <w:pPr>
        <w:pStyle w:val="Heading1"/>
        <w:rPr>
          <w:rFonts w:ascii="Times New Roman" w:hAnsi="Times New Roman" w:cs="Times New Roman"/>
          <w:color w:val="000000" w:themeColor="text1"/>
        </w:rPr>
      </w:pPr>
      <w:bookmarkStart w:id="11" w:name="_Toc513620249"/>
      <w:r w:rsidRPr="002B6C2A">
        <w:rPr>
          <w:rFonts w:ascii="Times New Roman" w:hAnsi="Times New Roman" w:cs="Times New Roman"/>
          <w:color w:val="000000" w:themeColor="text1"/>
        </w:rPr>
        <w:lastRenderedPageBreak/>
        <w:t>Appendix 3- Great Hymn to the Aten</w:t>
      </w:r>
      <w:bookmarkEnd w:id="11"/>
    </w:p>
    <w:p w14:paraId="3A59A364" w14:textId="1BDE0AB2" w:rsidR="000F1BB0" w:rsidRDefault="000F1BB0" w:rsidP="000F1BB0"/>
    <w:p w14:paraId="304D2090" w14:textId="77777777" w:rsidR="000F1BB0" w:rsidRPr="000F1BB0" w:rsidRDefault="000F1BB0" w:rsidP="000F1BB0"/>
    <w:p w14:paraId="7390BA70" w14:textId="66F52CCE" w:rsidR="00D05904" w:rsidRDefault="002B6C2A" w:rsidP="00D05904">
      <w:pPr>
        <w:rPr>
          <w:rFonts w:ascii="Times New Roman" w:hAnsi="Times New Roman" w:cs="Times New Roman"/>
          <w:sz w:val="24"/>
          <w:szCs w:val="24"/>
        </w:rPr>
      </w:pPr>
      <w:r w:rsidRPr="002B6C2A">
        <w:rPr>
          <w:rFonts w:ascii="Times New Roman" w:hAnsi="Times New Roman" w:cs="Times New Roman"/>
          <w:sz w:val="24"/>
          <w:szCs w:val="24"/>
        </w:rPr>
        <w:t>From the Tomb of Ay in Akhetaten (Waterson 1999: 64-68).</w:t>
      </w:r>
    </w:p>
    <w:p w14:paraId="66C4C8AE" w14:textId="26539FFE" w:rsidR="002B6C2A" w:rsidRDefault="002B6C2A" w:rsidP="00D05904">
      <w:pPr>
        <w:rPr>
          <w:rFonts w:ascii="Times New Roman" w:hAnsi="Times New Roman" w:cs="Times New Roman"/>
          <w:sz w:val="24"/>
          <w:szCs w:val="24"/>
        </w:rPr>
      </w:pPr>
    </w:p>
    <w:p w14:paraId="1D9C6F67"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 xml:space="preserve">“How beautiful is your appearance on the horizon of heaven, </w:t>
      </w:r>
    </w:p>
    <w:p w14:paraId="156A736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Living Aten who creates life.</w:t>
      </w:r>
    </w:p>
    <w:p w14:paraId="2FDAC82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When you rise on the eastern horizon,</w:t>
      </w:r>
    </w:p>
    <w:p w14:paraId="773C884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fill every land with your beauty.</w:t>
      </w:r>
    </w:p>
    <w:p w14:paraId="68451A6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are beautiful and great, gleaming high over every land.</w:t>
      </w:r>
    </w:p>
    <w:p w14:paraId="3E11EE8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Your rays, they embrace the earth,</w:t>
      </w:r>
    </w:p>
    <w:p w14:paraId="50F985F7"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To the furthest limits of what you have created.</w:t>
      </w:r>
    </w:p>
    <w:p w14:paraId="0F95406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 xml:space="preserve">You are Re; you conquer them all, </w:t>
      </w:r>
    </w:p>
    <w:p w14:paraId="6BD489E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Making them subject to your beloved son.</w:t>
      </w:r>
    </w:p>
    <w:p w14:paraId="53BC597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are far away, yet your rays are upon earth;</w:t>
      </w:r>
    </w:p>
    <w:p w14:paraId="7BC1C4C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are on the faces of men yet your paths are unknown.</w:t>
      </w:r>
    </w:p>
    <w:p w14:paraId="53A72B9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When you set on the western horizon,</w:t>
      </w:r>
    </w:p>
    <w:p w14:paraId="4F3FE7F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earth is in darkness in the manner of the dead,</w:t>
      </w:r>
    </w:p>
    <w:p w14:paraId="61B1E93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Who sleep in their chambers,</w:t>
      </w:r>
    </w:p>
    <w:p w14:paraId="014C7C3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Their heads covered,</w:t>
      </w:r>
    </w:p>
    <w:p w14:paraId="6E46C570"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no eye seeing its fellow.</w:t>
      </w:r>
    </w:p>
    <w:p w14:paraId="2C114A0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All their possessions could be stolen,</w:t>
      </w:r>
    </w:p>
    <w:p w14:paraId="2E50F88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Even though they are under their heads,</w:t>
      </w:r>
    </w:p>
    <w:p w14:paraId="735B500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they would know it not.</w:t>
      </w:r>
    </w:p>
    <w:p w14:paraId="1119CF1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Every lion comes forth from its den,</w:t>
      </w:r>
    </w:p>
    <w:p w14:paraId="262BA31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all snakes are ready to bite,</w:t>
      </w:r>
    </w:p>
    <w:p w14:paraId="731D7AFB"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 darkness is the only illumination,</w:t>
      </w:r>
    </w:p>
    <w:p w14:paraId="4D03DB2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 xml:space="preserve">And the earth is silent, </w:t>
      </w:r>
    </w:p>
    <w:p w14:paraId="27FB5DA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 he who created it rests in his horizon.</w:t>
      </w:r>
    </w:p>
    <w:p w14:paraId="7143C9F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Day dawns when you rise on the horizon.</w:t>
      </w:r>
    </w:p>
    <w:p w14:paraId="50A913A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shine by day as Aten,</w:t>
      </w:r>
    </w:p>
    <w:p w14:paraId="0164BE2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Who dispels the darkness.</w:t>
      </w:r>
    </w:p>
    <w:p w14:paraId="10E06E29"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When you send forth your sunbeams,</w:t>
      </w:r>
    </w:p>
    <w:p w14:paraId="0CEEDC03"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Two lands are festive,</w:t>
      </w:r>
    </w:p>
    <w:p w14:paraId="427B182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people awake and jump to their feet,</w:t>
      </w:r>
    </w:p>
    <w:p w14:paraId="075A3CB7"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 you have roused them.</w:t>
      </w:r>
    </w:p>
    <w:p w14:paraId="2BD7FE9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Their bodies are washed,</w:t>
      </w:r>
    </w:p>
    <w:p w14:paraId="184FA77A"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they don their clothing;</w:t>
      </w:r>
    </w:p>
    <w:p w14:paraId="42D8B003"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Their arms are upraised in adoration at your appearance.</w:t>
      </w:r>
    </w:p>
    <w:p w14:paraId="0DE541E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the whole world goes about its work.</w:t>
      </w:r>
    </w:p>
    <w:p w14:paraId="2F1CFF99"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All cattle rest in their pastures;</w:t>
      </w:r>
    </w:p>
    <w:p w14:paraId="06866687"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Trees and vegetation are verdant;</w:t>
      </w:r>
    </w:p>
    <w:p w14:paraId="6D1809A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Birds fly up from their nests, their wings raised in adoration of you.</w:t>
      </w:r>
    </w:p>
    <w:p w14:paraId="4E36555B"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Goats all jump on their feet and,</w:t>
      </w:r>
    </w:p>
    <w:p w14:paraId="1575653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Everything that flys and flutters lives when you shine upon it.</w:t>
      </w:r>
    </w:p>
    <w:p w14:paraId="53B9C58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Boats sail upstream and downstream likewise,</w:t>
      </w:r>
    </w:p>
    <w:p w14:paraId="18DC9DB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all roads are open because you have arisen.</w:t>
      </w:r>
    </w:p>
    <w:p w14:paraId="629C74F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fish in the river leap before your face,</w:t>
      </w:r>
    </w:p>
    <w:p w14:paraId="273FF3A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your rays are in the midst of the great green sea.</w:t>
      </w:r>
    </w:p>
    <w:p w14:paraId="5B7267C4"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are the one who causes women to be fecund,</w:t>
      </w:r>
    </w:p>
    <w:p w14:paraId="4F03A2D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lastRenderedPageBreak/>
        <w:t>Who makes seed in men,</w:t>
      </w:r>
    </w:p>
    <w:p w14:paraId="598B0DB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Who gives life to a son in his mother’s womb,</w:t>
      </w:r>
    </w:p>
    <w:p w14:paraId="469ADA43"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Who soothes him with whatever dries his tears,</w:t>
      </w:r>
    </w:p>
    <w:p w14:paraId="3DB4049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By acting as his nurse in the womb,</w:t>
      </w:r>
    </w:p>
    <w:p w14:paraId="3E2032C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Who gives the breath of life to everything that he has made.</w:t>
      </w:r>
    </w:p>
    <w:p w14:paraId="7448B8A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When he emerges from the womb,</w:t>
      </w:r>
    </w:p>
    <w:p w14:paraId="24E1FADA"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To breathe on the day of his birth,</w:t>
      </w:r>
    </w:p>
    <w:p w14:paraId="0C61389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open his mouth wide and supply what it needs.</w:t>
      </w:r>
    </w:p>
    <w:p w14:paraId="08C5BA74"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chick in the egg cheeps whilst still in the shell,</w:t>
      </w:r>
    </w:p>
    <w:p w14:paraId="248E985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 xml:space="preserve">For you have given it breath there in so that it might live. </w:t>
      </w:r>
    </w:p>
    <w:p w14:paraId="0D76C47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make for it the strength,</w:t>
      </w:r>
    </w:p>
    <w:p w14:paraId="205B6C3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With which it breaks it, namely the egg,</w:t>
      </w:r>
    </w:p>
    <w:p w14:paraId="6E54085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it emerges from the egg as the appointed hour,</w:t>
      </w:r>
    </w:p>
    <w:p w14:paraId="28D0196B"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To creep and run on its feet as soon as it issue therefrom.</w:t>
      </w:r>
    </w:p>
    <w:p w14:paraId="526BD970"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How manifold are your works,</w:t>
      </w:r>
    </w:p>
    <w:p w14:paraId="0E81870A"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That are hidden from the face of mankind,</w:t>
      </w:r>
    </w:p>
    <w:p w14:paraId="1A264CF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O Sole God, who is like none other,</w:t>
      </w:r>
    </w:p>
    <w:p w14:paraId="4A62B03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made the earth according to your will alone;</w:t>
      </w:r>
    </w:p>
    <w:p w14:paraId="470FE33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Men and women, cattle and all beasts,</w:t>
      </w:r>
    </w:p>
    <w:p w14:paraId="478C5A4B"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Everything on earth that walks upon feet,</w:t>
      </w:r>
    </w:p>
    <w:p w14:paraId="6E70DA9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Everything above that fuels with its wings,</w:t>
      </w:r>
    </w:p>
    <w:p w14:paraId="7A7FC46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Foreign lands, Syria, Kush,</w:t>
      </w:r>
    </w:p>
    <w:p w14:paraId="129E779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the land of Egypt.</w:t>
      </w:r>
    </w:p>
    <w:p w14:paraId="645DA88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set everyone in his place and supply his needs,</w:t>
      </w:r>
    </w:p>
    <w:p w14:paraId="78180FD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Everyone has his provisions,</w:t>
      </w:r>
    </w:p>
    <w:p w14:paraId="4E25D85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has allotted life-span.</w:t>
      </w:r>
    </w:p>
    <w:p w14:paraId="1CEA7FD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Their tongues are diverse in speech,</w:t>
      </w:r>
    </w:p>
    <w:p w14:paraId="6B363D74"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 xml:space="preserve">And their appearance likewise; </w:t>
      </w:r>
    </w:p>
    <w:p w14:paraId="1AE084C0"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Their skins are different for you have differentiated the peoples.</w:t>
      </w:r>
    </w:p>
    <w:p w14:paraId="32518C19"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It is in the underworld that you make the Nile,</w:t>
      </w:r>
    </w:p>
    <w:p w14:paraId="7D78667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bring it forth at your will,</w:t>
      </w:r>
    </w:p>
    <w:p w14:paraId="0EFF8C5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So that mankind might live.</w:t>
      </w:r>
    </w:p>
    <w:p w14:paraId="7CB8C15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 you have made them for yourself,</w:t>
      </w:r>
    </w:p>
    <w:p w14:paraId="56DE4CF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O Lord of all, who grows weary on their behalf,</w:t>
      </w:r>
    </w:p>
    <w:p w14:paraId="293AC30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O Lord of every lands, who shines upon them.</w:t>
      </w:r>
    </w:p>
    <w:p w14:paraId="4E5962C0"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All distant lands, you make whatever they need to live on.</w:t>
      </w:r>
    </w:p>
    <w:p w14:paraId="562E2CDA"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have set a Nile in the sky,</w:t>
      </w:r>
    </w:p>
    <w:p w14:paraId="447B7D83"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So that it may descend for them,</w:t>
      </w:r>
    </w:p>
    <w:p w14:paraId="508AEE0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make waves upon the mountains like the sea,</w:t>
      </w:r>
    </w:p>
    <w:p w14:paraId="7CDA1113"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So that fields may be watered in their townships.</w:t>
      </w:r>
    </w:p>
    <w:p w14:paraId="54CE0F3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How marvellous are your schemes, O Lord of Eternity.</w:t>
      </w:r>
    </w:p>
    <w:p w14:paraId="002BBBC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heavenly Nile is what you have created for foreign peoples,</w:t>
      </w:r>
    </w:p>
    <w:p w14:paraId="28CF9D9B"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for all the game in the desert that walk upon feet;</w:t>
      </w:r>
    </w:p>
    <w:p w14:paraId="3FDE14C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But the (real) Nile comes forth from the underworld in Egypt.</w:t>
      </w:r>
    </w:p>
    <w:p w14:paraId="45CF2959"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Your rays nourish every field and when you rise, they love and flourish for you.</w:t>
      </w:r>
    </w:p>
    <w:p w14:paraId="37721120"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It is in order to sustain all that you have created that you have,</w:t>
      </w:r>
    </w:p>
    <w:p w14:paraId="2E07D1A4"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Made the seasons;</w:t>
      </w:r>
    </w:p>
    <w:p w14:paraId="7D02525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Winter to cool them,</w:t>
      </w:r>
    </w:p>
    <w:p w14:paraId="5D1D1A8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the heat (of Summer) so that they may taste you.</w:t>
      </w:r>
    </w:p>
    <w:p w14:paraId="408EDDD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have made the sky afar off in order to shine therein,</w:t>
      </w:r>
    </w:p>
    <w:p w14:paraId="43E1818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lastRenderedPageBreak/>
        <w:t>And to see all that you have made,</w:t>
      </w:r>
    </w:p>
    <w:p w14:paraId="3D3324F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alone, rising in your form of the living Aten,</w:t>
      </w:r>
    </w:p>
    <w:p w14:paraId="6E1EA49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Appearing and shining, far off, yet close at hand.</w:t>
      </w:r>
    </w:p>
    <w:p w14:paraId="289C6AC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From out of yourself alone you have made myriad forms-</w:t>
      </w:r>
    </w:p>
    <w:p w14:paraId="13B82F6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Cities, towns, fields, roads, and river.</w:t>
      </w:r>
    </w:p>
    <w:p w14:paraId="1BFE57B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All eyes see you before them,</w:t>
      </w:r>
    </w:p>
    <w:p w14:paraId="0778835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 you are the Aten the daylight over the earth.</w:t>
      </w:r>
    </w:p>
    <w:p w14:paraId="355280D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Even when you are done, your eye (still) exists,</w:t>
      </w:r>
    </w:p>
    <w:p w14:paraId="392647D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 you have created their forms.</w:t>
      </w:r>
    </w:p>
    <w:p w14:paraId="0CA0089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If you did not see (rest of line damaged).</w:t>
      </w:r>
    </w:p>
    <w:p w14:paraId="72761C69"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are in my heart,</w:t>
      </w:r>
    </w:p>
    <w:p w14:paraId="382CD1A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There is none other that knows you,</w:t>
      </w:r>
    </w:p>
    <w:p w14:paraId="2A73773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Except your son Neferkheperure Waenre,</w:t>
      </w:r>
    </w:p>
    <w:p w14:paraId="2AB05AE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Whom you have acquainted with your plans and your power.</w:t>
      </w:r>
    </w:p>
    <w:p w14:paraId="4A9B5FE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earth exists in your hand, just as you have made it.</w:t>
      </w:r>
    </w:p>
    <w:p w14:paraId="45BAE58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When you rise, it lives: When you set, it dies.</w:t>
      </w:r>
    </w:p>
    <w:p w14:paraId="2E053AC0"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yourself are lifetime,</w:t>
      </w:r>
    </w:p>
    <w:p w14:paraId="19AB9A24"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it is by you that men live.</w:t>
      </w:r>
    </w:p>
    <w:p w14:paraId="67450801"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Eyes gaze upon your beauty until you set,</w:t>
      </w:r>
    </w:p>
    <w:p w14:paraId="5E50FFA7"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But when you set in the west, all work is laid aside,</w:t>
      </w:r>
    </w:p>
    <w:p w14:paraId="646C9C1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When you rise again, you make (lost) grow aside for the king.</w:t>
      </w:r>
    </w:p>
    <w:p w14:paraId="35ACB97B"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Movement has been in every leg,</w:t>
      </w:r>
    </w:p>
    <w:p w14:paraId="3E54741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Since you have founded the earth.</w:t>
      </w:r>
    </w:p>
    <w:p w14:paraId="48F61FA5"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You have raised up (its inhabitants),</w:t>
      </w:r>
    </w:p>
    <w:p w14:paraId="2528EAD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For your son who came forth from your flesh-</w:t>
      </w:r>
    </w:p>
    <w:p w14:paraId="2DC6E5A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King of Upper and Lower Egypt, who lives on Truth,</w:t>
      </w:r>
    </w:p>
    <w:p w14:paraId="4265B29A"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Lord of the Two Lands, Neferkheperure Waenre,</w:t>
      </w:r>
    </w:p>
    <w:p w14:paraId="5281A3D9"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Son of Re, who lives on Truth,</w:t>
      </w:r>
    </w:p>
    <w:p w14:paraId="527796D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Lord of Diadems, Akhenaten, whose life is long;</w:t>
      </w:r>
    </w:p>
    <w:p w14:paraId="50E3B716"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And for the Great Royal Wide, Neferneferuaten</w:t>
      </w:r>
    </w:p>
    <w:p w14:paraId="712D9283" w14:textId="00FA8B35" w:rsid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Nefertiti, may she live and grow young for ever and ever.”</w:t>
      </w:r>
    </w:p>
    <w:p w14:paraId="26BB2A07" w14:textId="754803BE" w:rsidR="002B6C2A" w:rsidRDefault="002B6C2A" w:rsidP="002B6C2A">
      <w:pPr>
        <w:rPr>
          <w:rFonts w:ascii="Times New Roman" w:hAnsi="Times New Roman" w:cs="Times New Roman"/>
          <w:sz w:val="24"/>
          <w:szCs w:val="24"/>
        </w:rPr>
      </w:pPr>
    </w:p>
    <w:p w14:paraId="66C47403" w14:textId="19A3938C" w:rsidR="002B6C2A" w:rsidRDefault="002B6C2A" w:rsidP="002B6C2A">
      <w:pPr>
        <w:rPr>
          <w:rFonts w:ascii="Times New Roman" w:hAnsi="Times New Roman" w:cs="Times New Roman"/>
          <w:sz w:val="24"/>
          <w:szCs w:val="24"/>
        </w:rPr>
      </w:pPr>
    </w:p>
    <w:p w14:paraId="33603063" w14:textId="0C2D073B" w:rsidR="002B6C2A" w:rsidRDefault="002B6C2A" w:rsidP="002B6C2A">
      <w:pPr>
        <w:rPr>
          <w:rFonts w:ascii="Times New Roman" w:hAnsi="Times New Roman" w:cs="Times New Roman"/>
          <w:sz w:val="24"/>
          <w:szCs w:val="24"/>
        </w:rPr>
      </w:pPr>
    </w:p>
    <w:p w14:paraId="367B1DED" w14:textId="2C37EF7B" w:rsidR="002B6C2A" w:rsidRDefault="002B6C2A" w:rsidP="002B6C2A">
      <w:pPr>
        <w:rPr>
          <w:rFonts w:ascii="Times New Roman" w:hAnsi="Times New Roman" w:cs="Times New Roman"/>
          <w:sz w:val="24"/>
          <w:szCs w:val="24"/>
        </w:rPr>
      </w:pPr>
    </w:p>
    <w:p w14:paraId="78EB081D" w14:textId="6BA336D8" w:rsidR="002B6C2A" w:rsidRDefault="002B6C2A" w:rsidP="002B6C2A">
      <w:pPr>
        <w:rPr>
          <w:rFonts w:ascii="Times New Roman" w:hAnsi="Times New Roman" w:cs="Times New Roman"/>
          <w:sz w:val="24"/>
          <w:szCs w:val="24"/>
        </w:rPr>
      </w:pPr>
    </w:p>
    <w:p w14:paraId="6F7BF57A" w14:textId="018530A7" w:rsidR="002B6C2A" w:rsidRDefault="002B6C2A" w:rsidP="002B6C2A">
      <w:pPr>
        <w:rPr>
          <w:rFonts w:ascii="Times New Roman" w:hAnsi="Times New Roman" w:cs="Times New Roman"/>
          <w:sz w:val="24"/>
          <w:szCs w:val="24"/>
        </w:rPr>
      </w:pPr>
    </w:p>
    <w:p w14:paraId="6DA8165C" w14:textId="646EC141" w:rsidR="002B6C2A" w:rsidRDefault="002B6C2A" w:rsidP="002B6C2A">
      <w:pPr>
        <w:rPr>
          <w:rFonts w:ascii="Times New Roman" w:hAnsi="Times New Roman" w:cs="Times New Roman"/>
          <w:sz w:val="24"/>
          <w:szCs w:val="24"/>
        </w:rPr>
      </w:pPr>
    </w:p>
    <w:p w14:paraId="07F8CD55" w14:textId="6EE9ECE0" w:rsidR="002B6C2A" w:rsidRDefault="002B6C2A" w:rsidP="002B6C2A">
      <w:pPr>
        <w:rPr>
          <w:rFonts w:ascii="Times New Roman" w:hAnsi="Times New Roman" w:cs="Times New Roman"/>
          <w:sz w:val="24"/>
          <w:szCs w:val="24"/>
        </w:rPr>
      </w:pPr>
    </w:p>
    <w:p w14:paraId="1F3133A8" w14:textId="3D976542" w:rsidR="002B6C2A" w:rsidRDefault="002B6C2A" w:rsidP="002B6C2A">
      <w:pPr>
        <w:rPr>
          <w:rFonts w:ascii="Times New Roman" w:hAnsi="Times New Roman" w:cs="Times New Roman"/>
          <w:sz w:val="24"/>
          <w:szCs w:val="24"/>
        </w:rPr>
      </w:pPr>
    </w:p>
    <w:p w14:paraId="74147BC6" w14:textId="50DD6339" w:rsidR="002B6C2A" w:rsidRDefault="002B6C2A" w:rsidP="002B6C2A">
      <w:pPr>
        <w:rPr>
          <w:rFonts w:ascii="Times New Roman" w:hAnsi="Times New Roman" w:cs="Times New Roman"/>
          <w:sz w:val="24"/>
          <w:szCs w:val="24"/>
        </w:rPr>
      </w:pPr>
    </w:p>
    <w:p w14:paraId="58346B21" w14:textId="6DFEC0A1" w:rsidR="002B6C2A" w:rsidRDefault="002B6C2A" w:rsidP="002B6C2A">
      <w:pPr>
        <w:rPr>
          <w:rFonts w:ascii="Times New Roman" w:hAnsi="Times New Roman" w:cs="Times New Roman"/>
          <w:sz w:val="24"/>
          <w:szCs w:val="24"/>
        </w:rPr>
      </w:pPr>
    </w:p>
    <w:p w14:paraId="6130D30D" w14:textId="291D8F96" w:rsidR="002B6C2A" w:rsidRDefault="002B6C2A" w:rsidP="002B6C2A">
      <w:pPr>
        <w:rPr>
          <w:rFonts w:ascii="Times New Roman" w:hAnsi="Times New Roman" w:cs="Times New Roman"/>
          <w:sz w:val="24"/>
          <w:szCs w:val="24"/>
        </w:rPr>
      </w:pPr>
    </w:p>
    <w:p w14:paraId="6E1A3C9D" w14:textId="7F944C0A" w:rsidR="002B6C2A" w:rsidRDefault="002B6C2A" w:rsidP="002B6C2A">
      <w:pPr>
        <w:rPr>
          <w:rFonts w:ascii="Times New Roman" w:hAnsi="Times New Roman" w:cs="Times New Roman"/>
          <w:sz w:val="24"/>
          <w:szCs w:val="24"/>
        </w:rPr>
      </w:pPr>
    </w:p>
    <w:p w14:paraId="77362952" w14:textId="73DC1B35" w:rsidR="002B6C2A" w:rsidRDefault="002B6C2A" w:rsidP="002B6C2A">
      <w:pPr>
        <w:rPr>
          <w:rFonts w:ascii="Times New Roman" w:hAnsi="Times New Roman" w:cs="Times New Roman"/>
          <w:sz w:val="24"/>
          <w:szCs w:val="24"/>
        </w:rPr>
      </w:pPr>
    </w:p>
    <w:p w14:paraId="5E0CBA29" w14:textId="294EA51E" w:rsidR="002B6C2A" w:rsidRDefault="002B6C2A" w:rsidP="002B6C2A">
      <w:pPr>
        <w:rPr>
          <w:rFonts w:ascii="Times New Roman" w:hAnsi="Times New Roman" w:cs="Times New Roman"/>
          <w:sz w:val="24"/>
          <w:szCs w:val="24"/>
        </w:rPr>
      </w:pPr>
    </w:p>
    <w:p w14:paraId="49212ACB" w14:textId="18737EBF" w:rsidR="002B6C2A" w:rsidRDefault="002B6C2A" w:rsidP="002B6C2A">
      <w:pPr>
        <w:rPr>
          <w:rFonts w:ascii="Times New Roman" w:hAnsi="Times New Roman" w:cs="Times New Roman"/>
          <w:sz w:val="24"/>
          <w:szCs w:val="24"/>
        </w:rPr>
      </w:pPr>
    </w:p>
    <w:p w14:paraId="21D2266D" w14:textId="1618F08D" w:rsidR="002B6C2A" w:rsidRDefault="002B6C2A" w:rsidP="002B6C2A">
      <w:pPr>
        <w:rPr>
          <w:rFonts w:ascii="Times New Roman" w:hAnsi="Times New Roman" w:cs="Times New Roman"/>
          <w:sz w:val="24"/>
          <w:szCs w:val="24"/>
        </w:rPr>
      </w:pPr>
    </w:p>
    <w:p w14:paraId="55D1199A" w14:textId="51D0149E" w:rsidR="002B6C2A" w:rsidRDefault="002B6C2A" w:rsidP="002B6C2A">
      <w:pPr>
        <w:rPr>
          <w:rFonts w:ascii="Times New Roman" w:hAnsi="Times New Roman" w:cs="Times New Roman"/>
          <w:sz w:val="24"/>
          <w:szCs w:val="24"/>
        </w:rPr>
      </w:pPr>
    </w:p>
    <w:p w14:paraId="19AA58D2" w14:textId="371E42A3" w:rsidR="002B6C2A" w:rsidRDefault="002B6C2A" w:rsidP="002B6C2A">
      <w:pPr>
        <w:rPr>
          <w:rFonts w:ascii="Times New Roman" w:hAnsi="Times New Roman" w:cs="Times New Roman"/>
          <w:sz w:val="24"/>
          <w:szCs w:val="24"/>
        </w:rPr>
      </w:pPr>
    </w:p>
    <w:p w14:paraId="1EEF3298" w14:textId="13F14EC3" w:rsidR="002B6C2A" w:rsidRPr="002B6C2A" w:rsidRDefault="002B6C2A" w:rsidP="002B6C2A">
      <w:pPr>
        <w:pStyle w:val="Heading1"/>
        <w:rPr>
          <w:rFonts w:ascii="Times New Roman" w:hAnsi="Times New Roman" w:cs="Times New Roman"/>
          <w:color w:val="000000" w:themeColor="text1"/>
        </w:rPr>
      </w:pPr>
      <w:bookmarkStart w:id="12" w:name="_Toc513620250"/>
      <w:r w:rsidRPr="002B6C2A">
        <w:rPr>
          <w:rFonts w:ascii="Times New Roman" w:hAnsi="Times New Roman" w:cs="Times New Roman"/>
          <w:color w:val="000000" w:themeColor="text1"/>
        </w:rPr>
        <w:lastRenderedPageBreak/>
        <w:t>Appendix 4 – Restoration Stela</w:t>
      </w:r>
      <w:bookmarkEnd w:id="12"/>
    </w:p>
    <w:p w14:paraId="2B673FFF" w14:textId="330ED31C" w:rsidR="002B6C2A" w:rsidRDefault="002B6C2A" w:rsidP="002B6C2A"/>
    <w:p w14:paraId="5AC598DC" w14:textId="77777777" w:rsidR="002B6C2A" w:rsidRPr="002B6C2A" w:rsidRDefault="002B6C2A" w:rsidP="002B6C2A"/>
    <w:p w14:paraId="3B209FF6" w14:textId="339B44C7" w:rsidR="00D05904" w:rsidRDefault="002B6C2A" w:rsidP="00D05904">
      <w:pPr>
        <w:rPr>
          <w:rFonts w:ascii="Times New Roman" w:hAnsi="Times New Roman" w:cs="Times New Roman"/>
          <w:sz w:val="24"/>
          <w:szCs w:val="24"/>
        </w:rPr>
      </w:pPr>
      <w:r w:rsidRPr="002B6C2A">
        <w:rPr>
          <w:rFonts w:ascii="Times New Roman" w:hAnsi="Times New Roman" w:cs="Times New Roman"/>
          <w:sz w:val="24"/>
        </w:rPr>
        <w:t xml:space="preserve">Stele found near the third pylon gateway of the Temple of Amun at </w:t>
      </w:r>
      <w:r w:rsidRPr="002B6C2A">
        <w:rPr>
          <w:rFonts w:ascii="Times New Roman" w:hAnsi="Times New Roman" w:cs="Times New Roman"/>
          <w:sz w:val="24"/>
          <w:szCs w:val="24"/>
        </w:rPr>
        <w:t>Waset (Waterson 1999):</w:t>
      </w:r>
    </w:p>
    <w:p w14:paraId="66AA56EA" w14:textId="2FD539EF" w:rsidR="002B6C2A" w:rsidRDefault="002B6C2A" w:rsidP="00D05904"/>
    <w:p w14:paraId="0E5768AE"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 temples of the gods and goddesses, from Aabu (Aswan) down to the</w:t>
      </w:r>
    </w:p>
    <w:p w14:paraId="4A579ECC"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Marshes of the Delta, had fallen into decay,</w:t>
      </w:r>
    </w:p>
    <w:p w14:paraId="1E73CBCF"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Their shrines had become desolate ruins overgrown with weeds</w:t>
      </w:r>
    </w:p>
    <w:p w14:paraId="5B5E738D"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 xml:space="preserve">And their chapels as though they had never existed. Their halls were used as </w:t>
      </w:r>
    </w:p>
    <w:p w14:paraId="5183E0A2"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Footpaths. The land was disorderly and the gods turned their backs on it. If</w:t>
      </w:r>
    </w:p>
    <w:p w14:paraId="4B4D7CB8"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Agents were dispatched to Djahi (Syria) to extend the boundaries of Egypt,</w:t>
      </w:r>
    </w:p>
    <w:p w14:paraId="76B67ED3" w14:textId="77777777"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They met with no success. If anyone abased himself before a god to petition</w:t>
      </w:r>
    </w:p>
    <w:p w14:paraId="221C4105" w14:textId="522C58A4" w:rsidR="002B6C2A" w:rsidRPr="002B6C2A" w:rsidRDefault="002B6C2A" w:rsidP="002B6C2A">
      <w:pPr>
        <w:rPr>
          <w:rFonts w:ascii="Times New Roman" w:hAnsi="Times New Roman" w:cs="Times New Roman"/>
          <w:sz w:val="24"/>
          <w:szCs w:val="24"/>
        </w:rPr>
      </w:pPr>
      <w:r w:rsidRPr="002B6C2A">
        <w:rPr>
          <w:rFonts w:ascii="Times New Roman" w:hAnsi="Times New Roman" w:cs="Times New Roman"/>
          <w:sz w:val="24"/>
          <w:szCs w:val="24"/>
        </w:rPr>
        <w:t>Him, he did not respond; if a prayer was made to a goddess, she did not reply.”</w:t>
      </w:r>
    </w:p>
    <w:p w14:paraId="210C5120" w14:textId="754B175B" w:rsidR="002B6C2A" w:rsidRDefault="002B6C2A" w:rsidP="00D05904"/>
    <w:p w14:paraId="5CCBFF3C" w14:textId="190B8055" w:rsidR="006F39B6" w:rsidRDefault="006F39B6" w:rsidP="00D05904"/>
    <w:p w14:paraId="6947070E" w14:textId="64E69D8B" w:rsidR="006F39B6" w:rsidRDefault="006F39B6" w:rsidP="00D05904"/>
    <w:p w14:paraId="7E36C831" w14:textId="16AAF2D2" w:rsidR="006F39B6" w:rsidRDefault="006F39B6" w:rsidP="00D05904"/>
    <w:p w14:paraId="37320EDF" w14:textId="16715DC7" w:rsidR="006F39B6" w:rsidRDefault="006F39B6" w:rsidP="00D05904"/>
    <w:p w14:paraId="162749D4" w14:textId="7C47F5C5" w:rsidR="006F39B6" w:rsidRDefault="006F39B6" w:rsidP="00D05904"/>
    <w:p w14:paraId="6FAC89C3" w14:textId="492E0024" w:rsidR="006F39B6" w:rsidRDefault="006F39B6" w:rsidP="00D05904"/>
    <w:p w14:paraId="04C83A20" w14:textId="106A9753" w:rsidR="006F39B6" w:rsidRDefault="006F39B6" w:rsidP="00D05904"/>
    <w:p w14:paraId="643BF962" w14:textId="6BDB0136" w:rsidR="006F39B6" w:rsidRDefault="006F39B6" w:rsidP="00D05904"/>
    <w:p w14:paraId="4BCA61F0" w14:textId="2E1C0EA1" w:rsidR="006F39B6" w:rsidRDefault="006F39B6" w:rsidP="00D05904"/>
    <w:p w14:paraId="0569F32F" w14:textId="4CA30A7F" w:rsidR="006F39B6" w:rsidRDefault="006F39B6" w:rsidP="00D05904"/>
    <w:p w14:paraId="25D67B5C" w14:textId="30474E5E" w:rsidR="006F39B6" w:rsidRDefault="006F39B6" w:rsidP="00D05904"/>
    <w:p w14:paraId="3A962CBD" w14:textId="2E3F182B" w:rsidR="006F39B6" w:rsidRDefault="006F39B6" w:rsidP="00D05904"/>
    <w:p w14:paraId="458EE45D" w14:textId="15DBAD36" w:rsidR="006F39B6" w:rsidRDefault="006F39B6" w:rsidP="00D05904"/>
    <w:p w14:paraId="2790B9E6" w14:textId="763878C1" w:rsidR="006F39B6" w:rsidRDefault="006F39B6" w:rsidP="00D05904"/>
    <w:p w14:paraId="6F7D79E6" w14:textId="3BBA5B13" w:rsidR="006F39B6" w:rsidRDefault="006F39B6" w:rsidP="00D05904"/>
    <w:p w14:paraId="7744BEBE" w14:textId="23566CDF" w:rsidR="006F39B6" w:rsidRDefault="006F39B6" w:rsidP="00D05904"/>
    <w:p w14:paraId="459B6594" w14:textId="7594ABF0" w:rsidR="006F39B6" w:rsidRDefault="006F39B6" w:rsidP="00D05904"/>
    <w:p w14:paraId="639519D6" w14:textId="6A0D0620" w:rsidR="006F39B6" w:rsidRDefault="006F39B6" w:rsidP="00D05904"/>
    <w:p w14:paraId="10B0DC3C" w14:textId="6BFD9EC5" w:rsidR="006F39B6" w:rsidRDefault="006F39B6" w:rsidP="00D05904"/>
    <w:p w14:paraId="7BC0D583" w14:textId="2FCBFCCD" w:rsidR="006F39B6" w:rsidRDefault="006F39B6" w:rsidP="00D05904"/>
    <w:p w14:paraId="3FAE01D7" w14:textId="118965E2" w:rsidR="006F39B6" w:rsidRDefault="006F39B6" w:rsidP="00D05904"/>
    <w:p w14:paraId="5F163B3C" w14:textId="72EB461C" w:rsidR="006F39B6" w:rsidRDefault="006F39B6" w:rsidP="00D05904"/>
    <w:p w14:paraId="46ED8DCB" w14:textId="226574B2" w:rsidR="006F39B6" w:rsidRDefault="006F39B6" w:rsidP="00D05904"/>
    <w:p w14:paraId="293AA33D" w14:textId="49951514" w:rsidR="006F39B6" w:rsidRDefault="006F39B6" w:rsidP="00D05904"/>
    <w:p w14:paraId="775689C3" w14:textId="4DEFF473" w:rsidR="006F39B6" w:rsidRDefault="006F39B6" w:rsidP="00D05904"/>
    <w:p w14:paraId="0981CE4D" w14:textId="53D41060" w:rsidR="006F39B6" w:rsidRDefault="006F39B6" w:rsidP="00D05904"/>
    <w:p w14:paraId="098519C1" w14:textId="5239C3A6" w:rsidR="006F39B6" w:rsidRDefault="006F39B6" w:rsidP="00D05904"/>
    <w:p w14:paraId="0D139C89" w14:textId="4468F675" w:rsidR="006F39B6" w:rsidRDefault="006F39B6" w:rsidP="00D05904"/>
    <w:p w14:paraId="09C3B34F" w14:textId="33C29825" w:rsidR="006F39B6" w:rsidRDefault="006F39B6" w:rsidP="00D05904"/>
    <w:p w14:paraId="4B5390FE" w14:textId="5FEE3A09" w:rsidR="006F39B6" w:rsidRDefault="006F39B6" w:rsidP="00D05904"/>
    <w:p w14:paraId="51355C56" w14:textId="07242CC2" w:rsidR="006F39B6" w:rsidRDefault="006F39B6" w:rsidP="00D05904"/>
    <w:p w14:paraId="11D5B5F8" w14:textId="4EB29401" w:rsidR="006F39B6" w:rsidRDefault="006F39B6" w:rsidP="00D05904"/>
    <w:p w14:paraId="33E4CAF2" w14:textId="6B4A84EC" w:rsidR="006F39B6" w:rsidRDefault="006F39B6" w:rsidP="00D05904"/>
    <w:p w14:paraId="24DA37DD" w14:textId="629DE2F0" w:rsidR="006F39B6" w:rsidRDefault="006F39B6" w:rsidP="00D05904"/>
    <w:p w14:paraId="5E18003B" w14:textId="59CDB89D" w:rsidR="006F39B6" w:rsidRDefault="006F39B6" w:rsidP="00D05904"/>
    <w:p w14:paraId="44304F6D" w14:textId="0C63F420" w:rsidR="006F39B6" w:rsidRDefault="006F39B6" w:rsidP="00D05904"/>
    <w:p w14:paraId="719915D6" w14:textId="18E7A503" w:rsidR="006F39B6" w:rsidRDefault="006F39B6" w:rsidP="00D05904"/>
    <w:p w14:paraId="09B217B8" w14:textId="12E14D81" w:rsidR="006F39B6" w:rsidRPr="006F39B6" w:rsidRDefault="006F39B6" w:rsidP="006F39B6">
      <w:pPr>
        <w:pStyle w:val="Heading1"/>
        <w:rPr>
          <w:rFonts w:ascii="Times New Roman" w:hAnsi="Times New Roman" w:cs="Times New Roman"/>
          <w:color w:val="000000" w:themeColor="text1"/>
        </w:rPr>
      </w:pPr>
      <w:bookmarkStart w:id="13" w:name="_Toc513620251"/>
      <w:r w:rsidRPr="006F39B6">
        <w:rPr>
          <w:rFonts w:ascii="Times New Roman" w:hAnsi="Times New Roman" w:cs="Times New Roman"/>
          <w:color w:val="000000" w:themeColor="text1"/>
        </w:rPr>
        <w:lastRenderedPageBreak/>
        <w:t>Appendix 5- Amarna Letters</w:t>
      </w:r>
      <w:bookmarkEnd w:id="13"/>
    </w:p>
    <w:p w14:paraId="056A9457" w14:textId="65973004" w:rsidR="002B6C2A" w:rsidRDefault="002B6C2A" w:rsidP="00D05904"/>
    <w:p w14:paraId="2B914507" w14:textId="0976AAB0" w:rsidR="006F39B6" w:rsidRDefault="006F39B6" w:rsidP="006F39B6">
      <w:pPr>
        <w:rPr>
          <w:rFonts w:ascii="Times New Roman" w:hAnsi="Times New Roman" w:cs="Times New Roman"/>
          <w:sz w:val="24"/>
          <w:szCs w:val="24"/>
        </w:rPr>
      </w:pPr>
      <w:r>
        <w:rPr>
          <w:rFonts w:ascii="Times New Roman" w:hAnsi="Times New Roman" w:cs="Times New Roman"/>
          <w:sz w:val="24"/>
          <w:szCs w:val="24"/>
        </w:rPr>
        <w:t>Translated by William L. Moran.</w:t>
      </w:r>
    </w:p>
    <w:p w14:paraId="6CF0976E" w14:textId="77777777" w:rsidR="006F39B6" w:rsidRDefault="006F39B6" w:rsidP="006F39B6">
      <w:pPr>
        <w:rPr>
          <w:rFonts w:ascii="Times New Roman" w:hAnsi="Times New Roman" w:cs="Times New Roman"/>
          <w:sz w:val="24"/>
          <w:szCs w:val="24"/>
        </w:rPr>
      </w:pPr>
    </w:p>
    <w:p w14:paraId="75C2B9AC" w14:textId="7F11E7A5"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EA5- gifts of Egyptian furniture for the Babylonian palace- Pg 10-11</w:t>
      </w:r>
    </w:p>
    <w:p w14:paraId="4A59FE3C"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“Thus Nibmuareya, Great King, the King of Egypt. Say to Kadaŝman- Enlil, the King of Karaduniya, my brother: for me all goes well. For you may all go well. For your household, your wives, your sons, your magnates, your troops, your horses, your chariots, and in your countries, may all go well. For me all goes well. For my household, my wives, my sons, my magnates, my many troops, my horses, my chariots, and in my countries all goes very, very well. I have just heard that you have built some new quarters. I am sending herewith some furnishings for your house. Indeed I shall be preparing everything possible before the arrival of your messenger who is bringing your daughter. When your messenger returns, I will send them to you. I herewith send you, in the charge of Šutti, a greeting gift of things for the new house- 1 bed of ebony, overlaid with ivory and gold; 3 beds of ebony overlaid with gold; 1 uruŝŝu of ebony, overlaid with gold; 1 large chair of ebony, overlaid with gold; 5 chairs of ebony, overlaid with gold; 4 chairs of ebony, overlaid with gold. These things, the weight of all the gold: 7 minas, 9 shekels of gold. The weight of the silver: 1 mina, 81⁄2 shekels of silver. In addition, 10 footrests of ebony… of ebony, overlaid with gold;… footrests of ivory, overlaid with gold,… (total x) minas, 10 and 7 shekels of gold.”</w:t>
      </w:r>
    </w:p>
    <w:p w14:paraId="797B1C49" w14:textId="77777777" w:rsidR="006F39B6" w:rsidRPr="006F39B6" w:rsidRDefault="006F39B6" w:rsidP="006F39B6">
      <w:pPr>
        <w:rPr>
          <w:rFonts w:ascii="Times New Roman" w:hAnsi="Times New Roman" w:cs="Times New Roman"/>
          <w:sz w:val="24"/>
          <w:szCs w:val="24"/>
        </w:rPr>
      </w:pPr>
    </w:p>
    <w:p w14:paraId="02F90A38"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EA6- an offer of friendship- Pg 12</w:t>
      </w:r>
    </w:p>
    <w:p w14:paraId="2709B6D3"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“Say to Nimmuwarea, the king of Egypt, my brother: Thus Burra- Buriyaŝ, the king of Karaduniyaŝ, your brother. For me all goes well. For you, your household, your wives, your sons, your country, your magnates, your horses, your chariots, may all go well. Just as previously you and my father were friendly to one another, you and I should now be friendly to one another. Between us, anything else whatsoever is not even to be mentioned. Write me for what you want for my country so that it may be taken to you, and I will write to you for what I want from your country so that it may be taken to me… I will trust you… Write me so that it may be taken to you. And as your greeting- gift… and I… send you.”</w:t>
      </w:r>
    </w:p>
    <w:p w14:paraId="3AB78423" w14:textId="77777777" w:rsidR="006F39B6" w:rsidRPr="006F39B6" w:rsidRDefault="006F39B6" w:rsidP="006F39B6">
      <w:pPr>
        <w:rPr>
          <w:rFonts w:ascii="Times New Roman" w:hAnsi="Times New Roman" w:cs="Times New Roman"/>
          <w:sz w:val="24"/>
          <w:szCs w:val="24"/>
        </w:rPr>
      </w:pPr>
    </w:p>
    <w:p w14:paraId="2D550822"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EA9- ancient loyalties, new requests- Pg 18</w:t>
      </w:r>
    </w:p>
    <w:p w14:paraId="3225DCE4"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“Say to Nibḫurrereya, the king of Egypt, my brother: Thus Burra- Buriyaŝ, the king of Karaduniyaŝ, your brother. For me all goes well. For you, your household, your wives, your sons, your country, your magnates, your horses, your chariots, may all go very well. From the time my ancestors and your ancestors made a mutual declaration of friendship, they sent beautiful greeting- gifts to each other, and refused no request for anything beautiful. My brother has now sent me 2 minas of gold as my greeting-gift. Now, if gold is plentiful, send me as much as your ancestors sent, but if it is scarce, send me half of what your ancestors sent. Why have you sent me 2 minas of gold? At the moment my work on a temple is extensive, and I am quite busy with carrying it out. Send me much gold. And you for your part, whatever you want from my country, write me so that it may be taken to you. In the time of Kurigaizu, my ancestor, all the Canaanites wrote here to him, saying ‘come to the border of the country so we can revolt and be allied with you’. My ancestor sent them this (reply) saying, ‘forget about being allied with me. If you become enemies of the king of Egypt, and are allied with anyone else, will I not then come and plunder you? How can there be an alliance with me?’ For the sake of your ancestor, my ancestor did not listen to them. Now, as for my Assyrian vassals, I was not the one who sent them to you. Why on their own authority have they come to your country? If you love me, they will conduct no business whatsoever. Send them off to me empty- handed. I send to you as your greeting- gift 3 minas of genuine lapis lazuli and 5 teams of horses for 5 wooden chariots.”</w:t>
      </w:r>
    </w:p>
    <w:p w14:paraId="7197D6D0" w14:textId="77777777" w:rsidR="006F39B6" w:rsidRPr="006F39B6" w:rsidRDefault="006F39B6" w:rsidP="006F39B6">
      <w:pPr>
        <w:rPr>
          <w:rFonts w:ascii="Times New Roman" w:hAnsi="Times New Roman" w:cs="Times New Roman"/>
          <w:sz w:val="24"/>
          <w:szCs w:val="24"/>
        </w:rPr>
      </w:pPr>
    </w:p>
    <w:p w14:paraId="6918EE68" w14:textId="77777777" w:rsidR="006F39B6" w:rsidRPr="006F39B6" w:rsidRDefault="006F39B6" w:rsidP="006F39B6">
      <w:pPr>
        <w:rPr>
          <w:rFonts w:ascii="Times New Roman" w:hAnsi="Times New Roman" w:cs="Times New Roman"/>
          <w:sz w:val="24"/>
          <w:szCs w:val="24"/>
        </w:rPr>
      </w:pPr>
    </w:p>
    <w:p w14:paraId="7C7F0DEE"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EA12- a letter from a princess- Pg 24</w:t>
      </w:r>
    </w:p>
    <w:p w14:paraId="314650DC"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“Say to my lord: Thus the princess. For you, your chariots, the men and your… may all go well. May the gods of Burra- Buriyaŝ accompany you. March in safety, and safely push on so you will see your house again. In the presence of my lord thus do I prostrate myself, saying ‘from… my messenger brings you coloured cloth.’ For your cities and your household may all go well. Do not worry or you will make me sad. Your servant, Kidin- Adad… I would give my life for you.”</w:t>
      </w:r>
    </w:p>
    <w:p w14:paraId="7198C2E3" w14:textId="77777777" w:rsidR="006F39B6" w:rsidRPr="006F39B6" w:rsidRDefault="006F39B6" w:rsidP="006F39B6">
      <w:pPr>
        <w:rPr>
          <w:rFonts w:ascii="Times New Roman" w:hAnsi="Times New Roman" w:cs="Times New Roman"/>
          <w:sz w:val="24"/>
          <w:szCs w:val="24"/>
        </w:rPr>
      </w:pPr>
    </w:p>
    <w:p w14:paraId="0C797CCC"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EA15- Assyria joins the International scene- Pg 38</w:t>
      </w:r>
    </w:p>
    <w:p w14:paraId="2BB55B2D"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“Say to the king of Egypt: Thus Aŝŝur- Uballit, the king of Assyria. For you, your household, for your country, for your chariots and your troops, may all go well. I send my messenger to you to visit your country. Up to now, my predecessors have not written; today I write to you. I send you a beautiful chariot, 2 horses and 1 date-stone of genuine lapis lazuli, as your greeting- gift. Do not delay the messenger whom I send to you for a visit. He should visit and then leave for here. He should see what you are like and what your country is like, and then leave for here.”</w:t>
      </w:r>
    </w:p>
    <w:p w14:paraId="6777A89C" w14:textId="77777777" w:rsidR="006F39B6" w:rsidRPr="006F39B6" w:rsidRDefault="006F39B6" w:rsidP="006F39B6">
      <w:pPr>
        <w:rPr>
          <w:rFonts w:ascii="Times New Roman" w:hAnsi="Times New Roman" w:cs="Times New Roman"/>
          <w:sz w:val="24"/>
          <w:szCs w:val="24"/>
        </w:rPr>
      </w:pPr>
    </w:p>
    <w:p w14:paraId="748C4BA6"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EA21- a necklace for 100 000 years- Pg 50</w:t>
      </w:r>
    </w:p>
    <w:p w14:paraId="453F1D7C"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“Say to Nimmureya, Great King, king of Egypt, my brother, my son-in-law, whom I love and who loves me: Thus Tuŝratta, Great King, the king of Mitanni, your brother, your father-in-law, and one who loves me. For me all goes well. For your brother, your father-in-law, may all go well. For your household, for your wives, for your sons, for your men, for your chariots, for your horses, for your country, and for whatever else belongs to you, may all go very well. I have given him my daughter to be the wife of my brother, whom I love. May Šimige and Šauŝka grant my brother a great blessing, exquisite joy. May they bless him and may you, my brother, live forever. Mane, my brother’s messenger, and Ḫane, my brother’s interpreter, I have exalted the gods. I have given them many presents and treated them very kindly, for their report was excellent. In everything about them, I have never seen men with such an appearance. May my gods and the gods of my brother protect them. I herewith dispatch to my brother Naḫramaŝŝi to carry out… and I send 1 maninnu-necklace of genuine lapis lazuli and gold as the greeting-gift of my brother. May it rest on the neck of my brother for 100,000 years.”</w:t>
      </w:r>
    </w:p>
    <w:p w14:paraId="215AF364" w14:textId="77777777" w:rsidR="006F39B6" w:rsidRPr="006F39B6" w:rsidRDefault="006F39B6" w:rsidP="006F39B6">
      <w:pPr>
        <w:rPr>
          <w:rFonts w:ascii="Times New Roman" w:hAnsi="Times New Roman" w:cs="Times New Roman"/>
          <w:sz w:val="24"/>
          <w:szCs w:val="24"/>
        </w:rPr>
      </w:pPr>
    </w:p>
    <w:p w14:paraId="393818E6"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EA23- a goddess travels to Egypt- Pg 61-62</w:t>
      </w:r>
    </w:p>
    <w:p w14:paraId="381FF3AA"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“Say to Nimmureya, the king of Egypt, my brother, my son-in-law, whom I love and who loves me: Thus Tuŝratta, the king of Mitanni, who loves you, your father-in-law. For me all goes well. For you may all go well. For your household, for Tadu-Ḫeba, my daughter, your wife, whom you love, may all go well. For your wives, for your sons, for your magnates, for your chariots, for your troops, for your country and for whatever else belongs to you, may all go very, very well. Thus Šauŝka of Nineveh, mistress of all lands: ‘I wish to go to Egypt, a country that I love and then return.’ Now I herewith send her, and she is on her way. Now, in the time, too, of my father… went to this country, and just as earlier she dwelt there and they honoured her, may my brother now honour her 10 times more than before. May my brother honour her, then at his pleasure let her go so that she may not come back. May Šauŝka, the mistress of heaven, protect us, my brother and me, 100,000 years, and may our mistress grant us great joy. And let us act as friends. Is Šauŝka for me alone my goddess, and for my brother not his goddess.”</w:t>
      </w:r>
    </w:p>
    <w:p w14:paraId="3CD39EDE" w14:textId="77777777" w:rsidR="006F39B6" w:rsidRPr="006F39B6" w:rsidRDefault="006F39B6" w:rsidP="006F39B6">
      <w:pPr>
        <w:rPr>
          <w:rFonts w:ascii="Times New Roman" w:hAnsi="Times New Roman" w:cs="Times New Roman"/>
          <w:sz w:val="24"/>
          <w:szCs w:val="24"/>
        </w:rPr>
      </w:pPr>
    </w:p>
    <w:p w14:paraId="1D8289E2"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EA26- to the Queen Mother: some missing gold statues- Pg 84-85</w:t>
      </w:r>
    </w:p>
    <w:p w14:paraId="33F077C6"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 xml:space="preserve">“Say to Teye, the mistress of Egypt: Thus Tuŝratta, the king of Mitanni. For me all goes well. For you may all go well. For your household, for your son, may all go well. For Tadu-Ḫeba, my daughter, your daughter-in-law, may all go well. For your countries, for your troops, and for </w:t>
      </w:r>
      <w:r w:rsidRPr="006F39B6">
        <w:rPr>
          <w:rFonts w:ascii="Times New Roman" w:hAnsi="Times New Roman" w:cs="Times New Roman"/>
          <w:sz w:val="24"/>
          <w:szCs w:val="24"/>
        </w:rPr>
        <w:lastRenderedPageBreak/>
        <w:t>whatever else belongs to you, may all go very, very well. You are the one that knows that I myself always showed love to Mimmureya, your husband, and that Mimmureya, your husband, on the other hand, always showed love to me. And the things that I would write and say to Mimmureya, your husband, and the things that Mimmureya, your husband, on the other hand would always write and say to me, you, Keliya, and Mane know. But you are the one on the other hand,, who knows much better than all the others the things that we said to one another. No one knows them as well. And now, you yourself said to Keliya, ‘Say to your lord: Mimmureya, my husband, always showed love to your father, and he did not cut off the embassies that he had been accustomed to sending, one after the other. And now you are the one that must not forget your love for Mimmureya, your brother. Increase it for Napḫurreya and maintain it for him. You must keep on sending embassies of joy, one after the other. Do not cut them off.’ I will not forget the love for Mimmureya, your husband. More then ever before, at this very moment, I show 10 times, much, much more love to Napḫurreya, your son. You are the one who knows the words of Mimmureya, your husband, but you did not send all of my greeting-gifts that your husband ordered to be sent. I had asked your husband for statues of solid cast gold, saying, ‘may my brother send me as my greeting-gift, statues of solid cast gold, and …of gold and genuine lapis lazuli.’ But now Napḫurreya, your son, has plates statues of wood. With gold being the dirt in your son’s country, why have they been a source of such distress to your son that he has not given them to me? Furthermore, I asked… to give this. Is this love? I had said, Napḫurreya, my brother, is going to treat me 10 times better than his father did.’ But now he has not given me even what his father was accustomed to give. Why have you not exposed before Napḫurreya the words that you yourself, and with your own mouth, said to me? If you do not expose them before him, and you keep silent, can anyone else know? Let Napḫurreya give me statues of solid gold! He must cause me no distress whatsoever, nor… let him treat me 10 times better than his father did, with love and evidence of esteem. May your own messengers go regularly with the messengers of Napḫurreya, with 5… to Yuni, my wife, and may the messengers of Yuni, my wife go regularly to you. I herewith send as your greeting-gift scent containers filled with ‘sweet oil’ and 1 set of stones set in gold.”</w:t>
      </w:r>
    </w:p>
    <w:p w14:paraId="2B2FA426" w14:textId="77777777" w:rsidR="006F39B6" w:rsidRPr="006F39B6" w:rsidRDefault="006F39B6" w:rsidP="006F39B6">
      <w:pPr>
        <w:rPr>
          <w:rFonts w:ascii="Times New Roman" w:hAnsi="Times New Roman" w:cs="Times New Roman"/>
          <w:sz w:val="24"/>
          <w:szCs w:val="24"/>
        </w:rPr>
      </w:pPr>
    </w:p>
    <w:p w14:paraId="5DB908A4"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EA33- an alliance in the making- Pg 104</w:t>
      </w:r>
    </w:p>
    <w:p w14:paraId="1E8D5652"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“To the king of Egypt, my brother: Message of the king of Alaŝiya, your brother. For me all goes well. For you may all go well. For your households, your wives, your sons, your horses, your chariots, and in your country, may all go very well. Moreover, I have heard that you are seated on the throne of your father’s house. You said, ‘let us have transported (back and forth) gifts of peace.’ I have heard the greeting of my brother, and I… You wrote, ‘have you transported to me 200 talents of copper’, and I herewith have transported to you… 10 talents of fine copper. The messenger that your father used to send to me, I let go immediately. So write to me, and may my brother not delay my man that… let him go immediately. And year by year let my messenger go into your presence, and, on your part, year by year, your messenger should come from your presence into my presence.”</w:t>
      </w:r>
    </w:p>
    <w:p w14:paraId="2F3539FE" w14:textId="77777777" w:rsidR="006F39B6" w:rsidRPr="006F39B6" w:rsidRDefault="006F39B6" w:rsidP="006F39B6">
      <w:pPr>
        <w:rPr>
          <w:rFonts w:ascii="Times New Roman" w:hAnsi="Times New Roman" w:cs="Times New Roman"/>
          <w:sz w:val="24"/>
          <w:szCs w:val="24"/>
        </w:rPr>
      </w:pPr>
    </w:p>
    <w:p w14:paraId="27FE9393"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EA34- the Pharaoh’s reproach answered- Pg 105</w:t>
      </w:r>
    </w:p>
    <w:p w14:paraId="6C70411F"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 xml:space="preserve">“Message of the king of Alaŝiya to the king of Egypt, my brother: Be informed that I prosper and my country prospers. And as to your own prosperity, may your prosperity and the prosperity of your household, your sons, your wives, your horses, your chariots, your country, be very great. Look, you are my brother. As to your having written me, ‘Why did you not send your messenger to me?’ The fact is that I had not heard that you were going to perform a sacrifice. Do not take this at all seriously. Since I have now heard about it, I herewith send my messenger to you. And behold, I also send to you with my messenger 100 talents of copper. Moreover, may your messengers now bring some goods: 1 ebony bed, gold-trimmed… and a chariot, ŝuḫitu, with </w:t>
      </w:r>
      <w:r w:rsidRPr="006F39B6">
        <w:rPr>
          <w:rFonts w:ascii="Times New Roman" w:hAnsi="Times New Roman" w:cs="Times New Roman"/>
          <w:sz w:val="24"/>
          <w:szCs w:val="24"/>
        </w:rPr>
        <w:lastRenderedPageBreak/>
        <w:t>gold; 2 horses; 2 pieces of linen; 50 linen shawls; 14 beams of ebony; 17 ḫabannatu- jars of ‘sweet oil’. And as to byssos, 4 pieces and 4 shawls. And as to my goods, that are not available in your country, I am sending in the charge of my messenger a donkey-hide… of a bed, and ḫabannatu-jars that are not available… So an alliance should be made between the two of us, and my messengers should go to you and your messengers should come to me. Moreover, why have you not sent me oil and linen? As far as I am concerned, what you yourself request I will give. I herewith send a ḫabannatu-jar that is full of ‘sweet oil’ to be poured on your head, seeing that you have sat down on your royal throne.”</w:t>
      </w:r>
    </w:p>
    <w:p w14:paraId="297F307C" w14:textId="77777777" w:rsidR="006F39B6" w:rsidRPr="006F39B6" w:rsidRDefault="006F39B6" w:rsidP="006F39B6">
      <w:pPr>
        <w:rPr>
          <w:rFonts w:ascii="Times New Roman" w:hAnsi="Times New Roman" w:cs="Times New Roman"/>
          <w:sz w:val="24"/>
          <w:szCs w:val="24"/>
        </w:rPr>
      </w:pPr>
    </w:p>
    <w:p w14:paraId="0F73C005"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EA75- political chaos- Pg 145</w:t>
      </w:r>
    </w:p>
    <w:p w14:paraId="669A316B"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“Rib-Hadda says to his lord, king of all countries: May the Lady of Gubla grant power to my lord. I fall at the feet of my lord, my sun, 7 times and 7 times. May the king, my lord, know that Gubla, the maidservant of the king from ancient times, is and sound. The war, however, of the ‘Apiru against me is severe. Our sons and daughters and the furnishings of the houses are gone, since they have been sold in the land of Yarimuta for our provisions to keep us alive. For the lack of a cultivator, my field is like a woman without a husband.’ I have written repeatedly to the palace because of the illness afflicting me, but there is no one who has looked at the words that keep arriving. May the king give heed to the words of his servant… The ‘Apiru killed Aduna, the king of Irqata, but there was no one who said anything to ‘Abdi-Aŝirta, and so they go on taking territory for themselves. Miya, the ruler of Araŝni, seized Ardata, and just now the men of Ammiya have killed their lord. I am afraid. May the king be informed that the king of Ḫatti has seized all of the countries that were vassals of the king of Mitanni. Behold, he is king of Naḫrima and the land of the Great Kings, and ‘Abdi-Aŝirta, the servant and dog, is taking the land of the king. Send archers. Severe is… and send a man to Gubla that I may… his words.”</w:t>
      </w:r>
    </w:p>
    <w:p w14:paraId="4466B927" w14:textId="77777777" w:rsidR="006F39B6" w:rsidRPr="006F39B6" w:rsidRDefault="006F39B6" w:rsidP="006F39B6">
      <w:pPr>
        <w:rPr>
          <w:rFonts w:ascii="Times New Roman" w:hAnsi="Times New Roman" w:cs="Times New Roman"/>
          <w:sz w:val="24"/>
          <w:szCs w:val="24"/>
        </w:rPr>
      </w:pPr>
    </w:p>
    <w:p w14:paraId="33D9DA7F" w14:textId="77777777" w:rsidR="006F39B6" w:rsidRPr="006F39B6" w:rsidRDefault="006F39B6" w:rsidP="006F39B6">
      <w:pPr>
        <w:rPr>
          <w:rFonts w:ascii="Times New Roman" w:hAnsi="Times New Roman" w:cs="Times New Roman"/>
          <w:sz w:val="24"/>
          <w:szCs w:val="24"/>
        </w:rPr>
      </w:pPr>
    </w:p>
    <w:p w14:paraId="479FFEFF"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EA99- from the Pharaoh to a vassal- Pg 171</w:t>
      </w:r>
    </w:p>
    <w:p w14:paraId="600653B4"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“Say to… the ruler of… Thus the king. He herewith sends this tablet to you, saying to you: Be on your guard. You are to guard the place of the king where you are. Prepare your daughter for the king, your lord, and prepare the contributions: 20 first class slaves, silver, chariots, first class horses. And so let the king, your lord, say to you, ‘this is excellent’, what you have given as contributions to the king to accompany your daughter. And know that the king is hale like the sun in the sky. For his troops and chariots in multitude all goes very well.”</w:t>
      </w:r>
    </w:p>
    <w:p w14:paraId="6DC5FCC6" w14:textId="77777777" w:rsidR="006F39B6" w:rsidRPr="006F39B6" w:rsidRDefault="006F39B6" w:rsidP="006F39B6">
      <w:pPr>
        <w:rPr>
          <w:rFonts w:ascii="Times New Roman" w:hAnsi="Times New Roman" w:cs="Times New Roman"/>
          <w:sz w:val="24"/>
          <w:szCs w:val="24"/>
        </w:rPr>
      </w:pPr>
    </w:p>
    <w:p w14:paraId="5F7F36B5"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EA134- departure of the gods-Pg 215-216</w:t>
      </w:r>
    </w:p>
    <w:p w14:paraId="2E62A47B"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“Send troops to Gubla, lest Aziru take it. From time in memorial the gods have not gone away from Gubla. Now Aziru has sent troops to seize it, so that we must give up our gods, and they have gone forth. And there being no troops in the city to smite the servant, the evil dog, they can not return. What am I to do by myself. The people who were in the city have deserted in order to get provisions for themselves… and he sends a garrison to his city. I and Gubla, the king’s loyal city… As I have sent a man of mine to the palace, why has the king not written? And I wrote. Now the war against me is severe, and I am afraid. He has, I assure you, taken Sumeur. Who has said anything to him? This being true, he has turned against Gubla.”</w:t>
      </w:r>
    </w:p>
    <w:p w14:paraId="194CDDA6" w14:textId="77777777" w:rsidR="006F39B6" w:rsidRPr="006F39B6" w:rsidRDefault="006F39B6" w:rsidP="006F39B6">
      <w:pPr>
        <w:rPr>
          <w:rFonts w:ascii="Times New Roman" w:hAnsi="Times New Roman" w:cs="Times New Roman"/>
          <w:sz w:val="24"/>
          <w:szCs w:val="24"/>
        </w:rPr>
      </w:pPr>
    </w:p>
    <w:p w14:paraId="34DFF06A"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EA314- a shipment of glass- Pg 347</w:t>
      </w:r>
    </w:p>
    <w:p w14:paraId="7419EEAE" w14:textId="1CE0ED43" w:rsid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 xml:space="preserve">“To the king, my lord, my god, my sun, the sun from the sky: message of Pu-Baʿiu, your servant, the ruler of Yursa. I indeed prostrate myself at the feet of the king, my lord, my god, my sun, the sun from the sky, 7 times and 7 times, on the back and on the stomach. I am indeed guarding the place of the king, my lord, my god, my sun, the sun from the sky. Who is the dog that would not </w:t>
      </w:r>
      <w:r w:rsidRPr="006F39B6">
        <w:rPr>
          <w:rFonts w:ascii="Times New Roman" w:hAnsi="Times New Roman" w:cs="Times New Roman"/>
          <w:sz w:val="24"/>
          <w:szCs w:val="24"/>
        </w:rPr>
        <w:lastRenderedPageBreak/>
        <w:t>obey the orders of the king, the sun from the sky? Since the king, my lord, has ordered some glass, I send it to the king, my lord, my god, the sun from the sky.”</w:t>
      </w:r>
    </w:p>
    <w:p w14:paraId="7BFAE0A1" w14:textId="628870A7" w:rsidR="006F39B6" w:rsidRDefault="006F39B6" w:rsidP="006F39B6">
      <w:pPr>
        <w:rPr>
          <w:rFonts w:ascii="Times New Roman" w:hAnsi="Times New Roman" w:cs="Times New Roman"/>
          <w:sz w:val="24"/>
          <w:szCs w:val="24"/>
        </w:rPr>
      </w:pPr>
    </w:p>
    <w:p w14:paraId="2756B3BA" w14:textId="58B0DEC8" w:rsidR="006F39B6" w:rsidRDefault="006F39B6" w:rsidP="006F39B6">
      <w:pPr>
        <w:pStyle w:val="Heading1"/>
        <w:rPr>
          <w:rFonts w:ascii="Times New Roman" w:hAnsi="Times New Roman" w:cs="Times New Roman"/>
          <w:color w:val="000000" w:themeColor="text1"/>
        </w:rPr>
      </w:pPr>
      <w:bookmarkStart w:id="14" w:name="_Toc513620252"/>
      <w:r w:rsidRPr="006F39B6">
        <w:rPr>
          <w:rFonts w:ascii="Times New Roman" w:hAnsi="Times New Roman" w:cs="Times New Roman"/>
          <w:color w:val="000000" w:themeColor="text1"/>
        </w:rPr>
        <w:t>Appendix 6- Funerary Items</w:t>
      </w:r>
      <w:bookmarkEnd w:id="14"/>
      <w:r w:rsidRPr="006F39B6">
        <w:rPr>
          <w:rFonts w:ascii="Times New Roman" w:hAnsi="Times New Roman" w:cs="Times New Roman"/>
          <w:color w:val="000000" w:themeColor="text1"/>
        </w:rPr>
        <w:t xml:space="preserve"> </w:t>
      </w:r>
    </w:p>
    <w:p w14:paraId="145F7CD8" w14:textId="2E4535C6" w:rsidR="006F39B6" w:rsidRDefault="006F39B6" w:rsidP="006F39B6"/>
    <w:p w14:paraId="304BFE67" w14:textId="47899A08" w:rsidR="006F39B6" w:rsidRDefault="006F39B6" w:rsidP="006F39B6">
      <w:pPr>
        <w:rPr>
          <w:rFonts w:ascii="Times New Roman" w:hAnsi="Times New Roman" w:cs="Times New Roman"/>
          <w:sz w:val="24"/>
          <w:szCs w:val="24"/>
        </w:rPr>
      </w:pPr>
      <w:r>
        <w:rPr>
          <w:rFonts w:ascii="Times New Roman" w:hAnsi="Times New Roman" w:cs="Times New Roman"/>
          <w:sz w:val="24"/>
          <w:szCs w:val="24"/>
        </w:rPr>
        <w:t>From “The Complete Valley of the Kings”.</w:t>
      </w:r>
    </w:p>
    <w:p w14:paraId="2C476C79" w14:textId="77777777" w:rsidR="006F39B6" w:rsidRDefault="006F39B6" w:rsidP="006F39B6">
      <w:pPr>
        <w:rPr>
          <w:rFonts w:ascii="Times New Roman" w:hAnsi="Times New Roman" w:cs="Times New Roman"/>
          <w:sz w:val="24"/>
          <w:szCs w:val="24"/>
        </w:rPr>
      </w:pPr>
    </w:p>
    <w:p w14:paraId="027BF71D" w14:textId="6E6B7A80"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TA26, Royal Wadi, Amarna (thought to be the tomb of Akhenaten)- Pg 118</w:t>
      </w:r>
    </w:p>
    <w:p w14:paraId="68C3B6AD"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Chephren- Vessel fragment (diorite).</w:t>
      </w:r>
    </w:p>
    <w:p w14:paraId="3743EBF5"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Unas? – Vessel fragment (diorite).</w:t>
      </w:r>
    </w:p>
    <w:p w14:paraId="43BFF011"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Tuthmosis III- Vessel fragment (diorite).</w:t>
      </w:r>
    </w:p>
    <w:p w14:paraId="3569A2C1"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Akhenaten- Sarcophagus (red granite), pall sequins (gold, bronze), canopic chest (calcite), lion bier (limestone), embalming blocks (limestone), furniture fragment? (wood), various boxes and chests (calcite, faience), shabtis (quartzite, sandstone, granite, limestone, calcite, faience), shabti implements (faience), model boat (wood), sculptor’s model (limestone), stela (limestone), statue fragments (calcite, limestone), uraeus heads (faience), inlays (calcite, glass), vessels (diorite, limestone, calcite, faience, pottery), jar dockets (pottery), jar sealings (mud), ostraca (limestone), jewellery (gold, carnelian, turquoise, quartz, steatite, glass, faience), throwstick (faience), pounders (dolerite), knife (flint), textile.</w:t>
      </w:r>
    </w:p>
    <w:p w14:paraId="30959324"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Tiye- Sarcophagus.</w:t>
      </w:r>
    </w:p>
    <w:p w14:paraId="753A9B6D"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Intrusive- human remains? Textiles, jewellery.</w:t>
      </w:r>
    </w:p>
    <w:p w14:paraId="64698C26" w14:textId="77777777" w:rsidR="006F39B6" w:rsidRPr="006F39B6" w:rsidRDefault="006F39B6" w:rsidP="006F39B6">
      <w:pPr>
        <w:rPr>
          <w:rFonts w:ascii="Times New Roman" w:hAnsi="Times New Roman" w:cs="Times New Roman"/>
          <w:sz w:val="24"/>
          <w:szCs w:val="24"/>
        </w:rPr>
      </w:pPr>
    </w:p>
    <w:p w14:paraId="403268D8" w14:textId="17BF8054"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KV55, Wadi Biban el-Muluk (tomb of Tiye/Akhenaten in the Valley of the Kings</w:t>
      </w:r>
      <w:r w:rsidR="007769E7" w:rsidRPr="006F39B6">
        <w:rPr>
          <w:rFonts w:ascii="Times New Roman" w:hAnsi="Times New Roman" w:cs="Times New Roman"/>
          <w:sz w:val="24"/>
          <w:szCs w:val="24"/>
        </w:rPr>
        <w:t>). -</w:t>
      </w:r>
      <w:r w:rsidRPr="006F39B6">
        <w:rPr>
          <w:rFonts w:ascii="Times New Roman" w:hAnsi="Times New Roman" w:cs="Times New Roman"/>
          <w:sz w:val="24"/>
          <w:szCs w:val="24"/>
        </w:rPr>
        <w:t xml:space="preserve"> Pg 120</w:t>
      </w:r>
    </w:p>
    <w:p w14:paraId="68ECF48B"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Amenhotep III, Tiye, Akhenaten- Shrine and shrine fittings (wood- gilded- bronze).</w:t>
      </w:r>
    </w:p>
    <w:p w14:paraId="656E5CAC"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Akhenaten? – Pall rosettes (gold, bronze), bier fragment (gold), coffin and coffin fittings (wood- gilded and inlaid bronze).</w:t>
      </w:r>
    </w:p>
    <w:p w14:paraId="55E62D11"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Aten (late form)- Uraeus (bronze- from statue?).</w:t>
      </w:r>
    </w:p>
    <w:p w14:paraId="7A5BC54E"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(one) Aten (early form)- Statue socle (wood), Bes figures (faience), earring fasteners (gold), vulture collar (gold), floral collar (gold-inlaid), misc. necklaces ornaments, plaques, amulets, and beads (gold, lapis lazuli, carnelian, felspar, glass, faience).</w:t>
      </w:r>
    </w:p>
    <w:p w14:paraId="2DAD4343"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Aten (early form)- Foil fragment (gold).</w:t>
      </w:r>
    </w:p>
    <w:p w14:paraId="6AFA39FA"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Akhenaten and Kiya- Uraeus heads (faience- from shrine?), canopic jars (calcite).</w:t>
      </w:r>
    </w:p>
    <w:p w14:paraId="1C8F2774"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Inc. Amenhotep III, Tiye, Sitamun- Vessels and lids (haematite, ‘amazonite’, calcite, glass, faience, pottery).</w:t>
      </w:r>
    </w:p>
    <w:p w14:paraId="3AE95BE4"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Akhenaten- Head of a goose (silver- from vessel?), boxes and furniture fragments (wood, bronze), hieratic label (wood), tools and fragments (wood, bronze), magic bricks (mud).</w:t>
      </w:r>
    </w:p>
    <w:p w14:paraId="25770FFF" w14:textId="77777777" w:rsidR="006F39B6" w:rsidRP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(one) Tiye- Pesesh-kaf amulets.</w:t>
      </w:r>
    </w:p>
    <w:p w14:paraId="302CB576" w14:textId="07BF329C" w:rsidR="006F39B6" w:rsidRDefault="006F39B6" w:rsidP="006F39B6">
      <w:pPr>
        <w:rPr>
          <w:rFonts w:ascii="Times New Roman" w:hAnsi="Times New Roman" w:cs="Times New Roman"/>
          <w:sz w:val="24"/>
          <w:szCs w:val="24"/>
        </w:rPr>
      </w:pPr>
      <w:r w:rsidRPr="006F39B6">
        <w:rPr>
          <w:rFonts w:ascii="Times New Roman" w:hAnsi="Times New Roman" w:cs="Times New Roman"/>
          <w:sz w:val="24"/>
          <w:szCs w:val="24"/>
        </w:rPr>
        <w:t>•</w:t>
      </w:r>
      <w:r w:rsidRPr="006F39B6">
        <w:rPr>
          <w:rFonts w:ascii="Times New Roman" w:hAnsi="Times New Roman" w:cs="Times New Roman"/>
          <w:sz w:val="24"/>
          <w:szCs w:val="24"/>
        </w:rPr>
        <w:tab/>
        <w:t>Inc. Amenhotep III, Tutankhamun- Model knives, boomerangs, grapes, papyrus rolls, boxes (limestone, faience), misc. ritual items- bricks, pebbles etc. Small sealings (clay), ostracon with plan (limestone).</w:t>
      </w:r>
    </w:p>
    <w:p w14:paraId="4D053D3F" w14:textId="5D0B8B07" w:rsidR="004A6077" w:rsidRDefault="004A6077" w:rsidP="006F39B6">
      <w:pPr>
        <w:rPr>
          <w:rFonts w:ascii="Times New Roman" w:hAnsi="Times New Roman" w:cs="Times New Roman"/>
          <w:sz w:val="24"/>
          <w:szCs w:val="24"/>
        </w:rPr>
      </w:pPr>
    </w:p>
    <w:p w14:paraId="1EE17006" w14:textId="49935FE9" w:rsidR="004A6077" w:rsidRDefault="004A6077" w:rsidP="006F39B6">
      <w:pPr>
        <w:rPr>
          <w:rFonts w:ascii="Times New Roman" w:hAnsi="Times New Roman" w:cs="Times New Roman"/>
          <w:sz w:val="24"/>
          <w:szCs w:val="24"/>
        </w:rPr>
      </w:pPr>
    </w:p>
    <w:p w14:paraId="35D33D4B" w14:textId="03E34350" w:rsidR="004A6077" w:rsidRDefault="004A6077" w:rsidP="006F39B6">
      <w:pPr>
        <w:rPr>
          <w:rFonts w:ascii="Times New Roman" w:hAnsi="Times New Roman" w:cs="Times New Roman"/>
          <w:sz w:val="24"/>
          <w:szCs w:val="24"/>
        </w:rPr>
      </w:pPr>
    </w:p>
    <w:p w14:paraId="4099F81A" w14:textId="6DCFE571" w:rsidR="004A6077" w:rsidRDefault="004A6077" w:rsidP="006F39B6">
      <w:pPr>
        <w:rPr>
          <w:rFonts w:ascii="Times New Roman" w:hAnsi="Times New Roman" w:cs="Times New Roman"/>
          <w:sz w:val="24"/>
          <w:szCs w:val="24"/>
        </w:rPr>
      </w:pPr>
    </w:p>
    <w:p w14:paraId="5BA224BF" w14:textId="7668A799" w:rsidR="004A6077" w:rsidRDefault="004A6077" w:rsidP="006F39B6">
      <w:pPr>
        <w:rPr>
          <w:rFonts w:ascii="Times New Roman" w:hAnsi="Times New Roman" w:cs="Times New Roman"/>
          <w:sz w:val="24"/>
          <w:szCs w:val="24"/>
        </w:rPr>
      </w:pPr>
    </w:p>
    <w:p w14:paraId="27F28E39" w14:textId="1F46DB14" w:rsidR="004A6077" w:rsidRDefault="004A6077" w:rsidP="006F39B6">
      <w:pPr>
        <w:rPr>
          <w:rFonts w:ascii="Times New Roman" w:hAnsi="Times New Roman" w:cs="Times New Roman"/>
          <w:sz w:val="24"/>
          <w:szCs w:val="24"/>
        </w:rPr>
      </w:pPr>
    </w:p>
    <w:p w14:paraId="7C4F54D8" w14:textId="0A76E6B9" w:rsidR="004A6077" w:rsidRDefault="004A6077" w:rsidP="006F39B6">
      <w:pPr>
        <w:rPr>
          <w:rFonts w:ascii="Times New Roman" w:hAnsi="Times New Roman" w:cs="Times New Roman"/>
          <w:sz w:val="24"/>
          <w:szCs w:val="24"/>
        </w:rPr>
      </w:pPr>
    </w:p>
    <w:p w14:paraId="0E7DEB40" w14:textId="0FB6B7E4" w:rsidR="004A6077" w:rsidRDefault="004A6077" w:rsidP="006F39B6">
      <w:pPr>
        <w:rPr>
          <w:rFonts w:ascii="Times New Roman" w:hAnsi="Times New Roman" w:cs="Times New Roman"/>
          <w:sz w:val="24"/>
          <w:szCs w:val="24"/>
        </w:rPr>
      </w:pPr>
    </w:p>
    <w:p w14:paraId="6FB95DCC" w14:textId="35504F40" w:rsidR="004A6077" w:rsidRDefault="004A6077" w:rsidP="006F39B6">
      <w:pPr>
        <w:rPr>
          <w:rFonts w:ascii="Times New Roman" w:hAnsi="Times New Roman" w:cs="Times New Roman"/>
          <w:sz w:val="24"/>
          <w:szCs w:val="24"/>
        </w:rPr>
      </w:pPr>
    </w:p>
    <w:p w14:paraId="64FD12B4" w14:textId="7D1F1BD5" w:rsidR="004A6077" w:rsidRDefault="004A6077" w:rsidP="004A6077">
      <w:pPr>
        <w:pStyle w:val="Heading1"/>
        <w:rPr>
          <w:rFonts w:ascii="Times New Roman" w:hAnsi="Times New Roman" w:cs="Times New Roman"/>
          <w:color w:val="000000" w:themeColor="text1"/>
        </w:rPr>
      </w:pPr>
      <w:bookmarkStart w:id="15" w:name="_Toc513620253"/>
      <w:r w:rsidRPr="004A6077">
        <w:rPr>
          <w:rFonts w:ascii="Times New Roman" w:hAnsi="Times New Roman" w:cs="Times New Roman"/>
          <w:color w:val="000000" w:themeColor="text1"/>
        </w:rPr>
        <w:lastRenderedPageBreak/>
        <w:t>Bibliography</w:t>
      </w:r>
      <w:bookmarkEnd w:id="15"/>
    </w:p>
    <w:p w14:paraId="2D7BA47B" w14:textId="7B61BDF3" w:rsidR="00924017" w:rsidRDefault="00924017" w:rsidP="00924017"/>
    <w:p w14:paraId="6FC1071D" w14:textId="4CA63BF7" w:rsidR="00924017" w:rsidRDefault="00B51FCC" w:rsidP="005328EA">
      <w:pPr>
        <w:spacing w:line="480" w:lineRule="auto"/>
        <w:rPr>
          <w:rFonts w:ascii="Times New Roman" w:hAnsi="Times New Roman" w:cs="Times New Roman"/>
          <w:b/>
          <w:sz w:val="24"/>
          <w:szCs w:val="24"/>
        </w:rPr>
      </w:pPr>
      <w:r>
        <w:rPr>
          <w:rFonts w:ascii="Times New Roman" w:hAnsi="Times New Roman" w:cs="Times New Roman"/>
          <w:b/>
          <w:sz w:val="24"/>
          <w:szCs w:val="24"/>
        </w:rPr>
        <w:t>Books:</w:t>
      </w:r>
    </w:p>
    <w:p w14:paraId="2057533E" w14:textId="51212333" w:rsidR="00B51FCC" w:rsidRDefault="00B51FCC" w:rsidP="005328EA">
      <w:pPr>
        <w:spacing w:line="480" w:lineRule="auto"/>
        <w:rPr>
          <w:rFonts w:ascii="Times New Roman" w:hAnsi="Times New Roman" w:cs="Times New Roman"/>
          <w:b/>
          <w:sz w:val="24"/>
          <w:szCs w:val="24"/>
        </w:rPr>
      </w:pPr>
    </w:p>
    <w:p w14:paraId="3080FA44" w14:textId="0B0166A6"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Arnold, D. 1997. </w:t>
      </w:r>
      <w:r>
        <w:rPr>
          <w:rFonts w:ascii="Times New Roman" w:hAnsi="Times New Roman" w:cs="Times New Roman"/>
          <w:i/>
          <w:sz w:val="24"/>
          <w:szCs w:val="24"/>
        </w:rPr>
        <w:t>The Royal Women of Amarna: Images of Beauty from Ancient Egypt</w:t>
      </w:r>
      <w:r>
        <w:rPr>
          <w:rFonts w:ascii="Times New Roman" w:hAnsi="Times New Roman" w:cs="Times New Roman"/>
          <w:sz w:val="24"/>
          <w:szCs w:val="24"/>
        </w:rPr>
        <w:t>. New York: Metropolitan Museum of Art.</w:t>
      </w:r>
    </w:p>
    <w:p w14:paraId="4FCBA4DA" w14:textId="3328F1B6" w:rsidR="007769E7" w:rsidRDefault="007769E7"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Assman, J. 2001. </w:t>
      </w:r>
      <w:r>
        <w:rPr>
          <w:rFonts w:ascii="Times New Roman" w:hAnsi="Times New Roman" w:cs="Times New Roman"/>
          <w:i/>
          <w:sz w:val="24"/>
          <w:szCs w:val="24"/>
        </w:rPr>
        <w:t>The Search for God in Ancient Egypt</w:t>
      </w:r>
      <w:r>
        <w:rPr>
          <w:rFonts w:ascii="Times New Roman" w:hAnsi="Times New Roman" w:cs="Times New Roman"/>
          <w:sz w:val="24"/>
          <w:szCs w:val="24"/>
        </w:rPr>
        <w:t>. New York: Cornell University Press.</w:t>
      </w:r>
    </w:p>
    <w:p w14:paraId="44CDB08E" w14:textId="707DA389" w:rsidR="007769E7" w:rsidRDefault="007769E7"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Baikie, J. 2004. </w:t>
      </w:r>
      <w:r>
        <w:rPr>
          <w:rFonts w:ascii="Times New Roman" w:hAnsi="Times New Roman" w:cs="Times New Roman"/>
          <w:i/>
          <w:sz w:val="24"/>
          <w:szCs w:val="24"/>
        </w:rPr>
        <w:t>The Amarna Age: A Study of the Crisis of the Ancient World</w:t>
      </w:r>
      <w:r>
        <w:rPr>
          <w:rFonts w:ascii="Times New Roman" w:hAnsi="Times New Roman" w:cs="Times New Roman"/>
          <w:sz w:val="24"/>
          <w:szCs w:val="24"/>
        </w:rPr>
        <w:t>. Cardiff: Kegan Paul International.</w:t>
      </w:r>
    </w:p>
    <w:p w14:paraId="6DFC594E" w14:textId="5556934D" w:rsidR="005071BE" w:rsidRDefault="005071BE"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Brewer, D.J and Teeter, E. 2007. </w:t>
      </w:r>
      <w:r>
        <w:rPr>
          <w:rFonts w:ascii="Times New Roman" w:hAnsi="Times New Roman" w:cs="Times New Roman"/>
          <w:i/>
          <w:sz w:val="24"/>
          <w:szCs w:val="24"/>
        </w:rPr>
        <w:t>Egypt and the Egyptians</w:t>
      </w:r>
      <w:r>
        <w:rPr>
          <w:rFonts w:ascii="Times New Roman" w:hAnsi="Times New Roman" w:cs="Times New Roman"/>
          <w:sz w:val="24"/>
          <w:szCs w:val="24"/>
        </w:rPr>
        <w:t>. Cambridge: Cambridge University Press.</w:t>
      </w:r>
    </w:p>
    <w:p w14:paraId="4F108688" w14:textId="3D54FAA4"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Chadwick, R. 2005. </w:t>
      </w:r>
      <w:r>
        <w:rPr>
          <w:rFonts w:ascii="Times New Roman" w:hAnsi="Times New Roman" w:cs="Times New Roman"/>
          <w:i/>
          <w:sz w:val="24"/>
          <w:szCs w:val="24"/>
        </w:rPr>
        <w:t>First Civilisations: Ancient Mesopotamia and Ancient Egypt</w:t>
      </w:r>
      <w:r>
        <w:rPr>
          <w:rFonts w:ascii="Times New Roman" w:hAnsi="Times New Roman" w:cs="Times New Roman"/>
          <w:sz w:val="24"/>
          <w:szCs w:val="24"/>
        </w:rPr>
        <w:t>. Montréal: Les Éditions Champ Fleury.</w:t>
      </w:r>
    </w:p>
    <w:p w14:paraId="002047D0" w14:textId="1EF7B589" w:rsidR="005071BE" w:rsidRDefault="005071BE"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Clayton, P.A. 2006. </w:t>
      </w:r>
      <w:r>
        <w:rPr>
          <w:rFonts w:ascii="Times New Roman" w:hAnsi="Times New Roman" w:cs="Times New Roman"/>
          <w:i/>
          <w:sz w:val="24"/>
          <w:szCs w:val="24"/>
        </w:rPr>
        <w:t>Chronicle of the Pharaohs</w:t>
      </w:r>
      <w:r>
        <w:rPr>
          <w:rFonts w:ascii="Times New Roman" w:hAnsi="Times New Roman" w:cs="Times New Roman"/>
          <w:sz w:val="24"/>
          <w:szCs w:val="24"/>
        </w:rPr>
        <w:t>. London: Thames and Hudson.</w:t>
      </w:r>
    </w:p>
    <w:p w14:paraId="1FFBF880" w14:textId="4CE62D2D" w:rsidR="007769E7" w:rsidRDefault="007769E7"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Cline, E.H. and O’Connor, D. 2001. </w:t>
      </w:r>
      <w:r>
        <w:rPr>
          <w:rFonts w:ascii="Times New Roman" w:hAnsi="Times New Roman" w:cs="Times New Roman"/>
          <w:i/>
          <w:sz w:val="24"/>
          <w:szCs w:val="24"/>
        </w:rPr>
        <w:t>Amenhotep III: Perspectives on His Reign</w:t>
      </w:r>
      <w:r>
        <w:rPr>
          <w:rFonts w:ascii="Times New Roman" w:hAnsi="Times New Roman" w:cs="Times New Roman"/>
          <w:sz w:val="24"/>
          <w:szCs w:val="24"/>
        </w:rPr>
        <w:t>. USA: University of Michigan Press.</w:t>
      </w:r>
    </w:p>
    <w:p w14:paraId="610E3AF0" w14:textId="66A35C79" w:rsidR="009E52AD" w:rsidRDefault="009E52AD"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Cohen, R. 2000. </w:t>
      </w:r>
      <w:r>
        <w:rPr>
          <w:rFonts w:ascii="Times New Roman" w:hAnsi="Times New Roman" w:cs="Times New Roman"/>
          <w:i/>
          <w:sz w:val="24"/>
          <w:szCs w:val="24"/>
        </w:rPr>
        <w:t>Amarna Diplomacy: The Beginnings of International Diplomacy</w:t>
      </w:r>
      <w:r>
        <w:rPr>
          <w:rFonts w:ascii="Times New Roman" w:hAnsi="Times New Roman" w:cs="Times New Roman"/>
          <w:sz w:val="24"/>
          <w:szCs w:val="24"/>
        </w:rPr>
        <w:t>. Baltimore: John Hopkins University Press.</w:t>
      </w:r>
    </w:p>
    <w:p w14:paraId="4094A70E" w14:textId="7B68E64E" w:rsidR="005071BE" w:rsidRDefault="005071BE"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Dodson, A. 2009. </w:t>
      </w:r>
      <w:r>
        <w:rPr>
          <w:rFonts w:ascii="Times New Roman" w:hAnsi="Times New Roman" w:cs="Times New Roman"/>
          <w:i/>
          <w:sz w:val="24"/>
          <w:szCs w:val="24"/>
        </w:rPr>
        <w:t>Amarna Sunset</w:t>
      </w:r>
      <w:r>
        <w:rPr>
          <w:rFonts w:ascii="Times New Roman" w:hAnsi="Times New Roman" w:cs="Times New Roman"/>
          <w:sz w:val="24"/>
          <w:szCs w:val="24"/>
        </w:rPr>
        <w:t>. Cairo: The American University in Cairo Press.</w:t>
      </w:r>
    </w:p>
    <w:p w14:paraId="025842F7" w14:textId="582874B0" w:rsidR="005071BE" w:rsidRDefault="005071BE"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Dodson, A. 2014. </w:t>
      </w:r>
      <w:r>
        <w:rPr>
          <w:rFonts w:ascii="Times New Roman" w:hAnsi="Times New Roman" w:cs="Times New Roman"/>
          <w:i/>
          <w:sz w:val="24"/>
          <w:szCs w:val="24"/>
        </w:rPr>
        <w:t>Amarna Sunrise</w:t>
      </w:r>
      <w:r>
        <w:rPr>
          <w:rFonts w:ascii="Times New Roman" w:hAnsi="Times New Roman" w:cs="Times New Roman"/>
          <w:sz w:val="24"/>
          <w:szCs w:val="24"/>
        </w:rPr>
        <w:t>. Cairo: The American University of Cairo Press.</w:t>
      </w:r>
    </w:p>
    <w:p w14:paraId="1B31E5DF" w14:textId="0CFC8895"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Fletcher, J. 2004. </w:t>
      </w:r>
      <w:r>
        <w:rPr>
          <w:rFonts w:ascii="Times New Roman" w:hAnsi="Times New Roman" w:cs="Times New Roman"/>
          <w:i/>
          <w:sz w:val="24"/>
          <w:szCs w:val="24"/>
        </w:rPr>
        <w:t>The Search for Nefertiti: The True Story of a Remarkable Discovery</w:t>
      </w:r>
      <w:r>
        <w:rPr>
          <w:rFonts w:ascii="Times New Roman" w:hAnsi="Times New Roman" w:cs="Times New Roman"/>
          <w:sz w:val="24"/>
          <w:szCs w:val="24"/>
        </w:rPr>
        <w:t>. London: Hodder and Stoughton.</w:t>
      </w:r>
    </w:p>
    <w:p w14:paraId="438597F5" w14:textId="222A4776"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Fletcher, J. 2015. </w:t>
      </w:r>
      <w:r>
        <w:rPr>
          <w:rFonts w:ascii="Times New Roman" w:hAnsi="Times New Roman" w:cs="Times New Roman"/>
          <w:i/>
          <w:sz w:val="24"/>
          <w:szCs w:val="24"/>
        </w:rPr>
        <w:t>The Story of Egypt</w:t>
      </w:r>
      <w:r>
        <w:rPr>
          <w:rFonts w:ascii="Times New Roman" w:hAnsi="Times New Roman" w:cs="Times New Roman"/>
          <w:sz w:val="24"/>
          <w:szCs w:val="24"/>
        </w:rPr>
        <w:t>. London: Hodder and Stoughton.</w:t>
      </w:r>
    </w:p>
    <w:p w14:paraId="4B043416" w14:textId="241F8A57"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Hagen, R. and Hagen, R. 2016. </w:t>
      </w:r>
      <w:r>
        <w:rPr>
          <w:rFonts w:ascii="Times New Roman" w:hAnsi="Times New Roman" w:cs="Times New Roman"/>
          <w:i/>
          <w:sz w:val="24"/>
          <w:szCs w:val="24"/>
        </w:rPr>
        <w:t>Egypt: People, Gods, Pharaohs</w:t>
      </w:r>
      <w:r>
        <w:rPr>
          <w:rFonts w:ascii="Times New Roman" w:hAnsi="Times New Roman" w:cs="Times New Roman"/>
          <w:sz w:val="24"/>
          <w:szCs w:val="24"/>
        </w:rPr>
        <w:t>. Cologne: Taschen.</w:t>
      </w:r>
    </w:p>
    <w:p w14:paraId="690AF329" w14:textId="67924067" w:rsidR="009E52AD" w:rsidRDefault="009E52AD"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Kampp- Seyfried, F. 2012. </w:t>
      </w:r>
      <w:r>
        <w:rPr>
          <w:rFonts w:ascii="Times New Roman" w:hAnsi="Times New Roman" w:cs="Times New Roman"/>
          <w:i/>
          <w:sz w:val="24"/>
          <w:szCs w:val="24"/>
        </w:rPr>
        <w:t>In the Light of Amarna: 100 Years of the Nefertiti Discovery</w:t>
      </w:r>
      <w:r>
        <w:rPr>
          <w:rFonts w:ascii="Times New Roman" w:hAnsi="Times New Roman" w:cs="Times New Roman"/>
          <w:sz w:val="24"/>
          <w:szCs w:val="24"/>
        </w:rPr>
        <w:t>. Petersburg: Imhof.</w:t>
      </w:r>
    </w:p>
    <w:p w14:paraId="7DF8EF88" w14:textId="4C56DCBA" w:rsidR="005071BE" w:rsidRDefault="005071BE"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Kemp, B. J. 2012. </w:t>
      </w:r>
      <w:r>
        <w:rPr>
          <w:rFonts w:ascii="Times New Roman" w:hAnsi="Times New Roman" w:cs="Times New Roman"/>
          <w:i/>
          <w:sz w:val="24"/>
          <w:szCs w:val="24"/>
        </w:rPr>
        <w:t>The City of Akhenaten and Nefertiti</w:t>
      </w:r>
      <w:r>
        <w:rPr>
          <w:rFonts w:ascii="Times New Roman" w:hAnsi="Times New Roman" w:cs="Times New Roman"/>
          <w:sz w:val="24"/>
          <w:szCs w:val="24"/>
        </w:rPr>
        <w:t>. London: Thames and Hudson.</w:t>
      </w:r>
    </w:p>
    <w:p w14:paraId="2E2E48B7" w14:textId="66DFBA99" w:rsidR="005071BE" w:rsidRDefault="005071BE"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Moran, W.L. 1992. </w:t>
      </w:r>
      <w:r>
        <w:rPr>
          <w:rFonts w:ascii="Times New Roman" w:hAnsi="Times New Roman" w:cs="Times New Roman"/>
          <w:i/>
          <w:sz w:val="24"/>
          <w:szCs w:val="24"/>
        </w:rPr>
        <w:t>The Amarna Letters</w:t>
      </w:r>
      <w:r>
        <w:rPr>
          <w:rFonts w:ascii="Times New Roman" w:hAnsi="Times New Roman" w:cs="Times New Roman"/>
          <w:sz w:val="24"/>
          <w:szCs w:val="24"/>
        </w:rPr>
        <w:t>. Baltimore: John Hopkins University Press.</w:t>
      </w:r>
    </w:p>
    <w:p w14:paraId="300669AF" w14:textId="774C5C58" w:rsidR="009E52AD" w:rsidRDefault="009E52AD"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Petrie, W.M.F. 1894. </w:t>
      </w:r>
      <w:r>
        <w:rPr>
          <w:rFonts w:ascii="Times New Roman" w:hAnsi="Times New Roman" w:cs="Times New Roman"/>
          <w:i/>
          <w:sz w:val="24"/>
          <w:szCs w:val="24"/>
        </w:rPr>
        <w:t>Tell El Amarna</w:t>
      </w:r>
      <w:r>
        <w:rPr>
          <w:rFonts w:ascii="Times New Roman" w:hAnsi="Times New Roman" w:cs="Times New Roman"/>
          <w:sz w:val="24"/>
          <w:szCs w:val="24"/>
        </w:rPr>
        <w:t>. London: Metheun and Company.</w:t>
      </w:r>
    </w:p>
    <w:p w14:paraId="35DC7165" w14:textId="54C363FD" w:rsidR="009E52AD" w:rsidRDefault="009E52AD"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Petrie, W.M.F. 1939. </w:t>
      </w:r>
      <w:r>
        <w:rPr>
          <w:rFonts w:ascii="Times New Roman" w:hAnsi="Times New Roman" w:cs="Times New Roman"/>
          <w:i/>
          <w:sz w:val="24"/>
          <w:szCs w:val="24"/>
        </w:rPr>
        <w:t>The Making of Egypt</w:t>
      </w:r>
      <w:r>
        <w:rPr>
          <w:rFonts w:ascii="Times New Roman" w:hAnsi="Times New Roman" w:cs="Times New Roman"/>
          <w:sz w:val="24"/>
          <w:szCs w:val="24"/>
        </w:rPr>
        <w:t>. London: Sheldon.</w:t>
      </w:r>
    </w:p>
    <w:p w14:paraId="57C9183F" w14:textId="403906EE"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Redford, D.B. 2002. </w:t>
      </w:r>
      <w:r>
        <w:rPr>
          <w:rFonts w:ascii="Times New Roman" w:hAnsi="Times New Roman" w:cs="Times New Roman"/>
          <w:i/>
          <w:sz w:val="24"/>
          <w:szCs w:val="24"/>
        </w:rPr>
        <w:t>The Ancient Gods Speak: A Guide to Egyptian Religion</w:t>
      </w:r>
      <w:r>
        <w:rPr>
          <w:rFonts w:ascii="Times New Roman" w:hAnsi="Times New Roman" w:cs="Times New Roman"/>
          <w:sz w:val="24"/>
          <w:szCs w:val="24"/>
        </w:rPr>
        <w:t>. New York: Oxford University Press Inc.</w:t>
      </w:r>
    </w:p>
    <w:p w14:paraId="7F5045C6" w14:textId="505F3A1F"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Reeves, N. and Wilkinson, R.H. 1996. </w:t>
      </w:r>
      <w:r>
        <w:rPr>
          <w:rFonts w:ascii="Times New Roman" w:hAnsi="Times New Roman" w:cs="Times New Roman"/>
          <w:i/>
          <w:sz w:val="24"/>
          <w:szCs w:val="24"/>
        </w:rPr>
        <w:t>The Complete Valley of the Kings: Tombs and Treasures of Egypt’s Greatest Pharaoh</w:t>
      </w:r>
      <w:r>
        <w:rPr>
          <w:rFonts w:ascii="Times New Roman" w:hAnsi="Times New Roman" w:cs="Times New Roman"/>
          <w:sz w:val="24"/>
          <w:szCs w:val="24"/>
        </w:rPr>
        <w:t xml:space="preserve">. London: Thames and Hudson Ltd. </w:t>
      </w:r>
    </w:p>
    <w:p w14:paraId="70459EBC" w14:textId="0E6E6CEA" w:rsidR="005071BE" w:rsidRDefault="005071BE"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Robins, G. 2007. </w:t>
      </w:r>
      <w:r>
        <w:rPr>
          <w:rFonts w:ascii="Times New Roman" w:hAnsi="Times New Roman" w:cs="Times New Roman"/>
          <w:i/>
          <w:sz w:val="24"/>
          <w:szCs w:val="24"/>
        </w:rPr>
        <w:t>The Art of Ancient Egypt</w:t>
      </w:r>
      <w:r>
        <w:rPr>
          <w:rFonts w:ascii="Times New Roman" w:hAnsi="Times New Roman" w:cs="Times New Roman"/>
          <w:sz w:val="24"/>
          <w:szCs w:val="24"/>
        </w:rPr>
        <w:t>. Massachusetts: Harvard University Press.</w:t>
      </w:r>
    </w:p>
    <w:p w14:paraId="1FD3132F" w14:textId="436B5D10"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Shaw, I. 2000. </w:t>
      </w:r>
      <w:r>
        <w:rPr>
          <w:rFonts w:ascii="Times New Roman" w:hAnsi="Times New Roman" w:cs="Times New Roman"/>
          <w:i/>
          <w:sz w:val="24"/>
          <w:szCs w:val="24"/>
        </w:rPr>
        <w:t>The Oxford History of Ancient Egypt</w:t>
      </w:r>
      <w:r>
        <w:rPr>
          <w:rFonts w:ascii="Times New Roman" w:hAnsi="Times New Roman" w:cs="Times New Roman"/>
          <w:sz w:val="24"/>
          <w:szCs w:val="24"/>
        </w:rPr>
        <w:t>. New York: Oxford University Press.</w:t>
      </w:r>
    </w:p>
    <w:p w14:paraId="08DE0DE6" w14:textId="2C361DFB" w:rsidR="007769E7" w:rsidRDefault="007769E7"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Silverman, D.P., Wegner, J.W. and Wegner, J.H. 2006. </w:t>
      </w:r>
      <w:r>
        <w:rPr>
          <w:rFonts w:ascii="Times New Roman" w:hAnsi="Times New Roman" w:cs="Times New Roman"/>
          <w:i/>
          <w:sz w:val="24"/>
          <w:szCs w:val="24"/>
        </w:rPr>
        <w:t>Akhenaten and Tutankhamun: Revolution and Restoration</w:t>
      </w:r>
      <w:r>
        <w:rPr>
          <w:rFonts w:ascii="Times New Roman" w:hAnsi="Times New Roman" w:cs="Times New Roman"/>
          <w:sz w:val="24"/>
          <w:szCs w:val="24"/>
        </w:rPr>
        <w:t>. USA: UPenn Museum of Archaeology.</w:t>
      </w:r>
    </w:p>
    <w:p w14:paraId="64292324" w14:textId="28AACE7D" w:rsidR="00B51FCC" w:rsidRDefault="00B51FCC"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Tyldesley, J. 2003. </w:t>
      </w:r>
      <w:r>
        <w:rPr>
          <w:rFonts w:ascii="Times New Roman" w:hAnsi="Times New Roman" w:cs="Times New Roman"/>
          <w:i/>
          <w:sz w:val="24"/>
          <w:szCs w:val="24"/>
        </w:rPr>
        <w:t>Nefertiti: Unlocking the Mystery Surrounding Egypt’s Most Famous and Beautiful Queen</w:t>
      </w:r>
      <w:r>
        <w:rPr>
          <w:rFonts w:ascii="Times New Roman" w:hAnsi="Times New Roman" w:cs="Times New Roman"/>
          <w:sz w:val="24"/>
          <w:szCs w:val="24"/>
        </w:rPr>
        <w:t>. London: Penguin Books.</w:t>
      </w:r>
    </w:p>
    <w:p w14:paraId="3BC05F30" w14:textId="4841DA2F" w:rsidR="007769E7" w:rsidRDefault="007769E7" w:rsidP="005328EA">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Waterson, B. 1999. </w:t>
      </w:r>
      <w:r>
        <w:rPr>
          <w:rFonts w:ascii="Times New Roman" w:hAnsi="Times New Roman" w:cs="Times New Roman"/>
          <w:i/>
          <w:sz w:val="24"/>
          <w:szCs w:val="24"/>
        </w:rPr>
        <w:t>Amarna: Ancient Egypt’s Age of Revolution</w:t>
      </w:r>
      <w:r>
        <w:rPr>
          <w:rFonts w:ascii="Times New Roman" w:hAnsi="Times New Roman" w:cs="Times New Roman"/>
          <w:sz w:val="24"/>
          <w:szCs w:val="24"/>
        </w:rPr>
        <w:t>. London: Arcadia Publishing.</w:t>
      </w:r>
    </w:p>
    <w:p w14:paraId="215C066E" w14:textId="74FF6BBC" w:rsidR="00497802" w:rsidRDefault="00497802" w:rsidP="005328EA">
      <w:pPr>
        <w:spacing w:line="480" w:lineRule="auto"/>
        <w:rPr>
          <w:rFonts w:ascii="Times New Roman" w:hAnsi="Times New Roman" w:cs="Times New Roman"/>
          <w:sz w:val="24"/>
          <w:szCs w:val="24"/>
        </w:rPr>
      </w:pPr>
    </w:p>
    <w:p w14:paraId="05D50270" w14:textId="0F62099F" w:rsidR="00497802" w:rsidRDefault="00497802" w:rsidP="005328EA">
      <w:pPr>
        <w:spacing w:line="480" w:lineRule="auto"/>
        <w:rPr>
          <w:rFonts w:ascii="Times New Roman" w:hAnsi="Times New Roman" w:cs="Times New Roman"/>
          <w:b/>
          <w:sz w:val="24"/>
          <w:szCs w:val="24"/>
        </w:rPr>
      </w:pPr>
      <w:r>
        <w:rPr>
          <w:rFonts w:ascii="Times New Roman" w:hAnsi="Times New Roman" w:cs="Times New Roman"/>
          <w:b/>
          <w:sz w:val="24"/>
          <w:szCs w:val="24"/>
        </w:rPr>
        <w:t>Websites:</w:t>
      </w:r>
    </w:p>
    <w:p w14:paraId="3F17DF58" w14:textId="3E6C8358" w:rsidR="00497802" w:rsidRDefault="00497802" w:rsidP="005328EA">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Barry Kemp. ‘Excavating Amarna’. 2006. Archaeological Institute of America. </w:t>
      </w:r>
      <w:hyperlink r:id="rId18" w:history="1">
        <w:r w:rsidRPr="0031377B">
          <w:rPr>
            <w:rStyle w:val="Hyperlink"/>
            <w:rFonts w:ascii="Times New Roman" w:hAnsi="Times New Roman" w:cs="Times New Roman"/>
            <w:sz w:val="24"/>
            <w:szCs w:val="24"/>
          </w:rPr>
          <w:t>https://archive.archaeology.org/online/interviews/kemp.html</w:t>
        </w:r>
      </w:hyperlink>
      <w:r>
        <w:rPr>
          <w:rFonts w:ascii="Times New Roman" w:hAnsi="Times New Roman" w:cs="Times New Roman"/>
          <w:sz w:val="24"/>
          <w:szCs w:val="24"/>
        </w:rPr>
        <w:t>. [</w:t>
      </w:r>
      <w:r w:rsidR="004E677D">
        <w:rPr>
          <w:rFonts w:ascii="Times New Roman" w:hAnsi="Times New Roman" w:cs="Times New Roman"/>
          <w:sz w:val="24"/>
          <w:szCs w:val="24"/>
        </w:rPr>
        <w:t>14/11/2017].</w:t>
      </w:r>
    </w:p>
    <w:p w14:paraId="1FD18C3B" w14:textId="77777777" w:rsidR="004E677D" w:rsidRDefault="004E677D" w:rsidP="005328EA">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Amarna Project. ‘Amarna: The Place’. 2000-2017. Amarna Project. </w:t>
      </w:r>
      <w:hyperlink r:id="rId19" w:history="1">
        <w:r w:rsidRPr="004E677D">
          <w:rPr>
            <w:rStyle w:val="Hyperlink"/>
            <w:rFonts w:ascii="Times New Roman" w:hAnsi="Times New Roman" w:cs="Times New Roman"/>
            <w:sz w:val="24"/>
            <w:szCs w:val="24"/>
          </w:rPr>
          <w:t>www.amarnaproject.com</w:t>
        </w:r>
      </w:hyperlink>
      <w:r>
        <w:rPr>
          <w:rFonts w:ascii="Times New Roman" w:hAnsi="Times New Roman" w:cs="Times New Roman"/>
          <w:sz w:val="24"/>
          <w:szCs w:val="24"/>
        </w:rPr>
        <w:t>. [14/11/2017].</w:t>
      </w:r>
    </w:p>
    <w:p w14:paraId="3BEF7506" w14:textId="77777777" w:rsidR="004E677D" w:rsidRDefault="004E677D" w:rsidP="005328EA">
      <w:pPr>
        <w:spacing w:line="480" w:lineRule="auto"/>
        <w:rPr>
          <w:rFonts w:ascii="Times New Roman" w:hAnsi="Times New Roman" w:cs="Times New Roman"/>
          <w:sz w:val="24"/>
          <w:szCs w:val="24"/>
        </w:rPr>
      </w:pPr>
    </w:p>
    <w:p w14:paraId="072C5A34" w14:textId="77777777" w:rsidR="004E677D" w:rsidRDefault="004E677D" w:rsidP="005328EA">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Figures:</w:t>
      </w:r>
    </w:p>
    <w:p w14:paraId="63F7A12E" w14:textId="410F65FA" w:rsidR="004E677D" w:rsidRDefault="004E677D" w:rsidP="005328EA">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Global Egyptian Museum. ‘Sculptor’s model of Akhenaten’. 2017.Global Egyptian Museum. </w:t>
      </w:r>
      <w:hyperlink r:id="rId20" w:history="1">
        <w:r w:rsidRPr="0031377B">
          <w:rPr>
            <w:rStyle w:val="Hyperlink"/>
            <w:rFonts w:ascii="Times New Roman" w:hAnsi="Times New Roman" w:cs="Times New Roman"/>
            <w:sz w:val="24"/>
            <w:szCs w:val="24"/>
          </w:rPr>
          <w:t>www.globalegyptianmuseum.org</w:t>
        </w:r>
      </w:hyperlink>
      <w:r>
        <w:rPr>
          <w:rFonts w:ascii="Times New Roman" w:hAnsi="Times New Roman" w:cs="Times New Roman"/>
          <w:sz w:val="24"/>
          <w:szCs w:val="24"/>
        </w:rPr>
        <w:t>. [1/5/2018].</w:t>
      </w:r>
    </w:p>
    <w:p w14:paraId="64C3109A" w14:textId="77777777" w:rsidR="004E677D" w:rsidRDefault="004E677D" w:rsidP="005328EA">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SMB- Digital. ‘Head of a statue of Queen Tiye’. 2018. Staatliche Museen zu Berlin.</w:t>
      </w:r>
      <w:r w:rsidRPr="004E677D">
        <w:t xml:space="preserve"> </w:t>
      </w:r>
      <w:hyperlink r:id="rId21" w:history="1">
        <w:r w:rsidRPr="0031377B">
          <w:rPr>
            <w:rStyle w:val="Hyperlink"/>
            <w:rFonts w:ascii="Times New Roman" w:hAnsi="Times New Roman" w:cs="Times New Roman"/>
            <w:sz w:val="24"/>
            <w:szCs w:val="24"/>
          </w:rPr>
          <w:t>http://www.smbdigital.de/eMuseumPlus?service=direct/1/ResultLightboxView/result.t1.collection_lightbox.$TspTitleImageLink.link&amp;sp=10&amp;sp=Scollection&amp;sp=SfilterDefinition&amp;sp=0&amp;sp=0&amp;sp=1&amp;sp=Slightbox_3x4&amp;sp=0&amp;sp=Sdetail&amp;sp=0&amp;sp=F&amp;sp=T&amp;sp=8</w:t>
        </w:r>
      </w:hyperlink>
      <w:r>
        <w:rPr>
          <w:rFonts w:ascii="Times New Roman" w:hAnsi="Times New Roman" w:cs="Times New Roman"/>
          <w:sz w:val="24"/>
          <w:szCs w:val="24"/>
        </w:rPr>
        <w:t>. [1/5/2018].</w:t>
      </w:r>
    </w:p>
    <w:p w14:paraId="64E5421A" w14:textId="77777777" w:rsidR="004E677D" w:rsidRDefault="004E677D" w:rsidP="005328EA">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SMB- Digital. ‘House altar depicting Akhenaten, Nefertiti and their children’. 2018. Staatliche Museen zu Berlin. </w:t>
      </w:r>
      <w:hyperlink r:id="rId22" w:history="1">
        <w:r w:rsidRPr="0031377B">
          <w:rPr>
            <w:rStyle w:val="Hyperlink"/>
            <w:rFonts w:ascii="Times New Roman" w:hAnsi="Times New Roman" w:cs="Times New Roman"/>
            <w:sz w:val="24"/>
            <w:szCs w:val="24"/>
          </w:rPr>
          <w:t>http://www.smbdigital.de/eMuseumPlus?service=direct/1/ResultLightboxView/result.t2.collection_lightbox.$TspTitleLink.link&amp;sp=10&amp;sp=Scollection&amp;sp=SfieldValue&amp;sp=0&amp;sp=0&amp;sp=3&amp;sp=Slightbox_3x4&amp;sp=0&amp;sp=Sdetail&amp;sp=0&amp;sp=F&amp;sp=T&amp;sp=3</w:t>
        </w:r>
      </w:hyperlink>
      <w:r>
        <w:rPr>
          <w:rFonts w:ascii="Times New Roman" w:hAnsi="Times New Roman" w:cs="Times New Roman"/>
          <w:sz w:val="24"/>
          <w:szCs w:val="24"/>
        </w:rPr>
        <w:t>. [1/5/2018].</w:t>
      </w:r>
    </w:p>
    <w:p w14:paraId="504B1EE1" w14:textId="77777777" w:rsidR="004E677D" w:rsidRDefault="004E677D" w:rsidP="005328EA">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SMB- Digital. ‘Bust of Nefertiti’. 2018. Staatliche Museen zu Berlin. </w:t>
      </w:r>
      <w:hyperlink r:id="rId23" w:history="1">
        <w:r w:rsidRPr="0031377B">
          <w:rPr>
            <w:rStyle w:val="Hyperlink"/>
            <w:rFonts w:ascii="Times New Roman" w:hAnsi="Times New Roman" w:cs="Times New Roman"/>
            <w:sz w:val="24"/>
            <w:szCs w:val="24"/>
          </w:rPr>
          <w:t>http://www.smb-digital.de/eMuseumPlus?service=direct/1/ResultLightboxView/result.t1.collection_lightbox.$TspTitleImageLink.link&amp;sp=10&amp;sp=Scollection&amp;sp=SfieldValue&amp;sp=0&amp;sp=0&amp;sp=3&amp;sp=Slightbox_3x4&amp;sp=36&amp;sp=Sdetail&amp;sp=0&amp;sp=F&amp;sp=T&amp;sp=37</w:t>
        </w:r>
      </w:hyperlink>
      <w:r>
        <w:rPr>
          <w:rFonts w:ascii="Times New Roman" w:hAnsi="Times New Roman" w:cs="Times New Roman"/>
          <w:sz w:val="24"/>
          <w:szCs w:val="24"/>
        </w:rPr>
        <w:t>. [1/5/2-18].</w:t>
      </w:r>
    </w:p>
    <w:p w14:paraId="06C7FDB1" w14:textId="64DBAD76" w:rsidR="004E677D" w:rsidRDefault="00D213B9" w:rsidP="005328EA">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Online Catalogue. ‘</w:t>
      </w:r>
      <w:r w:rsidRPr="00D213B9">
        <w:rPr>
          <w:rFonts w:ascii="Times New Roman" w:hAnsi="Times New Roman" w:cs="Times New Roman"/>
          <w:sz w:val="24"/>
          <w:szCs w:val="24"/>
        </w:rPr>
        <w:t>Two Princesses</w:t>
      </w:r>
      <w:r>
        <w:rPr>
          <w:rFonts w:ascii="Times New Roman" w:hAnsi="Times New Roman" w:cs="Times New Roman"/>
          <w:sz w:val="24"/>
          <w:szCs w:val="24"/>
        </w:rPr>
        <w:t xml:space="preserve">’. 2018. Metropolitan Museum of Art. </w:t>
      </w:r>
      <w:hyperlink r:id="rId24" w:history="1">
        <w:r w:rsidRPr="0031377B">
          <w:rPr>
            <w:rStyle w:val="Hyperlink"/>
            <w:rFonts w:ascii="Times New Roman" w:hAnsi="Times New Roman" w:cs="Times New Roman"/>
            <w:sz w:val="24"/>
            <w:szCs w:val="24"/>
          </w:rPr>
          <w:t>https://www.metmuseum.org/art/collection/search/544058</w:t>
        </w:r>
      </w:hyperlink>
      <w:r>
        <w:rPr>
          <w:rFonts w:ascii="Times New Roman" w:hAnsi="Times New Roman" w:cs="Times New Roman"/>
          <w:sz w:val="24"/>
          <w:szCs w:val="24"/>
        </w:rPr>
        <w:t>. [1/5/2018].</w:t>
      </w:r>
    </w:p>
    <w:p w14:paraId="5A9A81D9" w14:textId="68FB8A72" w:rsidR="00D213B9" w:rsidRPr="004E677D" w:rsidRDefault="00D213B9" w:rsidP="005328EA">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Wikipedia. ‘Meryre II’. 2018. Wikipedia.</w:t>
      </w:r>
      <w:r w:rsidRPr="00D213B9">
        <w:t xml:space="preserve"> </w:t>
      </w:r>
      <w:hyperlink r:id="rId25" w:history="1">
        <w:r w:rsidRPr="0031377B">
          <w:rPr>
            <w:rStyle w:val="Hyperlink"/>
            <w:rFonts w:ascii="Times New Roman" w:hAnsi="Times New Roman" w:cs="Times New Roman"/>
            <w:sz w:val="24"/>
            <w:szCs w:val="24"/>
          </w:rPr>
          <w:t>https://en.wikipedia.org/wiki/Meryre_II</w:t>
        </w:r>
      </w:hyperlink>
      <w:r>
        <w:rPr>
          <w:rFonts w:ascii="Times New Roman" w:hAnsi="Times New Roman" w:cs="Times New Roman"/>
          <w:sz w:val="24"/>
          <w:szCs w:val="24"/>
        </w:rPr>
        <w:t xml:space="preserve">. [1/5/2018]. </w:t>
      </w:r>
    </w:p>
    <w:sectPr w:rsidR="00D213B9" w:rsidRPr="004E677D" w:rsidSect="00745B9D">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234874" w14:textId="77777777" w:rsidR="003D5DB0" w:rsidRDefault="003D5DB0" w:rsidP="005C38CA">
      <w:r>
        <w:separator/>
      </w:r>
    </w:p>
  </w:endnote>
  <w:endnote w:type="continuationSeparator" w:id="0">
    <w:p w14:paraId="0FE8D29B" w14:textId="77777777" w:rsidR="003D5DB0" w:rsidRDefault="003D5DB0" w:rsidP="005C38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572000"/>
      <w:docPartObj>
        <w:docPartGallery w:val="Page Numbers (Bottom of Page)"/>
        <w:docPartUnique/>
      </w:docPartObj>
    </w:sdtPr>
    <w:sdtEndPr>
      <w:rPr>
        <w:color w:val="7F7F7F" w:themeColor="background1" w:themeShade="7F"/>
        <w:spacing w:val="60"/>
      </w:rPr>
    </w:sdtEndPr>
    <w:sdtContent>
      <w:p w14:paraId="49FABF6E" w14:textId="056B611D" w:rsidR="00B778E5" w:rsidRDefault="00B778E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D9D2F41" w14:textId="77777777" w:rsidR="00B778E5" w:rsidRDefault="00B778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8FD015" w14:textId="77777777" w:rsidR="003D5DB0" w:rsidRDefault="003D5DB0" w:rsidP="005C38CA">
      <w:r>
        <w:separator/>
      </w:r>
    </w:p>
  </w:footnote>
  <w:footnote w:type="continuationSeparator" w:id="0">
    <w:p w14:paraId="61E77272" w14:textId="77777777" w:rsidR="003D5DB0" w:rsidRDefault="003D5DB0" w:rsidP="005C38CA">
      <w:r>
        <w:continuationSeparator/>
      </w:r>
    </w:p>
  </w:footnote>
  <w:footnote w:id="1">
    <w:p w14:paraId="2B63D528" w14:textId="486FB019" w:rsidR="00B778E5" w:rsidRDefault="00B778E5">
      <w:pPr>
        <w:pStyle w:val="FootnoteText"/>
      </w:pPr>
      <w:r>
        <w:rPr>
          <w:rStyle w:val="FootnoteReference"/>
        </w:rPr>
        <w:footnoteRef/>
      </w:r>
      <w:r>
        <w:t xml:space="preserve"> See Appendix 1; </w:t>
      </w:r>
      <w:r w:rsidRPr="00E846C1">
        <w:rPr>
          <w:rFonts w:ascii="Times New Roman" w:hAnsi="Times New Roman" w:cs="Times New Roman"/>
        </w:rPr>
        <w:t>Fletcher 2015: 217</w:t>
      </w:r>
    </w:p>
  </w:footnote>
  <w:footnote w:id="2">
    <w:p w14:paraId="083A9294" w14:textId="677C8E61" w:rsidR="00B778E5" w:rsidRDefault="00B778E5">
      <w:pPr>
        <w:pStyle w:val="FootnoteText"/>
      </w:pPr>
      <w:r>
        <w:rPr>
          <w:rStyle w:val="FootnoteReference"/>
        </w:rPr>
        <w:footnoteRef/>
      </w:r>
      <w:r>
        <w:t xml:space="preserve"> </w:t>
      </w:r>
      <w:r w:rsidRPr="00656834">
        <w:rPr>
          <w:rFonts w:ascii="Times New Roman" w:hAnsi="Times New Roman" w:cs="Times New Roman"/>
        </w:rPr>
        <w:t>Fletcher 2004: 38</w:t>
      </w:r>
    </w:p>
  </w:footnote>
  <w:footnote w:id="3">
    <w:p w14:paraId="52B95388" w14:textId="7A372152" w:rsidR="00B778E5" w:rsidRDefault="00B778E5">
      <w:pPr>
        <w:pStyle w:val="FootnoteText"/>
      </w:pPr>
      <w:r>
        <w:rPr>
          <w:rStyle w:val="FootnoteReference"/>
        </w:rPr>
        <w:footnoteRef/>
      </w:r>
      <w:r>
        <w:t xml:space="preserve"> </w:t>
      </w:r>
      <w:r w:rsidRPr="00486D7E">
        <w:rPr>
          <w:rFonts w:ascii="Times New Roman" w:hAnsi="Times New Roman" w:cs="Times New Roman"/>
        </w:rPr>
        <w:t>Tyldesley 2003: 2</w:t>
      </w:r>
    </w:p>
  </w:footnote>
  <w:footnote w:id="4">
    <w:p w14:paraId="744F7AD5" w14:textId="1D6C5471" w:rsidR="00B778E5" w:rsidRDefault="00B778E5">
      <w:pPr>
        <w:pStyle w:val="FootnoteText"/>
      </w:pPr>
      <w:r>
        <w:rPr>
          <w:rStyle w:val="FootnoteReference"/>
        </w:rPr>
        <w:footnoteRef/>
      </w:r>
      <w:r>
        <w:t xml:space="preserve"> </w:t>
      </w:r>
      <w:r w:rsidRPr="00070692">
        <w:rPr>
          <w:rFonts w:ascii="Times New Roman" w:hAnsi="Times New Roman" w:cs="Times New Roman"/>
        </w:rPr>
        <w:t>Berman 2001: 1</w:t>
      </w:r>
    </w:p>
  </w:footnote>
  <w:footnote w:id="5">
    <w:p w14:paraId="3162B52E" w14:textId="77A6AD8F" w:rsidR="00B778E5" w:rsidRDefault="00B778E5">
      <w:pPr>
        <w:pStyle w:val="FootnoteText"/>
      </w:pPr>
      <w:r>
        <w:rPr>
          <w:rStyle w:val="FootnoteReference"/>
        </w:rPr>
        <w:footnoteRef/>
      </w:r>
      <w:r>
        <w:t xml:space="preserve"> </w:t>
      </w:r>
      <w:r w:rsidRPr="00B43EE0">
        <w:rPr>
          <w:rFonts w:ascii="Times New Roman" w:hAnsi="Times New Roman" w:cs="Times New Roman"/>
        </w:rPr>
        <w:t>Berman 2001: 3</w:t>
      </w:r>
    </w:p>
  </w:footnote>
  <w:footnote w:id="6">
    <w:p w14:paraId="240C3A1D" w14:textId="1949C048" w:rsidR="00B778E5" w:rsidRDefault="00B778E5">
      <w:pPr>
        <w:pStyle w:val="FootnoteText"/>
      </w:pPr>
      <w:r>
        <w:rPr>
          <w:rStyle w:val="FootnoteReference"/>
        </w:rPr>
        <w:footnoteRef/>
      </w:r>
      <w:r>
        <w:t xml:space="preserve"> </w:t>
      </w:r>
      <w:r w:rsidRPr="00291CD5">
        <w:rPr>
          <w:rFonts w:ascii="Times New Roman" w:hAnsi="Times New Roman" w:cs="Times New Roman"/>
        </w:rPr>
        <w:t>Dodson 2014: 35</w:t>
      </w:r>
    </w:p>
  </w:footnote>
  <w:footnote w:id="7">
    <w:p w14:paraId="7C3DE46B" w14:textId="45F7E1EA" w:rsidR="00B778E5" w:rsidRDefault="00B778E5">
      <w:pPr>
        <w:pStyle w:val="FootnoteText"/>
      </w:pPr>
      <w:r>
        <w:rPr>
          <w:rStyle w:val="FootnoteReference"/>
        </w:rPr>
        <w:footnoteRef/>
      </w:r>
      <w:r>
        <w:t xml:space="preserve"> </w:t>
      </w:r>
      <w:r w:rsidRPr="00895966">
        <w:rPr>
          <w:rFonts w:ascii="Times New Roman" w:hAnsi="Times New Roman" w:cs="Times New Roman"/>
        </w:rPr>
        <w:t>Clayton 2006: 120-121</w:t>
      </w:r>
    </w:p>
  </w:footnote>
  <w:footnote w:id="8">
    <w:p w14:paraId="04EE4579" w14:textId="1B9F83E2" w:rsidR="00B778E5" w:rsidRDefault="00B778E5">
      <w:pPr>
        <w:pStyle w:val="FootnoteText"/>
      </w:pPr>
      <w:r>
        <w:rPr>
          <w:rStyle w:val="FootnoteReference"/>
        </w:rPr>
        <w:footnoteRef/>
      </w:r>
      <w:r>
        <w:t xml:space="preserve"> </w:t>
      </w:r>
      <w:r w:rsidRPr="007E62DB">
        <w:rPr>
          <w:rFonts w:ascii="Times New Roman" w:hAnsi="Times New Roman" w:cs="Times New Roman"/>
        </w:rPr>
        <w:t>Dodson 2009: 6</w:t>
      </w:r>
    </w:p>
  </w:footnote>
  <w:footnote w:id="9">
    <w:p w14:paraId="18751AAD" w14:textId="443361E9" w:rsidR="00B778E5" w:rsidRDefault="00B778E5">
      <w:pPr>
        <w:pStyle w:val="FootnoteText"/>
      </w:pPr>
      <w:r>
        <w:rPr>
          <w:rStyle w:val="FootnoteReference"/>
        </w:rPr>
        <w:footnoteRef/>
      </w:r>
      <w:r>
        <w:t xml:space="preserve"> </w:t>
      </w:r>
      <w:r w:rsidRPr="00A9256D">
        <w:rPr>
          <w:rFonts w:ascii="Times New Roman" w:hAnsi="Times New Roman" w:cs="Times New Roman"/>
        </w:rPr>
        <w:t>Chadwick 2005: 183</w:t>
      </w:r>
    </w:p>
  </w:footnote>
  <w:footnote w:id="10">
    <w:p w14:paraId="1F9437C4" w14:textId="7ED39837" w:rsidR="00B778E5" w:rsidRDefault="00B778E5">
      <w:pPr>
        <w:pStyle w:val="FootnoteText"/>
      </w:pPr>
      <w:r>
        <w:rPr>
          <w:rStyle w:val="FootnoteReference"/>
        </w:rPr>
        <w:footnoteRef/>
      </w:r>
      <w:r>
        <w:t xml:space="preserve"> </w:t>
      </w:r>
      <w:r w:rsidRPr="00945B70">
        <w:rPr>
          <w:rFonts w:ascii="Times New Roman" w:hAnsi="Times New Roman" w:cs="Times New Roman"/>
        </w:rPr>
        <w:t>Petrie 1939: 156</w:t>
      </w:r>
    </w:p>
  </w:footnote>
  <w:footnote w:id="11">
    <w:p w14:paraId="7421366D" w14:textId="420CD21F" w:rsidR="00B778E5" w:rsidRDefault="00B778E5">
      <w:pPr>
        <w:pStyle w:val="FootnoteText"/>
      </w:pPr>
      <w:r>
        <w:rPr>
          <w:rStyle w:val="FootnoteReference"/>
        </w:rPr>
        <w:footnoteRef/>
      </w:r>
      <w:r>
        <w:t xml:space="preserve"> </w:t>
      </w:r>
      <w:r w:rsidRPr="002D5846">
        <w:rPr>
          <w:rFonts w:ascii="Times New Roman" w:hAnsi="Times New Roman" w:cs="Times New Roman"/>
        </w:rPr>
        <w:t>Arnold 1997: 3</w:t>
      </w:r>
    </w:p>
  </w:footnote>
  <w:footnote w:id="12">
    <w:p w14:paraId="0D686C66" w14:textId="56AA3E62" w:rsidR="00B778E5" w:rsidRDefault="00B778E5">
      <w:pPr>
        <w:pStyle w:val="FootnoteText"/>
      </w:pPr>
      <w:r>
        <w:rPr>
          <w:rStyle w:val="FootnoteReference"/>
        </w:rPr>
        <w:footnoteRef/>
      </w:r>
      <w:r w:rsidRPr="007A4DEA">
        <w:rPr>
          <w:rFonts w:ascii="Times New Roman" w:hAnsi="Times New Roman" w:cs="Times New Roman"/>
        </w:rPr>
        <w:t>Brewer and Teeter 2007: 98</w:t>
      </w:r>
      <w:r>
        <w:t xml:space="preserve"> </w:t>
      </w:r>
    </w:p>
  </w:footnote>
  <w:footnote w:id="13">
    <w:p w14:paraId="0BB6F41C" w14:textId="0839845D" w:rsidR="00B778E5" w:rsidRDefault="00B778E5">
      <w:pPr>
        <w:pStyle w:val="FootnoteText"/>
      </w:pPr>
      <w:r>
        <w:rPr>
          <w:rStyle w:val="FootnoteReference"/>
        </w:rPr>
        <w:footnoteRef/>
      </w:r>
      <w:r w:rsidRPr="001009F4">
        <w:rPr>
          <w:rFonts w:ascii="Times New Roman" w:hAnsi="Times New Roman" w:cs="Times New Roman"/>
        </w:rPr>
        <w:t>Waterson 1999: 62</w:t>
      </w:r>
      <w:r>
        <w:t xml:space="preserve"> </w:t>
      </w:r>
    </w:p>
  </w:footnote>
  <w:footnote w:id="14">
    <w:p w14:paraId="037A2340" w14:textId="51358BEB" w:rsidR="00B778E5" w:rsidRDefault="00B778E5">
      <w:pPr>
        <w:pStyle w:val="FootnoteText"/>
      </w:pPr>
      <w:r>
        <w:rPr>
          <w:rStyle w:val="FootnoteReference"/>
        </w:rPr>
        <w:footnoteRef/>
      </w:r>
      <w:r>
        <w:t xml:space="preserve"> </w:t>
      </w:r>
      <w:r w:rsidRPr="000A2B7A">
        <w:rPr>
          <w:rFonts w:ascii="Times New Roman" w:hAnsi="Times New Roman" w:cs="Times New Roman"/>
        </w:rPr>
        <w:t>Chadwick 2005: 182</w:t>
      </w:r>
    </w:p>
  </w:footnote>
  <w:footnote w:id="15">
    <w:p w14:paraId="1564D705" w14:textId="32C2228F" w:rsidR="00B778E5" w:rsidRDefault="00B778E5">
      <w:pPr>
        <w:pStyle w:val="FootnoteText"/>
      </w:pPr>
      <w:r>
        <w:rPr>
          <w:rStyle w:val="FootnoteReference"/>
        </w:rPr>
        <w:footnoteRef/>
      </w:r>
      <w:r>
        <w:t xml:space="preserve"> </w:t>
      </w:r>
      <w:r w:rsidRPr="00F657D6">
        <w:rPr>
          <w:rFonts w:ascii="Times New Roman" w:hAnsi="Times New Roman" w:cs="Times New Roman"/>
        </w:rPr>
        <w:t>Fletcher 2015: 218</w:t>
      </w:r>
    </w:p>
  </w:footnote>
  <w:footnote w:id="16">
    <w:p w14:paraId="73BC38EF" w14:textId="38EA5FD7" w:rsidR="00B778E5" w:rsidRDefault="00B778E5">
      <w:pPr>
        <w:pStyle w:val="FootnoteText"/>
      </w:pPr>
      <w:r>
        <w:rPr>
          <w:rStyle w:val="FootnoteReference"/>
        </w:rPr>
        <w:footnoteRef/>
      </w:r>
      <w:r>
        <w:t xml:space="preserve"> </w:t>
      </w:r>
      <w:r w:rsidRPr="008C55AE">
        <w:rPr>
          <w:rFonts w:ascii="Times New Roman" w:hAnsi="Times New Roman" w:cs="Times New Roman"/>
        </w:rPr>
        <w:t>Dodson 2014: 104</w:t>
      </w:r>
    </w:p>
  </w:footnote>
  <w:footnote w:id="17">
    <w:p w14:paraId="20EE1900" w14:textId="698244B3" w:rsidR="00B778E5" w:rsidRDefault="00B778E5">
      <w:pPr>
        <w:pStyle w:val="FootnoteText"/>
      </w:pPr>
      <w:r>
        <w:rPr>
          <w:rStyle w:val="FootnoteReference"/>
        </w:rPr>
        <w:footnoteRef/>
      </w:r>
      <w:r>
        <w:t xml:space="preserve"> </w:t>
      </w:r>
      <w:r w:rsidRPr="008C55AE">
        <w:rPr>
          <w:rFonts w:ascii="Times New Roman" w:hAnsi="Times New Roman" w:cs="Times New Roman"/>
        </w:rPr>
        <w:t>Waterson 1999: 64</w:t>
      </w:r>
    </w:p>
  </w:footnote>
  <w:footnote w:id="18">
    <w:p w14:paraId="055F4122" w14:textId="33DC9353" w:rsidR="00B778E5" w:rsidRDefault="00B778E5">
      <w:pPr>
        <w:pStyle w:val="FootnoteText"/>
      </w:pPr>
      <w:r>
        <w:rPr>
          <w:rStyle w:val="FootnoteReference"/>
        </w:rPr>
        <w:footnoteRef/>
      </w:r>
      <w:r>
        <w:t xml:space="preserve"> </w:t>
      </w:r>
      <w:r w:rsidRPr="00352449">
        <w:rPr>
          <w:rFonts w:ascii="Times New Roman" w:hAnsi="Times New Roman" w:cs="Times New Roman"/>
        </w:rPr>
        <w:t>Fletcher 2004: 259</w:t>
      </w:r>
    </w:p>
  </w:footnote>
  <w:footnote w:id="19">
    <w:p w14:paraId="5C15F413" w14:textId="6AEA3961" w:rsidR="00B778E5" w:rsidRDefault="00B778E5">
      <w:pPr>
        <w:pStyle w:val="FootnoteText"/>
      </w:pPr>
      <w:r>
        <w:rPr>
          <w:rStyle w:val="FootnoteReference"/>
        </w:rPr>
        <w:footnoteRef/>
      </w:r>
      <w:r>
        <w:t xml:space="preserve"> </w:t>
      </w:r>
      <w:r w:rsidRPr="00C81B23">
        <w:rPr>
          <w:rFonts w:ascii="Times New Roman" w:hAnsi="Times New Roman" w:cs="Times New Roman"/>
        </w:rPr>
        <w:t>Tyldesley 2003: 88</w:t>
      </w:r>
    </w:p>
  </w:footnote>
  <w:footnote w:id="20">
    <w:p w14:paraId="2EBC472F" w14:textId="1E1EF1E5" w:rsidR="00B778E5" w:rsidRDefault="00B778E5">
      <w:pPr>
        <w:pStyle w:val="FootnoteText"/>
      </w:pPr>
      <w:r>
        <w:rPr>
          <w:rStyle w:val="FootnoteReference"/>
        </w:rPr>
        <w:footnoteRef/>
      </w:r>
      <w:r>
        <w:t xml:space="preserve"> </w:t>
      </w:r>
      <w:r w:rsidRPr="00BE2C04">
        <w:rPr>
          <w:rFonts w:ascii="Times New Roman" w:hAnsi="Times New Roman" w:cs="Times New Roman"/>
        </w:rPr>
        <w:t>Hagen 2016: 55</w:t>
      </w:r>
    </w:p>
  </w:footnote>
  <w:footnote w:id="21">
    <w:p w14:paraId="4FD7C16E" w14:textId="620436D3" w:rsidR="00B778E5" w:rsidRDefault="00B778E5">
      <w:pPr>
        <w:pStyle w:val="FootnoteText"/>
      </w:pPr>
      <w:r>
        <w:rPr>
          <w:rStyle w:val="FootnoteReference"/>
        </w:rPr>
        <w:footnoteRef/>
      </w:r>
      <w:r>
        <w:t xml:space="preserve"> </w:t>
      </w:r>
      <w:r w:rsidRPr="00B61EAB">
        <w:rPr>
          <w:rFonts w:ascii="Times New Roman" w:hAnsi="Times New Roman" w:cs="Times New Roman"/>
        </w:rPr>
        <w:t>Silverman, Wegner and Wegner 2006: 37</w:t>
      </w:r>
    </w:p>
  </w:footnote>
  <w:footnote w:id="22">
    <w:p w14:paraId="0113A7F5" w14:textId="15975561" w:rsidR="00B778E5" w:rsidRDefault="00B778E5">
      <w:pPr>
        <w:pStyle w:val="FootnoteText"/>
      </w:pPr>
      <w:r>
        <w:rPr>
          <w:rStyle w:val="FootnoteReference"/>
        </w:rPr>
        <w:footnoteRef/>
      </w:r>
      <w:r>
        <w:t xml:space="preserve"> </w:t>
      </w:r>
      <w:r w:rsidRPr="00B61EAB">
        <w:rPr>
          <w:rFonts w:ascii="Times New Roman" w:hAnsi="Times New Roman" w:cs="Times New Roman"/>
        </w:rPr>
        <w:t>Shaw 2000: 269-270</w:t>
      </w:r>
    </w:p>
  </w:footnote>
  <w:footnote w:id="23">
    <w:p w14:paraId="6964A4F5" w14:textId="3E6F5D38" w:rsidR="00B778E5" w:rsidRDefault="00B778E5">
      <w:pPr>
        <w:pStyle w:val="FootnoteText"/>
      </w:pPr>
      <w:r>
        <w:rPr>
          <w:rStyle w:val="FootnoteReference"/>
        </w:rPr>
        <w:footnoteRef/>
      </w:r>
      <w:r>
        <w:t xml:space="preserve"> </w:t>
      </w:r>
      <w:r w:rsidRPr="003230AE">
        <w:rPr>
          <w:rFonts w:ascii="Times New Roman" w:hAnsi="Times New Roman" w:cs="Times New Roman"/>
        </w:rPr>
        <w:t>Kemp 2006</w:t>
      </w:r>
    </w:p>
  </w:footnote>
  <w:footnote w:id="24">
    <w:p w14:paraId="5ABF7BC3" w14:textId="7AC2FEFC" w:rsidR="00B778E5" w:rsidRDefault="00B778E5">
      <w:pPr>
        <w:pStyle w:val="FootnoteText"/>
      </w:pPr>
      <w:r>
        <w:rPr>
          <w:rStyle w:val="FootnoteReference"/>
        </w:rPr>
        <w:footnoteRef/>
      </w:r>
      <w:r>
        <w:t xml:space="preserve"> </w:t>
      </w:r>
      <w:r w:rsidRPr="003230AE">
        <w:rPr>
          <w:rFonts w:ascii="Times New Roman" w:hAnsi="Times New Roman" w:cs="Times New Roman"/>
        </w:rPr>
        <w:t>Brewer and Teeter 2007: 53</w:t>
      </w:r>
    </w:p>
  </w:footnote>
  <w:footnote w:id="25">
    <w:p w14:paraId="6B6F1BF4" w14:textId="30A3D2FF" w:rsidR="00B778E5" w:rsidRDefault="00B778E5">
      <w:pPr>
        <w:pStyle w:val="FootnoteText"/>
      </w:pPr>
      <w:r>
        <w:rPr>
          <w:rStyle w:val="FootnoteReference"/>
        </w:rPr>
        <w:footnoteRef/>
      </w:r>
      <w:r>
        <w:t xml:space="preserve"> </w:t>
      </w:r>
      <w:r w:rsidRPr="003230AE">
        <w:rPr>
          <w:rFonts w:ascii="Times New Roman" w:hAnsi="Times New Roman" w:cs="Times New Roman"/>
        </w:rPr>
        <w:t>Stevens 2012: 94</w:t>
      </w:r>
    </w:p>
  </w:footnote>
  <w:footnote w:id="26">
    <w:p w14:paraId="061FEF23" w14:textId="65DA9D0E" w:rsidR="00B778E5" w:rsidRDefault="00B778E5">
      <w:pPr>
        <w:pStyle w:val="FootnoteText"/>
      </w:pPr>
      <w:r>
        <w:rPr>
          <w:rStyle w:val="FootnoteReference"/>
        </w:rPr>
        <w:footnoteRef/>
      </w:r>
      <w:r>
        <w:t xml:space="preserve"> See Appendix 3</w:t>
      </w:r>
    </w:p>
  </w:footnote>
  <w:footnote w:id="27">
    <w:p w14:paraId="5E5902BC" w14:textId="2C63F067" w:rsidR="00B778E5" w:rsidRDefault="00B778E5">
      <w:pPr>
        <w:pStyle w:val="FootnoteText"/>
      </w:pPr>
      <w:r>
        <w:rPr>
          <w:rStyle w:val="FootnoteReference"/>
        </w:rPr>
        <w:footnoteRef/>
      </w:r>
      <w:r>
        <w:t xml:space="preserve"> </w:t>
      </w:r>
      <w:r w:rsidRPr="00795FF5">
        <w:rPr>
          <w:rFonts w:ascii="Times New Roman" w:hAnsi="Times New Roman" w:cs="Times New Roman"/>
        </w:rPr>
        <w:t>Tyldesley 2003: 87-88</w:t>
      </w:r>
    </w:p>
  </w:footnote>
  <w:footnote w:id="28">
    <w:p w14:paraId="39977AF7" w14:textId="27A4B747" w:rsidR="00B778E5" w:rsidRDefault="00B778E5">
      <w:pPr>
        <w:pStyle w:val="FootnoteText"/>
      </w:pPr>
      <w:r>
        <w:rPr>
          <w:rStyle w:val="FootnoteReference"/>
        </w:rPr>
        <w:footnoteRef/>
      </w:r>
      <w:r>
        <w:t xml:space="preserve"> </w:t>
      </w:r>
      <w:r w:rsidRPr="00795FF5">
        <w:rPr>
          <w:rFonts w:ascii="Times New Roman" w:hAnsi="Times New Roman" w:cs="Times New Roman"/>
        </w:rPr>
        <w:t>Dodson 2014: 117</w:t>
      </w:r>
    </w:p>
  </w:footnote>
  <w:footnote w:id="29">
    <w:p w14:paraId="26D899B2" w14:textId="2D2F75C6" w:rsidR="00B778E5" w:rsidRDefault="00B778E5">
      <w:pPr>
        <w:pStyle w:val="FootnoteText"/>
      </w:pPr>
      <w:r>
        <w:rPr>
          <w:rStyle w:val="FootnoteReference"/>
        </w:rPr>
        <w:footnoteRef/>
      </w:r>
      <w:r>
        <w:t xml:space="preserve"> </w:t>
      </w:r>
      <w:r w:rsidRPr="007F6877">
        <w:rPr>
          <w:rFonts w:ascii="Times New Roman" w:hAnsi="Times New Roman" w:cs="Times New Roman"/>
        </w:rPr>
        <w:t>Kemp 2012: 21</w:t>
      </w:r>
    </w:p>
  </w:footnote>
  <w:footnote w:id="30">
    <w:p w14:paraId="3F41A3F6" w14:textId="27728EF9" w:rsidR="00B778E5" w:rsidRDefault="00B778E5">
      <w:pPr>
        <w:pStyle w:val="FootnoteText"/>
      </w:pPr>
      <w:r>
        <w:rPr>
          <w:rStyle w:val="FootnoteReference"/>
        </w:rPr>
        <w:footnoteRef/>
      </w:r>
      <w:r>
        <w:t xml:space="preserve"> </w:t>
      </w:r>
      <w:r w:rsidRPr="007F6877">
        <w:rPr>
          <w:rFonts w:ascii="Times New Roman" w:hAnsi="Times New Roman" w:cs="Times New Roman"/>
        </w:rPr>
        <w:t>Dodson 2014: 151</w:t>
      </w:r>
    </w:p>
  </w:footnote>
  <w:footnote w:id="31">
    <w:p w14:paraId="62057CE4" w14:textId="21A6457D" w:rsidR="00B778E5" w:rsidRPr="00143ED2" w:rsidRDefault="00B778E5">
      <w:pPr>
        <w:pStyle w:val="FootnoteText"/>
        <w:rPr>
          <w:rFonts w:ascii="Times New Roman" w:hAnsi="Times New Roman" w:cs="Times New Roman"/>
        </w:rPr>
      </w:pPr>
      <w:r>
        <w:rPr>
          <w:rStyle w:val="FootnoteReference"/>
        </w:rPr>
        <w:footnoteRef/>
      </w:r>
      <w:r>
        <w:t xml:space="preserve"> </w:t>
      </w:r>
      <w:r w:rsidRPr="00143ED2">
        <w:rPr>
          <w:rFonts w:ascii="Times New Roman" w:hAnsi="Times New Roman" w:cs="Times New Roman"/>
        </w:rPr>
        <w:t>Robins 2007: 12</w:t>
      </w:r>
    </w:p>
  </w:footnote>
  <w:footnote w:id="32">
    <w:p w14:paraId="1EF68214" w14:textId="6B77C520" w:rsidR="00B778E5" w:rsidRDefault="00B778E5">
      <w:pPr>
        <w:pStyle w:val="FootnoteText"/>
      </w:pPr>
      <w:r w:rsidRPr="00143ED2">
        <w:rPr>
          <w:rStyle w:val="FootnoteReference"/>
          <w:rFonts w:ascii="Times New Roman" w:hAnsi="Times New Roman" w:cs="Times New Roman"/>
        </w:rPr>
        <w:footnoteRef/>
      </w:r>
      <w:r w:rsidRPr="00143ED2">
        <w:rPr>
          <w:rFonts w:ascii="Times New Roman" w:hAnsi="Times New Roman" w:cs="Times New Roman"/>
        </w:rPr>
        <w:t xml:space="preserve"> Tyldesley 2003: 93</w:t>
      </w:r>
    </w:p>
  </w:footnote>
  <w:footnote w:id="33">
    <w:p w14:paraId="614F1F52" w14:textId="66A6E37C" w:rsidR="00B778E5" w:rsidRDefault="00B778E5">
      <w:pPr>
        <w:pStyle w:val="FootnoteText"/>
      </w:pPr>
      <w:r>
        <w:rPr>
          <w:rStyle w:val="FootnoteReference"/>
        </w:rPr>
        <w:footnoteRef/>
      </w:r>
      <w:r>
        <w:t xml:space="preserve"> </w:t>
      </w:r>
      <w:r w:rsidRPr="00143ED2">
        <w:rPr>
          <w:rFonts w:ascii="Times New Roman" w:hAnsi="Times New Roman" w:cs="Times New Roman"/>
        </w:rPr>
        <w:t>Tyldesley 2003: 95</w:t>
      </w:r>
    </w:p>
  </w:footnote>
  <w:footnote w:id="34">
    <w:p w14:paraId="320B4E08" w14:textId="1D0EBF75" w:rsidR="00B778E5" w:rsidRDefault="00B778E5">
      <w:pPr>
        <w:pStyle w:val="FootnoteText"/>
      </w:pPr>
      <w:r>
        <w:rPr>
          <w:rStyle w:val="FootnoteReference"/>
        </w:rPr>
        <w:footnoteRef/>
      </w:r>
      <w:r w:rsidRPr="00143ED2">
        <w:rPr>
          <w:rFonts w:ascii="Times New Roman" w:hAnsi="Times New Roman" w:cs="Times New Roman"/>
        </w:rPr>
        <w:t>Tyldesley 2003: 95-96</w:t>
      </w:r>
      <w:r>
        <w:t xml:space="preserve"> </w:t>
      </w:r>
    </w:p>
  </w:footnote>
  <w:footnote w:id="35">
    <w:p w14:paraId="4C657505" w14:textId="02C93AE9" w:rsidR="00B778E5" w:rsidRDefault="00B778E5">
      <w:pPr>
        <w:pStyle w:val="FootnoteText"/>
      </w:pPr>
      <w:r>
        <w:rPr>
          <w:rStyle w:val="FootnoteReference"/>
        </w:rPr>
        <w:footnoteRef/>
      </w:r>
      <w:r>
        <w:t xml:space="preserve"> </w:t>
      </w:r>
      <w:r w:rsidRPr="002569B4">
        <w:rPr>
          <w:rFonts w:ascii="Times New Roman" w:hAnsi="Times New Roman" w:cs="Times New Roman"/>
        </w:rPr>
        <w:t>Tyldesley 2003: 95</w:t>
      </w:r>
    </w:p>
  </w:footnote>
  <w:footnote w:id="36">
    <w:p w14:paraId="19442ABE" w14:textId="149B76C4" w:rsidR="00B778E5" w:rsidRDefault="00B778E5">
      <w:pPr>
        <w:pStyle w:val="FootnoteText"/>
      </w:pPr>
      <w:r>
        <w:rPr>
          <w:rStyle w:val="FootnoteReference"/>
        </w:rPr>
        <w:footnoteRef/>
      </w:r>
      <w:r>
        <w:t xml:space="preserve"> </w:t>
      </w:r>
      <w:r w:rsidRPr="002569B4">
        <w:rPr>
          <w:rFonts w:ascii="Times New Roman" w:hAnsi="Times New Roman" w:cs="Times New Roman"/>
        </w:rPr>
        <w:t>Hanus 2012: 35</w:t>
      </w:r>
    </w:p>
  </w:footnote>
  <w:footnote w:id="37">
    <w:p w14:paraId="648AA79A" w14:textId="33A78BA1" w:rsidR="00B778E5" w:rsidRDefault="00B778E5">
      <w:pPr>
        <w:pStyle w:val="FootnoteText"/>
      </w:pPr>
      <w:r>
        <w:rPr>
          <w:rStyle w:val="FootnoteReference"/>
        </w:rPr>
        <w:footnoteRef/>
      </w:r>
      <w:r>
        <w:t xml:space="preserve"> </w:t>
      </w:r>
      <w:r w:rsidRPr="002569B4">
        <w:rPr>
          <w:rFonts w:ascii="Times New Roman" w:hAnsi="Times New Roman" w:cs="Times New Roman"/>
        </w:rPr>
        <w:t>Assman 2001: 216-217</w:t>
      </w:r>
    </w:p>
  </w:footnote>
  <w:footnote w:id="38">
    <w:p w14:paraId="1EA4B5AA" w14:textId="35A286FB" w:rsidR="00B778E5" w:rsidRDefault="00B778E5">
      <w:pPr>
        <w:pStyle w:val="FootnoteText"/>
      </w:pPr>
      <w:r>
        <w:rPr>
          <w:rStyle w:val="FootnoteReference"/>
        </w:rPr>
        <w:footnoteRef/>
      </w:r>
      <w:r>
        <w:t xml:space="preserve"> </w:t>
      </w:r>
      <w:r w:rsidRPr="00BD7110">
        <w:rPr>
          <w:rFonts w:ascii="Times New Roman" w:hAnsi="Times New Roman" w:cs="Times New Roman"/>
        </w:rPr>
        <w:t>Waterson 1999: 99</w:t>
      </w:r>
    </w:p>
  </w:footnote>
  <w:footnote w:id="39">
    <w:p w14:paraId="61F42459" w14:textId="396891CC" w:rsidR="00B778E5" w:rsidRDefault="00B778E5">
      <w:pPr>
        <w:pStyle w:val="FootnoteText"/>
      </w:pPr>
      <w:r>
        <w:rPr>
          <w:rStyle w:val="FootnoteReference"/>
        </w:rPr>
        <w:footnoteRef/>
      </w:r>
      <w:r>
        <w:t xml:space="preserve"> </w:t>
      </w:r>
      <w:r w:rsidRPr="0008579D">
        <w:rPr>
          <w:rFonts w:ascii="Times New Roman" w:hAnsi="Times New Roman" w:cs="Times New Roman"/>
        </w:rPr>
        <w:t>Dodson 2009: 10-13</w:t>
      </w:r>
    </w:p>
  </w:footnote>
  <w:footnote w:id="40">
    <w:p w14:paraId="0EA6CA08" w14:textId="34F146D1" w:rsidR="00B778E5" w:rsidRDefault="00B778E5">
      <w:pPr>
        <w:pStyle w:val="FootnoteText"/>
      </w:pPr>
      <w:r>
        <w:rPr>
          <w:rStyle w:val="FootnoteReference"/>
        </w:rPr>
        <w:footnoteRef/>
      </w:r>
      <w:r>
        <w:t xml:space="preserve"> </w:t>
      </w:r>
      <w:r w:rsidRPr="0008579D">
        <w:rPr>
          <w:rFonts w:ascii="Times New Roman" w:hAnsi="Times New Roman" w:cs="Times New Roman"/>
        </w:rPr>
        <w:t>Waterson 1999: 64-68; see Appendix 1</w:t>
      </w:r>
    </w:p>
  </w:footnote>
  <w:footnote w:id="41">
    <w:p w14:paraId="3828BC79" w14:textId="5DF9F880" w:rsidR="00B778E5" w:rsidRDefault="00B778E5">
      <w:pPr>
        <w:pStyle w:val="FootnoteText"/>
      </w:pPr>
      <w:r>
        <w:rPr>
          <w:rStyle w:val="FootnoteReference"/>
        </w:rPr>
        <w:footnoteRef/>
      </w:r>
      <w:r>
        <w:t xml:space="preserve"> </w:t>
      </w:r>
      <w:r w:rsidRPr="00A75155">
        <w:rPr>
          <w:rFonts w:ascii="Times New Roman" w:hAnsi="Times New Roman" w:cs="Times New Roman"/>
        </w:rPr>
        <w:t>Tyldesley 2003: 81</w:t>
      </w:r>
    </w:p>
  </w:footnote>
  <w:footnote w:id="42">
    <w:p w14:paraId="594A6B3C" w14:textId="1F5B702E" w:rsidR="00B778E5" w:rsidRDefault="00B778E5">
      <w:pPr>
        <w:pStyle w:val="FootnoteText"/>
      </w:pPr>
      <w:r>
        <w:rPr>
          <w:rStyle w:val="FootnoteReference"/>
        </w:rPr>
        <w:footnoteRef/>
      </w:r>
      <w:r>
        <w:t xml:space="preserve"> </w:t>
      </w:r>
      <w:r w:rsidRPr="00CD73D6">
        <w:rPr>
          <w:rFonts w:ascii="Times New Roman" w:hAnsi="Times New Roman" w:cs="Times New Roman"/>
        </w:rPr>
        <w:t>Hagen 2016: 55</w:t>
      </w:r>
    </w:p>
  </w:footnote>
  <w:footnote w:id="43">
    <w:p w14:paraId="68108FB7" w14:textId="3F947D7E" w:rsidR="00B778E5" w:rsidRDefault="00B778E5">
      <w:pPr>
        <w:pStyle w:val="FootnoteText"/>
      </w:pPr>
      <w:r>
        <w:rPr>
          <w:rStyle w:val="FootnoteReference"/>
        </w:rPr>
        <w:footnoteRef/>
      </w:r>
      <w:r>
        <w:t xml:space="preserve"> </w:t>
      </w:r>
      <w:r w:rsidRPr="00CD73D6">
        <w:rPr>
          <w:rFonts w:ascii="Times New Roman" w:hAnsi="Times New Roman" w:cs="Times New Roman"/>
        </w:rPr>
        <w:t>Tyldesley 2003: 82</w:t>
      </w:r>
    </w:p>
  </w:footnote>
  <w:footnote w:id="44">
    <w:p w14:paraId="2EB018EA" w14:textId="4BF69BE8" w:rsidR="00B778E5" w:rsidRDefault="00B778E5">
      <w:pPr>
        <w:pStyle w:val="FootnoteText"/>
      </w:pPr>
      <w:r>
        <w:rPr>
          <w:rStyle w:val="FootnoteReference"/>
        </w:rPr>
        <w:footnoteRef/>
      </w:r>
      <w:r>
        <w:t xml:space="preserve"> </w:t>
      </w:r>
      <w:r w:rsidRPr="00CD73D6">
        <w:rPr>
          <w:rFonts w:ascii="Times New Roman" w:hAnsi="Times New Roman" w:cs="Times New Roman"/>
        </w:rPr>
        <w:t>Reeves and Wilkinson 1996: 119</w:t>
      </w:r>
    </w:p>
  </w:footnote>
  <w:footnote w:id="45">
    <w:p w14:paraId="06A099D0" w14:textId="27C96DB5" w:rsidR="00B778E5" w:rsidRDefault="00B778E5">
      <w:pPr>
        <w:pStyle w:val="FootnoteText"/>
      </w:pPr>
      <w:r>
        <w:rPr>
          <w:rStyle w:val="FootnoteReference"/>
        </w:rPr>
        <w:footnoteRef/>
      </w:r>
      <w:r>
        <w:t xml:space="preserve"> </w:t>
      </w:r>
      <w:r w:rsidRPr="00CD73D6">
        <w:rPr>
          <w:rFonts w:ascii="Times New Roman" w:hAnsi="Times New Roman" w:cs="Times New Roman"/>
        </w:rPr>
        <w:t>Baikie 2004: 7</w:t>
      </w:r>
    </w:p>
  </w:footnote>
  <w:footnote w:id="46">
    <w:p w14:paraId="51EA898E" w14:textId="33840581" w:rsidR="00B778E5" w:rsidRDefault="00B778E5">
      <w:pPr>
        <w:pStyle w:val="FootnoteText"/>
      </w:pPr>
      <w:r>
        <w:rPr>
          <w:rStyle w:val="FootnoteReference"/>
        </w:rPr>
        <w:footnoteRef/>
      </w:r>
      <w:r>
        <w:t xml:space="preserve"> </w:t>
      </w:r>
      <w:r w:rsidRPr="00196167">
        <w:rPr>
          <w:rFonts w:ascii="Times New Roman" w:hAnsi="Times New Roman" w:cs="Times New Roman"/>
        </w:rPr>
        <w:t>Brewer and Teeter 2007: 46</w:t>
      </w:r>
    </w:p>
  </w:footnote>
  <w:footnote w:id="47">
    <w:p w14:paraId="3EE0DDE4" w14:textId="64C4BCD8" w:rsidR="00B778E5" w:rsidRDefault="00B778E5">
      <w:pPr>
        <w:pStyle w:val="FootnoteText"/>
      </w:pPr>
      <w:r>
        <w:rPr>
          <w:rStyle w:val="FootnoteReference"/>
        </w:rPr>
        <w:footnoteRef/>
      </w:r>
      <w:r>
        <w:t xml:space="preserve"> </w:t>
      </w:r>
      <w:r w:rsidRPr="00196167">
        <w:rPr>
          <w:rFonts w:ascii="Times New Roman" w:hAnsi="Times New Roman" w:cs="Times New Roman"/>
        </w:rPr>
        <w:t>Assman 2001: 205</w:t>
      </w:r>
    </w:p>
  </w:footnote>
  <w:footnote w:id="48">
    <w:p w14:paraId="6636A01A" w14:textId="37BCDBBC" w:rsidR="00B778E5" w:rsidRDefault="00B778E5">
      <w:pPr>
        <w:pStyle w:val="FootnoteText"/>
      </w:pPr>
      <w:r>
        <w:rPr>
          <w:rStyle w:val="FootnoteReference"/>
        </w:rPr>
        <w:footnoteRef/>
      </w:r>
      <w:r>
        <w:t xml:space="preserve"> </w:t>
      </w:r>
      <w:r w:rsidRPr="00FD26B3">
        <w:rPr>
          <w:rFonts w:ascii="Times New Roman" w:hAnsi="Times New Roman" w:cs="Times New Roman"/>
        </w:rPr>
        <w:t>See Figure 6 in Appendix</w:t>
      </w:r>
    </w:p>
  </w:footnote>
  <w:footnote w:id="49">
    <w:p w14:paraId="343A2BCF" w14:textId="3C744695" w:rsidR="00B778E5" w:rsidRDefault="00B778E5">
      <w:pPr>
        <w:pStyle w:val="FootnoteText"/>
      </w:pPr>
      <w:r>
        <w:rPr>
          <w:rStyle w:val="FootnoteReference"/>
        </w:rPr>
        <w:footnoteRef/>
      </w:r>
      <w:r>
        <w:t xml:space="preserve"> </w:t>
      </w:r>
      <w:r w:rsidRPr="00FD26B3">
        <w:rPr>
          <w:rFonts w:ascii="Times New Roman" w:hAnsi="Times New Roman" w:cs="Times New Roman"/>
        </w:rPr>
        <w:t>Dodson 2009: 11-17</w:t>
      </w:r>
    </w:p>
  </w:footnote>
  <w:footnote w:id="50">
    <w:p w14:paraId="31CFEE22" w14:textId="23741315" w:rsidR="00B778E5" w:rsidRDefault="00B778E5">
      <w:pPr>
        <w:pStyle w:val="FootnoteText"/>
      </w:pPr>
      <w:r>
        <w:rPr>
          <w:rStyle w:val="FootnoteReference"/>
        </w:rPr>
        <w:footnoteRef/>
      </w:r>
      <w:r>
        <w:t xml:space="preserve"> </w:t>
      </w:r>
      <w:r w:rsidRPr="00DB7E48">
        <w:rPr>
          <w:rFonts w:ascii="Times New Roman" w:hAnsi="Times New Roman" w:cs="Times New Roman"/>
        </w:rPr>
        <w:t>Waterson 1999: 52</w:t>
      </w:r>
    </w:p>
  </w:footnote>
  <w:footnote w:id="51">
    <w:p w14:paraId="3F0F0946" w14:textId="64E2AD51" w:rsidR="00B778E5" w:rsidRDefault="00B778E5">
      <w:pPr>
        <w:pStyle w:val="FootnoteText"/>
      </w:pPr>
      <w:r>
        <w:rPr>
          <w:rStyle w:val="FootnoteReference"/>
        </w:rPr>
        <w:footnoteRef/>
      </w:r>
      <w:r>
        <w:t xml:space="preserve"> </w:t>
      </w:r>
      <w:r w:rsidRPr="00DB7E48">
        <w:rPr>
          <w:rFonts w:ascii="Times New Roman" w:hAnsi="Times New Roman" w:cs="Times New Roman"/>
        </w:rPr>
        <w:t>Chadwick 2005: 184</w:t>
      </w:r>
    </w:p>
  </w:footnote>
  <w:footnote w:id="52">
    <w:p w14:paraId="09D9F725" w14:textId="434FF847" w:rsidR="00B778E5" w:rsidRDefault="00B778E5">
      <w:pPr>
        <w:pStyle w:val="FootnoteText"/>
      </w:pPr>
      <w:r>
        <w:rPr>
          <w:rStyle w:val="FootnoteReference"/>
        </w:rPr>
        <w:footnoteRef/>
      </w:r>
      <w:r>
        <w:t xml:space="preserve"> </w:t>
      </w:r>
      <w:r w:rsidRPr="00634F4E">
        <w:rPr>
          <w:rFonts w:ascii="Times New Roman" w:hAnsi="Times New Roman" w:cs="Times New Roman"/>
        </w:rPr>
        <w:t>Clayton 2006: 123</w:t>
      </w:r>
    </w:p>
  </w:footnote>
  <w:footnote w:id="53">
    <w:p w14:paraId="4423E161" w14:textId="05FC474D" w:rsidR="00B778E5" w:rsidRDefault="00B778E5">
      <w:pPr>
        <w:pStyle w:val="FootnoteText"/>
      </w:pPr>
      <w:r>
        <w:rPr>
          <w:rStyle w:val="FootnoteReference"/>
        </w:rPr>
        <w:footnoteRef/>
      </w:r>
      <w:r>
        <w:t xml:space="preserve"> </w:t>
      </w:r>
      <w:r w:rsidRPr="00634F4E">
        <w:rPr>
          <w:rFonts w:ascii="Times New Roman" w:hAnsi="Times New Roman" w:cs="Times New Roman"/>
        </w:rPr>
        <w:t>Chadwick 2005: 184</w:t>
      </w:r>
    </w:p>
  </w:footnote>
  <w:footnote w:id="54">
    <w:p w14:paraId="62AB458E" w14:textId="39FDD2CA" w:rsidR="00B778E5" w:rsidRDefault="00B778E5">
      <w:pPr>
        <w:pStyle w:val="FootnoteText"/>
      </w:pPr>
      <w:r>
        <w:rPr>
          <w:rStyle w:val="FootnoteReference"/>
        </w:rPr>
        <w:footnoteRef/>
      </w:r>
      <w:r>
        <w:t xml:space="preserve"> </w:t>
      </w:r>
      <w:r w:rsidRPr="005F0A7F">
        <w:rPr>
          <w:rFonts w:ascii="Times New Roman" w:hAnsi="Times New Roman" w:cs="Times New Roman"/>
        </w:rPr>
        <w:t>Waterson 1999: 60</w:t>
      </w:r>
    </w:p>
  </w:footnote>
  <w:footnote w:id="55">
    <w:p w14:paraId="38D120CC" w14:textId="206958A3" w:rsidR="00B778E5" w:rsidRDefault="00B778E5">
      <w:pPr>
        <w:pStyle w:val="FootnoteText"/>
      </w:pPr>
      <w:r>
        <w:rPr>
          <w:rStyle w:val="FootnoteReference"/>
        </w:rPr>
        <w:footnoteRef/>
      </w:r>
      <w:r>
        <w:t xml:space="preserve"> </w:t>
      </w:r>
      <w:r w:rsidRPr="005F74AA">
        <w:rPr>
          <w:rFonts w:ascii="Times New Roman" w:hAnsi="Times New Roman" w:cs="Times New Roman"/>
        </w:rPr>
        <w:t>Tyldesley 2003: 75</w:t>
      </w:r>
    </w:p>
  </w:footnote>
  <w:footnote w:id="56">
    <w:p w14:paraId="555BE88A" w14:textId="3F0D483A" w:rsidR="00B778E5" w:rsidRDefault="00B778E5">
      <w:pPr>
        <w:pStyle w:val="FootnoteText"/>
      </w:pPr>
      <w:r>
        <w:rPr>
          <w:rStyle w:val="FootnoteReference"/>
        </w:rPr>
        <w:footnoteRef/>
      </w:r>
      <w:r>
        <w:t xml:space="preserve"> </w:t>
      </w:r>
      <w:r w:rsidRPr="007B06BF">
        <w:t>Kemp 2006</w:t>
      </w:r>
    </w:p>
  </w:footnote>
  <w:footnote w:id="57">
    <w:p w14:paraId="1AD32FE7" w14:textId="471AC587" w:rsidR="00B778E5" w:rsidRDefault="00B778E5">
      <w:pPr>
        <w:pStyle w:val="FootnoteText"/>
      </w:pPr>
      <w:r>
        <w:rPr>
          <w:rStyle w:val="FootnoteReference"/>
        </w:rPr>
        <w:footnoteRef/>
      </w:r>
      <w:r w:rsidRPr="007B06BF">
        <w:rPr>
          <w:rFonts w:ascii="Times New Roman" w:hAnsi="Times New Roman" w:cs="Times New Roman"/>
        </w:rPr>
        <w:t>Fletcher 2004: 261</w:t>
      </w:r>
      <w:r>
        <w:t xml:space="preserve"> </w:t>
      </w:r>
    </w:p>
  </w:footnote>
  <w:footnote w:id="58">
    <w:p w14:paraId="7CCA961F" w14:textId="4076099E" w:rsidR="00B778E5" w:rsidRDefault="00B778E5">
      <w:pPr>
        <w:pStyle w:val="FootnoteText"/>
      </w:pPr>
      <w:r>
        <w:rPr>
          <w:rStyle w:val="FootnoteReference"/>
        </w:rPr>
        <w:footnoteRef/>
      </w:r>
      <w:r>
        <w:t xml:space="preserve"> </w:t>
      </w:r>
      <w:r w:rsidRPr="0071497D">
        <w:t>Ragionieri 2000: 45</w:t>
      </w:r>
    </w:p>
  </w:footnote>
  <w:footnote w:id="59">
    <w:p w14:paraId="225357A5" w14:textId="7026A286" w:rsidR="00B778E5" w:rsidRPr="0071497D" w:rsidRDefault="00B778E5">
      <w:pPr>
        <w:pStyle w:val="FootnoteText"/>
        <w:rPr>
          <w:rFonts w:ascii="Times New Roman" w:hAnsi="Times New Roman" w:cs="Times New Roman"/>
        </w:rPr>
      </w:pPr>
      <w:r>
        <w:rPr>
          <w:rStyle w:val="FootnoteReference"/>
        </w:rPr>
        <w:footnoteRef/>
      </w:r>
      <w:r>
        <w:t xml:space="preserve"> </w:t>
      </w:r>
      <w:r w:rsidRPr="0071497D">
        <w:rPr>
          <w:rFonts w:ascii="Times New Roman" w:hAnsi="Times New Roman" w:cs="Times New Roman"/>
        </w:rPr>
        <w:t>Moran 1992: xiii- xxxiv</w:t>
      </w:r>
    </w:p>
  </w:footnote>
  <w:footnote w:id="60">
    <w:p w14:paraId="70E56CDA" w14:textId="32865C3F" w:rsidR="00B778E5" w:rsidRDefault="00B778E5">
      <w:pPr>
        <w:pStyle w:val="FootnoteText"/>
      </w:pPr>
      <w:r w:rsidRPr="0071497D">
        <w:rPr>
          <w:rStyle w:val="FootnoteReference"/>
          <w:rFonts w:ascii="Times New Roman" w:hAnsi="Times New Roman" w:cs="Times New Roman"/>
        </w:rPr>
        <w:footnoteRef/>
      </w:r>
      <w:r w:rsidRPr="0071497D">
        <w:rPr>
          <w:rFonts w:ascii="Times New Roman" w:hAnsi="Times New Roman" w:cs="Times New Roman"/>
        </w:rPr>
        <w:t xml:space="preserve"> Kemp 2012: 128</w:t>
      </w:r>
    </w:p>
  </w:footnote>
  <w:footnote w:id="61">
    <w:p w14:paraId="72EA32A6" w14:textId="08BDD1C0" w:rsidR="00B778E5" w:rsidRDefault="00B778E5">
      <w:pPr>
        <w:pStyle w:val="FootnoteText"/>
      </w:pPr>
      <w:r>
        <w:rPr>
          <w:rStyle w:val="FootnoteReference"/>
        </w:rPr>
        <w:footnoteRef/>
      </w:r>
      <w:r>
        <w:t xml:space="preserve"> </w:t>
      </w:r>
      <w:r w:rsidRPr="0071497D">
        <w:rPr>
          <w:rFonts w:ascii="Times New Roman" w:hAnsi="Times New Roman" w:cs="Times New Roman"/>
        </w:rPr>
        <w:t>Tyldesley 2003: 80</w:t>
      </w:r>
    </w:p>
  </w:footnote>
  <w:footnote w:id="62">
    <w:p w14:paraId="3F86B8BD" w14:textId="02ADEBF3" w:rsidR="00B778E5" w:rsidRDefault="00B778E5">
      <w:pPr>
        <w:pStyle w:val="FootnoteText"/>
      </w:pPr>
      <w:r>
        <w:rPr>
          <w:rStyle w:val="FootnoteReference"/>
        </w:rPr>
        <w:footnoteRef/>
      </w:r>
      <w:r w:rsidRPr="00680395">
        <w:rPr>
          <w:rFonts w:ascii="Times New Roman" w:hAnsi="Times New Roman" w:cs="Times New Roman"/>
        </w:rPr>
        <w:t>Cohen and Westbrook 2000: 234</w:t>
      </w:r>
      <w:r>
        <w:t xml:space="preserve"> </w:t>
      </w:r>
    </w:p>
  </w:footnote>
  <w:footnote w:id="63">
    <w:p w14:paraId="43BFEBC2" w14:textId="42243AB8" w:rsidR="00B778E5" w:rsidRDefault="00B778E5">
      <w:pPr>
        <w:pStyle w:val="FootnoteText"/>
      </w:pPr>
      <w:r>
        <w:rPr>
          <w:rStyle w:val="FootnoteReference"/>
        </w:rPr>
        <w:footnoteRef/>
      </w:r>
      <w:r>
        <w:t xml:space="preserve"> </w:t>
      </w:r>
      <w:r w:rsidRPr="000A5A51">
        <w:rPr>
          <w:rFonts w:ascii="Times New Roman" w:hAnsi="Times New Roman" w:cs="Times New Roman"/>
        </w:rPr>
        <w:t>See Figure 4</w:t>
      </w:r>
    </w:p>
  </w:footnote>
  <w:footnote w:id="64">
    <w:p w14:paraId="3F753D37" w14:textId="67FFE97F" w:rsidR="00B778E5" w:rsidRDefault="00B778E5">
      <w:pPr>
        <w:pStyle w:val="FootnoteText"/>
      </w:pPr>
      <w:r>
        <w:rPr>
          <w:rStyle w:val="FootnoteReference"/>
        </w:rPr>
        <w:footnoteRef/>
      </w:r>
      <w:r>
        <w:t xml:space="preserve"> </w:t>
      </w:r>
      <w:r w:rsidRPr="000A5A51">
        <w:rPr>
          <w:rFonts w:ascii="Times New Roman" w:hAnsi="Times New Roman" w:cs="Times New Roman"/>
        </w:rPr>
        <w:t>Tyldesley 2003: 3</w:t>
      </w:r>
    </w:p>
  </w:footnote>
  <w:footnote w:id="65">
    <w:p w14:paraId="715590D5" w14:textId="7F47195C" w:rsidR="00B778E5" w:rsidRDefault="00B778E5">
      <w:pPr>
        <w:pStyle w:val="FootnoteText"/>
      </w:pPr>
      <w:r>
        <w:rPr>
          <w:rStyle w:val="FootnoteReference"/>
        </w:rPr>
        <w:footnoteRef/>
      </w:r>
      <w:r>
        <w:t xml:space="preserve"> </w:t>
      </w:r>
      <w:r w:rsidRPr="000A5A51">
        <w:rPr>
          <w:rFonts w:ascii="Times New Roman" w:hAnsi="Times New Roman" w:cs="Times New Roman"/>
        </w:rPr>
        <w:t>See Figure 2</w:t>
      </w:r>
    </w:p>
  </w:footnote>
  <w:footnote w:id="66">
    <w:p w14:paraId="56569101" w14:textId="40E0BAEB" w:rsidR="00B778E5" w:rsidRDefault="00B778E5">
      <w:pPr>
        <w:pStyle w:val="FootnoteText"/>
      </w:pPr>
      <w:r>
        <w:rPr>
          <w:rStyle w:val="FootnoteReference"/>
        </w:rPr>
        <w:footnoteRef/>
      </w:r>
      <w:r>
        <w:t xml:space="preserve"> </w:t>
      </w:r>
      <w:r w:rsidRPr="000A5A51">
        <w:rPr>
          <w:rFonts w:ascii="Times New Roman" w:hAnsi="Times New Roman" w:cs="Times New Roman"/>
        </w:rPr>
        <w:t>Tyldesley 2003: 5</w:t>
      </w:r>
    </w:p>
  </w:footnote>
  <w:footnote w:id="67">
    <w:p w14:paraId="2CD9A7EC" w14:textId="0AC1064F" w:rsidR="00B778E5" w:rsidRDefault="00B778E5">
      <w:pPr>
        <w:pStyle w:val="FootnoteText"/>
      </w:pPr>
      <w:r>
        <w:rPr>
          <w:rStyle w:val="FootnoteReference"/>
        </w:rPr>
        <w:footnoteRef/>
      </w:r>
      <w:r>
        <w:t xml:space="preserve"> </w:t>
      </w:r>
      <w:r w:rsidRPr="00A34A9E">
        <w:rPr>
          <w:rFonts w:ascii="Times New Roman" w:hAnsi="Times New Roman" w:cs="Times New Roman"/>
        </w:rPr>
        <w:t>Waterson 1999: 26</w:t>
      </w:r>
    </w:p>
  </w:footnote>
  <w:footnote w:id="68">
    <w:p w14:paraId="6EDFDD68" w14:textId="14C8E945" w:rsidR="00B778E5" w:rsidRDefault="00B778E5">
      <w:pPr>
        <w:pStyle w:val="FootnoteText"/>
      </w:pPr>
      <w:r>
        <w:rPr>
          <w:rStyle w:val="FootnoteReference"/>
        </w:rPr>
        <w:footnoteRef/>
      </w:r>
      <w:r>
        <w:t xml:space="preserve"> </w:t>
      </w:r>
      <w:r w:rsidRPr="00A873A9">
        <w:rPr>
          <w:rFonts w:ascii="Times New Roman" w:hAnsi="Times New Roman" w:cs="Times New Roman"/>
        </w:rPr>
        <w:t>Fletcher 2004: 192</w:t>
      </w:r>
    </w:p>
  </w:footnote>
  <w:footnote w:id="69">
    <w:p w14:paraId="587360AF" w14:textId="6DA2DAB8" w:rsidR="00B778E5" w:rsidRDefault="00B778E5">
      <w:pPr>
        <w:pStyle w:val="FootnoteText"/>
      </w:pPr>
      <w:r>
        <w:rPr>
          <w:rStyle w:val="FootnoteReference"/>
        </w:rPr>
        <w:footnoteRef/>
      </w:r>
      <w:r>
        <w:t xml:space="preserve"> </w:t>
      </w:r>
      <w:r w:rsidRPr="00A873A9">
        <w:rPr>
          <w:rFonts w:ascii="Times New Roman" w:hAnsi="Times New Roman" w:cs="Times New Roman"/>
        </w:rPr>
        <w:t>Seyfried 2012: 190</w:t>
      </w:r>
    </w:p>
  </w:footnote>
  <w:footnote w:id="70">
    <w:p w14:paraId="2B7FA554" w14:textId="057C6A6C" w:rsidR="00B778E5" w:rsidRDefault="00B778E5">
      <w:pPr>
        <w:pStyle w:val="FootnoteText"/>
      </w:pPr>
      <w:r>
        <w:rPr>
          <w:rStyle w:val="FootnoteReference"/>
        </w:rPr>
        <w:footnoteRef/>
      </w:r>
      <w:r>
        <w:t xml:space="preserve"> </w:t>
      </w:r>
      <w:r w:rsidRPr="00E665A1">
        <w:rPr>
          <w:rFonts w:ascii="Times New Roman" w:hAnsi="Times New Roman" w:cs="Times New Roman"/>
        </w:rPr>
        <w:t>Waterson 1999: 72</w:t>
      </w:r>
    </w:p>
  </w:footnote>
  <w:footnote w:id="71">
    <w:p w14:paraId="6218D6A7" w14:textId="5D6FDA1B" w:rsidR="00B778E5" w:rsidRDefault="00B778E5">
      <w:pPr>
        <w:pStyle w:val="FootnoteText"/>
      </w:pPr>
      <w:r>
        <w:rPr>
          <w:rStyle w:val="FootnoteReference"/>
        </w:rPr>
        <w:footnoteRef/>
      </w:r>
      <w:r>
        <w:t xml:space="preserve"> </w:t>
      </w:r>
      <w:r w:rsidRPr="00E665A1">
        <w:rPr>
          <w:rFonts w:ascii="Times New Roman" w:hAnsi="Times New Roman" w:cs="Times New Roman"/>
        </w:rPr>
        <w:t>Fletcher 2004: 268</w:t>
      </w:r>
    </w:p>
  </w:footnote>
  <w:footnote w:id="72">
    <w:p w14:paraId="4DCBF6A6" w14:textId="6A65B5BB" w:rsidR="00B778E5" w:rsidRDefault="00B778E5">
      <w:pPr>
        <w:pStyle w:val="FootnoteText"/>
      </w:pPr>
      <w:r>
        <w:rPr>
          <w:rStyle w:val="FootnoteReference"/>
        </w:rPr>
        <w:footnoteRef/>
      </w:r>
      <w:r>
        <w:t xml:space="preserve"> </w:t>
      </w:r>
      <w:r w:rsidRPr="00AB796B">
        <w:rPr>
          <w:rFonts w:ascii="Times New Roman" w:hAnsi="Times New Roman" w:cs="Times New Roman"/>
        </w:rPr>
        <w:t>Tyldesley 2003: 147</w:t>
      </w:r>
    </w:p>
  </w:footnote>
  <w:footnote w:id="73">
    <w:p w14:paraId="078893E9" w14:textId="7E476C51" w:rsidR="00B778E5" w:rsidRDefault="00B778E5">
      <w:pPr>
        <w:pStyle w:val="FootnoteText"/>
      </w:pPr>
      <w:r>
        <w:rPr>
          <w:rStyle w:val="FootnoteReference"/>
        </w:rPr>
        <w:footnoteRef/>
      </w:r>
      <w:r>
        <w:t xml:space="preserve"> </w:t>
      </w:r>
      <w:r w:rsidRPr="008972AA">
        <w:rPr>
          <w:rFonts w:ascii="Times New Roman" w:hAnsi="Times New Roman" w:cs="Times New Roman"/>
        </w:rPr>
        <w:t>Waterson 1999: 49</w:t>
      </w:r>
    </w:p>
  </w:footnote>
  <w:footnote w:id="74">
    <w:p w14:paraId="78C4BD80" w14:textId="3C9B33DB" w:rsidR="00B778E5" w:rsidRDefault="00B778E5">
      <w:pPr>
        <w:pStyle w:val="FootnoteText"/>
      </w:pPr>
      <w:r>
        <w:rPr>
          <w:rStyle w:val="FootnoteReference"/>
        </w:rPr>
        <w:footnoteRef/>
      </w:r>
      <w:r>
        <w:t xml:space="preserve"> </w:t>
      </w:r>
      <w:r w:rsidRPr="008972AA">
        <w:rPr>
          <w:rFonts w:ascii="Times New Roman" w:hAnsi="Times New Roman" w:cs="Times New Roman"/>
        </w:rPr>
        <w:t>Arnold 1999: 114; 108-114</w:t>
      </w:r>
    </w:p>
  </w:footnote>
  <w:footnote w:id="75">
    <w:p w14:paraId="7BDD0799" w14:textId="3B713460" w:rsidR="00B778E5" w:rsidRDefault="00B778E5">
      <w:pPr>
        <w:pStyle w:val="FootnoteText"/>
      </w:pPr>
      <w:r>
        <w:rPr>
          <w:rStyle w:val="FootnoteReference"/>
        </w:rPr>
        <w:footnoteRef/>
      </w:r>
      <w:r>
        <w:t xml:space="preserve"> </w:t>
      </w:r>
      <w:r w:rsidRPr="008972AA">
        <w:rPr>
          <w:rFonts w:ascii="Times New Roman" w:hAnsi="Times New Roman" w:cs="Times New Roman"/>
        </w:rPr>
        <w:t>Fletcher 2004: 314</w:t>
      </w:r>
    </w:p>
  </w:footnote>
  <w:footnote w:id="76">
    <w:p w14:paraId="57FE6385" w14:textId="52FF2FCB" w:rsidR="00B778E5" w:rsidRDefault="00B778E5">
      <w:pPr>
        <w:pStyle w:val="FootnoteText"/>
      </w:pPr>
      <w:r>
        <w:rPr>
          <w:rStyle w:val="FootnoteReference"/>
        </w:rPr>
        <w:footnoteRef/>
      </w:r>
      <w:r>
        <w:t xml:space="preserve"> </w:t>
      </w:r>
      <w:r w:rsidRPr="008972AA">
        <w:rPr>
          <w:rFonts w:ascii="Times New Roman" w:hAnsi="Times New Roman" w:cs="Times New Roman"/>
        </w:rPr>
        <w:t>Tyldesley 20003: 142-143</w:t>
      </w:r>
    </w:p>
  </w:footnote>
  <w:footnote w:id="77">
    <w:p w14:paraId="7C11D1D7" w14:textId="26B6213A" w:rsidR="00B778E5" w:rsidRDefault="00B778E5">
      <w:pPr>
        <w:pStyle w:val="FootnoteText"/>
      </w:pPr>
      <w:r>
        <w:rPr>
          <w:rStyle w:val="FootnoteReference"/>
        </w:rPr>
        <w:footnoteRef/>
      </w:r>
      <w:r>
        <w:t xml:space="preserve"> </w:t>
      </w:r>
      <w:r w:rsidRPr="001927A4">
        <w:rPr>
          <w:rFonts w:ascii="Times New Roman" w:hAnsi="Times New Roman" w:cs="Times New Roman"/>
        </w:rPr>
        <w:t>Van der Perre 2012: 196</w:t>
      </w:r>
    </w:p>
  </w:footnote>
  <w:footnote w:id="78">
    <w:p w14:paraId="4FBE6502" w14:textId="669A39EA" w:rsidR="00B778E5" w:rsidRDefault="00B778E5">
      <w:pPr>
        <w:pStyle w:val="FootnoteText"/>
      </w:pPr>
      <w:r>
        <w:rPr>
          <w:rStyle w:val="FootnoteReference"/>
        </w:rPr>
        <w:footnoteRef/>
      </w:r>
      <w:r>
        <w:t xml:space="preserve"> </w:t>
      </w:r>
      <w:r w:rsidRPr="002E7927">
        <w:rPr>
          <w:rFonts w:ascii="Times New Roman" w:hAnsi="Times New Roman" w:cs="Times New Roman"/>
        </w:rPr>
        <w:t>Robins 2007: 165</w:t>
      </w:r>
    </w:p>
  </w:footnote>
  <w:footnote w:id="79">
    <w:p w14:paraId="659954E3" w14:textId="2DB74120" w:rsidR="00B778E5" w:rsidRDefault="00B778E5">
      <w:pPr>
        <w:pStyle w:val="FootnoteText"/>
      </w:pPr>
      <w:r>
        <w:rPr>
          <w:rStyle w:val="FootnoteReference"/>
        </w:rPr>
        <w:footnoteRef/>
      </w:r>
      <w:r>
        <w:t xml:space="preserve"> </w:t>
      </w:r>
      <w:r w:rsidRPr="00D75551">
        <w:rPr>
          <w:rFonts w:ascii="Times New Roman" w:hAnsi="Times New Roman" w:cs="Times New Roman"/>
        </w:rPr>
        <w:t>Dodson 2009: 138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DF5BF2"/>
    <w:multiLevelType w:val="hybridMultilevel"/>
    <w:tmpl w:val="48FC5C8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B37C72"/>
    <w:multiLevelType w:val="hybridMultilevel"/>
    <w:tmpl w:val="0E0EB2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910093"/>
    <w:multiLevelType w:val="hybridMultilevel"/>
    <w:tmpl w:val="66683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8C04DB"/>
    <w:multiLevelType w:val="hybridMultilevel"/>
    <w:tmpl w:val="D3782266"/>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B9D"/>
    <w:rsid w:val="000215EE"/>
    <w:rsid w:val="000415F3"/>
    <w:rsid w:val="00063A9A"/>
    <w:rsid w:val="00070692"/>
    <w:rsid w:val="00081E9B"/>
    <w:rsid w:val="0008579D"/>
    <w:rsid w:val="000A137A"/>
    <w:rsid w:val="000A2B7A"/>
    <w:rsid w:val="000A5A51"/>
    <w:rsid w:val="000D343C"/>
    <w:rsid w:val="000F1BB0"/>
    <w:rsid w:val="0010014C"/>
    <w:rsid w:val="001009F4"/>
    <w:rsid w:val="00107967"/>
    <w:rsid w:val="00143ED2"/>
    <w:rsid w:val="00167A2A"/>
    <w:rsid w:val="001927A4"/>
    <w:rsid w:val="00196167"/>
    <w:rsid w:val="001C3941"/>
    <w:rsid w:val="001E7867"/>
    <w:rsid w:val="00204D8E"/>
    <w:rsid w:val="00235B27"/>
    <w:rsid w:val="002448C6"/>
    <w:rsid w:val="002569B4"/>
    <w:rsid w:val="00290994"/>
    <w:rsid w:val="00291CD5"/>
    <w:rsid w:val="002B6C2A"/>
    <w:rsid w:val="002D5846"/>
    <w:rsid w:val="002E7927"/>
    <w:rsid w:val="002F3559"/>
    <w:rsid w:val="002F733A"/>
    <w:rsid w:val="003230AE"/>
    <w:rsid w:val="00352449"/>
    <w:rsid w:val="003672D3"/>
    <w:rsid w:val="00386C32"/>
    <w:rsid w:val="003A08FF"/>
    <w:rsid w:val="003C3B26"/>
    <w:rsid w:val="003D23D0"/>
    <w:rsid w:val="003D5DB0"/>
    <w:rsid w:val="003E57DA"/>
    <w:rsid w:val="0041625C"/>
    <w:rsid w:val="00437F8B"/>
    <w:rsid w:val="00450A0E"/>
    <w:rsid w:val="00486D7E"/>
    <w:rsid w:val="0049498E"/>
    <w:rsid w:val="00497802"/>
    <w:rsid w:val="004A6077"/>
    <w:rsid w:val="004E677D"/>
    <w:rsid w:val="004F2DFF"/>
    <w:rsid w:val="00505D9B"/>
    <w:rsid w:val="005071BE"/>
    <w:rsid w:val="005226AE"/>
    <w:rsid w:val="005328EA"/>
    <w:rsid w:val="00533C40"/>
    <w:rsid w:val="00550FD1"/>
    <w:rsid w:val="00575EBC"/>
    <w:rsid w:val="0058007B"/>
    <w:rsid w:val="0058133D"/>
    <w:rsid w:val="00584370"/>
    <w:rsid w:val="005C38CA"/>
    <w:rsid w:val="005F0A7F"/>
    <w:rsid w:val="005F74AA"/>
    <w:rsid w:val="00634F4E"/>
    <w:rsid w:val="006414A7"/>
    <w:rsid w:val="00650BA4"/>
    <w:rsid w:val="00652F1E"/>
    <w:rsid w:val="00656636"/>
    <w:rsid w:val="00656834"/>
    <w:rsid w:val="00680395"/>
    <w:rsid w:val="00680CCD"/>
    <w:rsid w:val="00683B64"/>
    <w:rsid w:val="006C7A83"/>
    <w:rsid w:val="006D3C4F"/>
    <w:rsid w:val="006E2CCA"/>
    <w:rsid w:val="006F22D2"/>
    <w:rsid w:val="006F39B6"/>
    <w:rsid w:val="006F7CAD"/>
    <w:rsid w:val="0071497D"/>
    <w:rsid w:val="007222B6"/>
    <w:rsid w:val="007234DE"/>
    <w:rsid w:val="00745B9D"/>
    <w:rsid w:val="00747262"/>
    <w:rsid w:val="007769E7"/>
    <w:rsid w:val="007931F0"/>
    <w:rsid w:val="00795FF5"/>
    <w:rsid w:val="007A4DEA"/>
    <w:rsid w:val="007B06BF"/>
    <w:rsid w:val="007E62DB"/>
    <w:rsid w:val="007F6877"/>
    <w:rsid w:val="008022DC"/>
    <w:rsid w:val="00830A63"/>
    <w:rsid w:val="00852D05"/>
    <w:rsid w:val="00864751"/>
    <w:rsid w:val="00866061"/>
    <w:rsid w:val="008801F9"/>
    <w:rsid w:val="00895966"/>
    <w:rsid w:val="008972AA"/>
    <w:rsid w:val="008A474E"/>
    <w:rsid w:val="008C55AE"/>
    <w:rsid w:val="008D475F"/>
    <w:rsid w:val="009100D5"/>
    <w:rsid w:val="00924017"/>
    <w:rsid w:val="00932A9B"/>
    <w:rsid w:val="00940CB7"/>
    <w:rsid w:val="00944B84"/>
    <w:rsid w:val="00945B70"/>
    <w:rsid w:val="0095311B"/>
    <w:rsid w:val="0096201F"/>
    <w:rsid w:val="009679FD"/>
    <w:rsid w:val="009725C8"/>
    <w:rsid w:val="009C48EE"/>
    <w:rsid w:val="009D374C"/>
    <w:rsid w:val="009D44A3"/>
    <w:rsid w:val="009E52AD"/>
    <w:rsid w:val="00A0305C"/>
    <w:rsid w:val="00A21C77"/>
    <w:rsid w:val="00A30FB7"/>
    <w:rsid w:val="00A34A9E"/>
    <w:rsid w:val="00A75155"/>
    <w:rsid w:val="00A77A78"/>
    <w:rsid w:val="00A84338"/>
    <w:rsid w:val="00A873A9"/>
    <w:rsid w:val="00A9256D"/>
    <w:rsid w:val="00AB796B"/>
    <w:rsid w:val="00AD266B"/>
    <w:rsid w:val="00B04A0E"/>
    <w:rsid w:val="00B43EE0"/>
    <w:rsid w:val="00B46A45"/>
    <w:rsid w:val="00B51FCC"/>
    <w:rsid w:val="00B61EAB"/>
    <w:rsid w:val="00B76FE3"/>
    <w:rsid w:val="00B778E5"/>
    <w:rsid w:val="00B873B4"/>
    <w:rsid w:val="00BB11DE"/>
    <w:rsid w:val="00BC0227"/>
    <w:rsid w:val="00BD7110"/>
    <w:rsid w:val="00BE2A57"/>
    <w:rsid w:val="00BE2C04"/>
    <w:rsid w:val="00C36297"/>
    <w:rsid w:val="00C4031F"/>
    <w:rsid w:val="00C52F6E"/>
    <w:rsid w:val="00C77EEA"/>
    <w:rsid w:val="00C80359"/>
    <w:rsid w:val="00C81B23"/>
    <w:rsid w:val="00C95837"/>
    <w:rsid w:val="00CA11A6"/>
    <w:rsid w:val="00CD73D6"/>
    <w:rsid w:val="00CF7CFE"/>
    <w:rsid w:val="00D05904"/>
    <w:rsid w:val="00D213B9"/>
    <w:rsid w:val="00D3442A"/>
    <w:rsid w:val="00D41458"/>
    <w:rsid w:val="00D56192"/>
    <w:rsid w:val="00D66A6C"/>
    <w:rsid w:val="00D75551"/>
    <w:rsid w:val="00DA3B8E"/>
    <w:rsid w:val="00DB387C"/>
    <w:rsid w:val="00DB7E48"/>
    <w:rsid w:val="00E0302F"/>
    <w:rsid w:val="00E11661"/>
    <w:rsid w:val="00E665A1"/>
    <w:rsid w:val="00E846C1"/>
    <w:rsid w:val="00EA01AE"/>
    <w:rsid w:val="00EA624E"/>
    <w:rsid w:val="00F02859"/>
    <w:rsid w:val="00F047F8"/>
    <w:rsid w:val="00F1634B"/>
    <w:rsid w:val="00F26153"/>
    <w:rsid w:val="00F27B9E"/>
    <w:rsid w:val="00F40376"/>
    <w:rsid w:val="00F43025"/>
    <w:rsid w:val="00F55E27"/>
    <w:rsid w:val="00F64D60"/>
    <w:rsid w:val="00F657D6"/>
    <w:rsid w:val="00F65856"/>
    <w:rsid w:val="00F8419B"/>
    <w:rsid w:val="00F90B73"/>
    <w:rsid w:val="00FA0F68"/>
    <w:rsid w:val="00FA6D91"/>
    <w:rsid w:val="00FD26B3"/>
    <w:rsid w:val="00FD5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93601A"/>
  <w15:chartTrackingRefBased/>
  <w15:docId w15:val="{0EBE6856-DA63-4887-B828-06B8501E0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ind w:right="-335"/>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A6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5B9D"/>
    <w:pPr>
      <w:ind w:right="0"/>
    </w:pPr>
    <w:rPr>
      <w:rFonts w:eastAsiaTheme="minorEastAsia"/>
      <w:lang w:val="en-US"/>
    </w:rPr>
  </w:style>
  <w:style w:type="character" w:customStyle="1" w:styleId="NoSpacingChar">
    <w:name w:val="No Spacing Char"/>
    <w:basedOn w:val="DefaultParagraphFont"/>
    <w:link w:val="NoSpacing"/>
    <w:uiPriority w:val="1"/>
    <w:rsid w:val="00745B9D"/>
    <w:rPr>
      <w:rFonts w:eastAsiaTheme="minorEastAsia"/>
      <w:lang w:val="en-US"/>
    </w:rPr>
  </w:style>
  <w:style w:type="paragraph" w:styleId="Header">
    <w:name w:val="header"/>
    <w:basedOn w:val="Normal"/>
    <w:link w:val="HeaderChar"/>
    <w:uiPriority w:val="99"/>
    <w:unhideWhenUsed/>
    <w:rsid w:val="005C38CA"/>
    <w:pPr>
      <w:tabs>
        <w:tab w:val="center" w:pos="4513"/>
        <w:tab w:val="right" w:pos="9026"/>
      </w:tabs>
    </w:pPr>
  </w:style>
  <w:style w:type="character" w:customStyle="1" w:styleId="HeaderChar">
    <w:name w:val="Header Char"/>
    <w:basedOn w:val="DefaultParagraphFont"/>
    <w:link w:val="Header"/>
    <w:uiPriority w:val="99"/>
    <w:rsid w:val="005C38CA"/>
  </w:style>
  <w:style w:type="paragraph" w:styleId="Footer">
    <w:name w:val="footer"/>
    <w:basedOn w:val="Normal"/>
    <w:link w:val="FooterChar"/>
    <w:uiPriority w:val="99"/>
    <w:unhideWhenUsed/>
    <w:rsid w:val="005C38CA"/>
    <w:pPr>
      <w:tabs>
        <w:tab w:val="center" w:pos="4513"/>
        <w:tab w:val="right" w:pos="9026"/>
      </w:tabs>
    </w:pPr>
  </w:style>
  <w:style w:type="character" w:customStyle="1" w:styleId="FooterChar">
    <w:name w:val="Footer Char"/>
    <w:basedOn w:val="DefaultParagraphFont"/>
    <w:link w:val="Footer"/>
    <w:uiPriority w:val="99"/>
    <w:rsid w:val="005C38CA"/>
  </w:style>
  <w:style w:type="character" w:customStyle="1" w:styleId="Heading1Char">
    <w:name w:val="Heading 1 Char"/>
    <w:basedOn w:val="DefaultParagraphFont"/>
    <w:link w:val="Heading1"/>
    <w:uiPriority w:val="9"/>
    <w:rsid w:val="00830A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0A63"/>
    <w:pPr>
      <w:spacing w:line="259" w:lineRule="auto"/>
      <w:ind w:right="0"/>
      <w:outlineLvl w:val="9"/>
    </w:pPr>
    <w:rPr>
      <w:lang w:val="en-US"/>
    </w:rPr>
  </w:style>
  <w:style w:type="paragraph" w:styleId="Title">
    <w:name w:val="Title"/>
    <w:basedOn w:val="Normal"/>
    <w:next w:val="Normal"/>
    <w:link w:val="TitleChar"/>
    <w:uiPriority w:val="10"/>
    <w:qFormat/>
    <w:rsid w:val="00F2615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6153"/>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F26153"/>
    <w:pPr>
      <w:spacing w:after="100"/>
    </w:pPr>
  </w:style>
  <w:style w:type="character" w:styleId="Hyperlink">
    <w:name w:val="Hyperlink"/>
    <w:basedOn w:val="DefaultParagraphFont"/>
    <w:uiPriority w:val="99"/>
    <w:unhideWhenUsed/>
    <w:rsid w:val="00F26153"/>
    <w:rPr>
      <w:color w:val="0563C1" w:themeColor="hyperlink"/>
      <w:u w:val="single"/>
    </w:rPr>
  </w:style>
  <w:style w:type="paragraph" w:styleId="FootnoteText">
    <w:name w:val="footnote text"/>
    <w:basedOn w:val="Normal"/>
    <w:link w:val="FootnoteTextChar"/>
    <w:uiPriority w:val="99"/>
    <w:semiHidden/>
    <w:unhideWhenUsed/>
    <w:rsid w:val="00E846C1"/>
    <w:rPr>
      <w:sz w:val="20"/>
      <w:szCs w:val="20"/>
    </w:rPr>
  </w:style>
  <w:style w:type="character" w:customStyle="1" w:styleId="FootnoteTextChar">
    <w:name w:val="Footnote Text Char"/>
    <w:basedOn w:val="DefaultParagraphFont"/>
    <w:link w:val="FootnoteText"/>
    <w:uiPriority w:val="99"/>
    <w:semiHidden/>
    <w:rsid w:val="00E846C1"/>
    <w:rPr>
      <w:sz w:val="20"/>
      <w:szCs w:val="20"/>
    </w:rPr>
  </w:style>
  <w:style w:type="character" w:styleId="FootnoteReference">
    <w:name w:val="footnote reference"/>
    <w:basedOn w:val="DefaultParagraphFont"/>
    <w:uiPriority w:val="99"/>
    <w:semiHidden/>
    <w:unhideWhenUsed/>
    <w:rsid w:val="00E846C1"/>
    <w:rPr>
      <w:vertAlign w:val="superscript"/>
    </w:rPr>
  </w:style>
  <w:style w:type="paragraph" w:styleId="Caption">
    <w:name w:val="caption"/>
    <w:basedOn w:val="Normal"/>
    <w:next w:val="Normal"/>
    <w:uiPriority w:val="35"/>
    <w:unhideWhenUsed/>
    <w:qFormat/>
    <w:rsid w:val="00D05904"/>
    <w:pPr>
      <w:spacing w:after="200"/>
    </w:pPr>
    <w:rPr>
      <w:i/>
      <w:iCs/>
      <w:color w:val="44546A" w:themeColor="text2"/>
      <w:sz w:val="18"/>
      <w:szCs w:val="18"/>
    </w:rPr>
  </w:style>
  <w:style w:type="paragraph" w:styleId="ListParagraph">
    <w:name w:val="List Paragraph"/>
    <w:basedOn w:val="Normal"/>
    <w:uiPriority w:val="34"/>
    <w:qFormat/>
    <w:rsid w:val="00B51FCC"/>
    <w:pPr>
      <w:ind w:left="720"/>
      <w:contextualSpacing/>
    </w:pPr>
  </w:style>
  <w:style w:type="character" w:styleId="UnresolvedMention">
    <w:name w:val="Unresolved Mention"/>
    <w:basedOn w:val="DefaultParagraphFont"/>
    <w:uiPriority w:val="99"/>
    <w:semiHidden/>
    <w:unhideWhenUsed/>
    <w:rsid w:val="0049780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archive.archaeology.org/online/interviews/kemp.html"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www.smbdigital.de/eMuseumPlus?service=direct/1/ResultLightboxView/result.t1.collection_lightbox.$TspTitleImageLink.link&amp;sp=10&amp;sp=Scollection&amp;sp=SfilterDefinition&amp;sp=0&amp;sp=0&amp;sp=1&amp;sp=Slightbox_3x4&amp;sp=0&amp;sp=Sdetail&amp;sp=0&amp;sp=F&amp;sp=T&amp;sp=8"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en.wikipedia.org/wiki/Meryre_II"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www.globalegyptianmuseum.or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metmuseum.org/art/collection/search/544058"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www.smb-digital.de/eMuseumPlus?service=direct/1/ResultLightboxView/result.t1.collection_lightbox.$TspTitleImageLink.link&amp;sp=10&amp;sp=Scollection&amp;sp=SfieldValue&amp;sp=0&amp;sp=0&amp;sp=3&amp;sp=Slightbox_3x4&amp;sp=36&amp;sp=Sdetail&amp;sp=0&amp;sp=F&amp;sp=T&amp;sp=37"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www.amarnaprojec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www.smbdigital.de/eMuseumPlus?service=direct/1/ResultLightboxView/result.t2.collection_lightbox.$TspTitleLink.link&amp;sp=10&amp;sp=Scollection&amp;sp=SfieldValue&amp;sp=0&amp;sp=0&amp;sp=3&amp;sp=Slightbox_3x4&amp;sp=0&amp;sp=Sdetail&amp;sp=0&amp;sp=F&amp;sp=T&amp;sp=3"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2F8CAE67E974F4486C1D0327A41C680"/>
        <w:category>
          <w:name w:val="General"/>
          <w:gallery w:val="placeholder"/>
        </w:category>
        <w:types>
          <w:type w:val="bbPlcHdr"/>
        </w:types>
        <w:behaviors>
          <w:behavior w:val="content"/>
        </w:behaviors>
        <w:guid w:val="{D4195D8F-AE4C-4689-9FC4-500C23DD92E9}"/>
      </w:docPartPr>
      <w:docPartBody>
        <w:p w:rsidR="00857D3B" w:rsidRDefault="00857D3B" w:rsidP="00857D3B">
          <w:pPr>
            <w:pStyle w:val="62F8CAE67E974F4486C1D0327A41C680"/>
          </w:pPr>
          <w:r>
            <w:rPr>
              <w:rFonts w:asciiTheme="majorHAnsi" w:eastAsiaTheme="majorEastAsia" w:hAnsiTheme="majorHAnsi" w:cstheme="majorBidi"/>
              <w:caps/>
              <w:color w:val="4472C4" w:themeColor="accent1"/>
              <w:sz w:val="80"/>
              <w:szCs w:val="80"/>
            </w:rPr>
            <w:t>[Document title]</w:t>
          </w:r>
        </w:p>
      </w:docPartBody>
    </w:docPart>
    <w:docPart>
      <w:docPartPr>
        <w:name w:val="5A3BD2477E804120890B578E2B7F4199"/>
        <w:category>
          <w:name w:val="General"/>
          <w:gallery w:val="placeholder"/>
        </w:category>
        <w:types>
          <w:type w:val="bbPlcHdr"/>
        </w:types>
        <w:behaviors>
          <w:behavior w:val="content"/>
        </w:behaviors>
        <w:guid w:val="{06C8C61E-0538-4F7D-9FC4-6BB5B13DE773}"/>
      </w:docPartPr>
      <w:docPartBody>
        <w:p w:rsidR="00857D3B" w:rsidRDefault="00857D3B" w:rsidP="00857D3B">
          <w:pPr>
            <w:pStyle w:val="5A3BD2477E804120890B578E2B7F419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D3B"/>
    <w:rsid w:val="00857D3B"/>
    <w:rsid w:val="008C3E89"/>
    <w:rsid w:val="00E251DC"/>
    <w:rsid w:val="00E37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F8CAE67E974F4486C1D0327A41C680">
    <w:name w:val="62F8CAE67E974F4486C1D0327A41C680"/>
    <w:rsid w:val="00857D3B"/>
  </w:style>
  <w:style w:type="paragraph" w:customStyle="1" w:styleId="5A3BD2477E804120890B578E2B7F4199">
    <w:name w:val="5A3BD2477E804120890B578E2B7F4199"/>
    <w:rsid w:val="00857D3B"/>
  </w:style>
  <w:style w:type="paragraph" w:customStyle="1" w:styleId="5A67775A62694435B1746BF748B61FC0">
    <w:name w:val="5A67775A62694435B1746BF748B61FC0"/>
    <w:rsid w:val="00857D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2018-05-01T00:00:00</PublishDate>
  <Abstract/>
  <CompanyAddress>Dissertation submitted in partial fulfillment of a B.A (Hons) in Classical Studies with Ancient Egyptian Culture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8243EB-0967-475A-9EA0-E9DB2234D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TotalTime>
  <Pages>51</Pages>
  <Words>14261</Words>
  <Characters>81288</Characters>
  <Application>Microsoft Office Word</Application>
  <DocSecurity>0</DocSecurity>
  <Lines>677</Lines>
  <Paragraphs>190</Paragraphs>
  <ScaleCrop>false</ScaleCrop>
  <HeadingPairs>
    <vt:vector size="2" baseType="variant">
      <vt:variant>
        <vt:lpstr>Title</vt:lpstr>
      </vt:variant>
      <vt:variant>
        <vt:i4>1</vt:i4>
      </vt:variant>
    </vt:vector>
  </HeadingPairs>
  <TitlesOfParts>
    <vt:vector size="1" baseType="lpstr">
      <vt:lpstr>Praise the Aten: how revolutionary was the amarna period?</vt:lpstr>
    </vt:vector>
  </TitlesOfParts>
  <Company>University of wales trinity st david</Company>
  <LinksUpToDate>false</LinksUpToDate>
  <CharactersWithSpaces>95359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Praise the Aten: how revolutionary was the amarna period?</dc:title>
  <dc:subject>By Lauren Bird-Hall (1500137)</dc:subject>
  <dc:creator>Lauren Hall</dc:creator>
  <cp:keywords/>
  <dc:description/>
  <cp:lastModifiedBy>Lauren Hall</cp:lastModifiedBy>
  <cp:revision>111</cp:revision>
  <dcterms:created xsi:type="dcterms:W3CDTF">2018-05-08T09:19:00Z</dcterms:created>
  <dcterms:modified xsi:type="dcterms:W3CDTF">2018-05-09T08:21:00Z</dcterms:modified>
</cp:coreProperties>
</file>