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ind w:left="720" w:firstLine="0"/>
        <w:jc w:val="center"/>
        <w:rPr>
          <w:rFonts w:ascii="Times New Roman" w:cs="Times New Roman" w:eastAsia="Times New Roman" w:hAnsi="Times New Roman"/>
        </w:rPr>
      </w:pPr>
      <w:bookmarkStart w:colFirst="0" w:colLast="0" w:name="_x6sdgp9mev6s" w:id="0"/>
      <w:bookmarkEnd w:id="0"/>
      <w:r w:rsidDel="00000000" w:rsidR="00000000" w:rsidRPr="00000000">
        <w:rPr>
          <w:rFonts w:ascii="Times New Roman" w:cs="Times New Roman" w:eastAsia="Times New Roman" w:hAnsi="Times New Roman"/>
          <w:rtl w:val="0"/>
        </w:rPr>
        <w:t xml:space="preserve">Psalter–Hours of Yolande de Soissons</w:t>
      </w:r>
    </w:p>
    <w:p w:rsidR="00000000" w:rsidDel="00000000" w:rsidP="00000000" w:rsidRDefault="00000000" w:rsidRPr="00000000" w14:paraId="00000002">
      <w:pPr>
        <w:rPr>
          <w:color w:val="333333"/>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-685799</wp:posOffset>
            </wp:positionH>
            <wp:positionV relativeFrom="paragraph">
              <wp:posOffset>114964</wp:posOffset>
            </wp:positionV>
            <wp:extent cx="2290763" cy="3287918"/>
            <wp:effectExtent b="0" l="0" r="0" t="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290763" cy="3287918"/>
                    </a:xfrm>
                    <a:prstGeom prst="rect"/>
                    <a:ln/>
                  </pic:spPr>
                </pic:pic>
              </a:graphicData>
            </a:graphic>
          </wp:anchor>
        </w:drawing>
      </w:r>
    </w:p>
    <w:p w:rsidR="00000000" w:rsidDel="00000000" w:rsidP="00000000" w:rsidRDefault="00000000" w:rsidRPr="00000000" w14:paraId="0000000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image presented is a manuscript illumination from the Psalter–Hours of Yolande de Soissons</w:t>
      </w:r>
    </w:p>
    <w:p w:rsidR="00000000" w:rsidDel="00000000" w:rsidP="00000000" w:rsidRDefault="00000000" w:rsidRPr="00000000" w14:paraId="0000000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book written in France estimated between 1280 and 1299.</w:t>
      </w:r>
      <w:r w:rsidDel="00000000" w:rsidR="00000000" w:rsidRPr="00000000">
        <w:rPr>
          <w:rFonts w:ascii="Georgia" w:cs="Georgia" w:eastAsia="Georgia" w:hAnsi="Georgia"/>
          <w:sz w:val="24"/>
          <w:szCs w:val="24"/>
          <w:vertAlign w:val="superscript"/>
        </w:rPr>
        <w:footnoteReference w:customMarkFollows="0" w:id="0"/>
      </w:r>
      <w:r w:rsidDel="00000000" w:rsidR="00000000" w:rsidRPr="00000000">
        <w:rPr>
          <w:rFonts w:ascii="Georgia" w:cs="Georgia" w:eastAsia="Georgia" w:hAnsi="Georgia"/>
          <w:sz w:val="24"/>
          <w:szCs w:val="24"/>
          <w:rtl w:val="0"/>
        </w:rPr>
        <w:t xml:space="preserve"> It's clear the image is a representation of Christ's death on the cross, however looking more deeply at the image there are many symbols and hidden messages that can help us gather a deeper understanding of the Christian religion in the Medieval period, specifically the late 13th century. Images like this one, are often found in manuscripts, it serves to inspire, and spiritually connect the medieval viewers to the Bible and Christ himself. Furthermore it was also a useful tool as a large portion of the audience may have been illiterate.  By analysing the symbolism, stylistic elements and historical context of this artwork, this essay will explore the religious meanings embedded within the illustration. </w:t>
      </w:r>
    </w:p>
    <w:p w:rsidR="00000000" w:rsidDel="00000000" w:rsidP="00000000" w:rsidRDefault="00000000" w:rsidRPr="00000000" w14:paraId="0000000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6">
      <w:pPr>
        <w:rPr>
          <w:rFonts w:ascii="Georgia" w:cs="Georgia" w:eastAsia="Georgia" w:hAnsi="Georgia"/>
          <w:sz w:val="24"/>
          <w:szCs w:val="24"/>
          <w:highlight w:val="white"/>
        </w:rPr>
      </w:pPr>
      <w:r w:rsidDel="00000000" w:rsidR="00000000" w:rsidRPr="00000000">
        <w:rPr>
          <w:rFonts w:ascii="Georgia" w:cs="Georgia" w:eastAsia="Georgia" w:hAnsi="Georgia"/>
          <w:sz w:val="24"/>
          <w:szCs w:val="24"/>
          <w:rtl w:val="0"/>
        </w:rPr>
        <w:t xml:space="preserve">The crucifixion of Christ is one of the most powerful and central symbols in christianity, representing themes of sacrifice, redemption and hope of eternal life. “The figures are tall and slender and without solidity. The poses and gestures are unnatural, but are designed to express emotion… the Virgin Mary turns away from the cross in grief.”</w:t>
      </w:r>
      <w:r w:rsidDel="00000000" w:rsidR="00000000" w:rsidRPr="00000000">
        <w:rPr>
          <w:rFonts w:ascii="Georgia" w:cs="Georgia" w:eastAsia="Georgia" w:hAnsi="Georgia"/>
          <w:sz w:val="24"/>
          <w:szCs w:val="24"/>
          <w:vertAlign w:val="superscript"/>
        </w:rPr>
        <w:footnoteReference w:customMarkFollows="0" w:id="1"/>
      </w:r>
      <w:r w:rsidDel="00000000" w:rsidR="00000000" w:rsidRPr="00000000">
        <w:rPr>
          <w:rFonts w:ascii="Georgia" w:cs="Georgia" w:eastAsia="Georgia" w:hAnsi="Georgia"/>
          <w:sz w:val="24"/>
          <w:szCs w:val="24"/>
          <w:rtl w:val="0"/>
        </w:rPr>
        <w:t xml:space="preserve"> The tree behind Christ is sometimes referred to as the “tree of life” or “tree of Jesse”. In simple terms, “t</w:t>
      </w:r>
      <w:r w:rsidDel="00000000" w:rsidR="00000000" w:rsidRPr="00000000">
        <w:rPr>
          <w:rFonts w:ascii="Georgia" w:cs="Georgia" w:eastAsia="Georgia" w:hAnsi="Georgia"/>
          <w:sz w:val="24"/>
          <w:szCs w:val="24"/>
          <w:rtl w:val="0"/>
        </w:rPr>
        <w:t xml:space="preserve">he Tree of Life represents the divine connection between God and humanity”</w:t>
      </w:r>
      <w:r w:rsidDel="00000000" w:rsidR="00000000" w:rsidRPr="00000000">
        <w:rPr>
          <w:rFonts w:ascii="Georgia" w:cs="Georgia" w:eastAsia="Georgia" w:hAnsi="Georgia"/>
          <w:sz w:val="24"/>
          <w:szCs w:val="24"/>
          <w:vertAlign w:val="superscript"/>
        </w:rPr>
        <w:footnoteReference w:customMarkFollows="0" w:id="2"/>
      </w:r>
      <w:r w:rsidDel="00000000" w:rsidR="00000000" w:rsidRPr="00000000">
        <w:rPr>
          <w:rFonts w:ascii="Georgia" w:cs="Georgia" w:eastAsia="Georgia" w:hAnsi="Georgia"/>
          <w:sz w:val="24"/>
          <w:szCs w:val="24"/>
          <w:rtl w:val="0"/>
        </w:rPr>
        <w:t xml:space="preserve">. In the bible, the tree first appears in the Garden of Eden, representing eternal life. The tree of Life is then restored through Christ , whose sacrifice on the cross grants believers access to eternal life through Heaven. In medieval art, like the one from Psalter-Hours, this idea is pictured visually by merging the cross and the tree imagery. Another symbol pictured in this piece, is the pelican placed above Jesus.  The symbolism of the pelican is rooted in an ancient legend, “t</w:t>
      </w:r>
      <w:r w:rsidDel="00000000" w:rsidR="00000000" w:rsidRPr="00000000">
        <w:rPr>
          <w:rFonts w:ascii="Georgia" w:cs="Georgia" w:eastAsia="Georgia" w:hAnsi="Georgia"/>
          <w:sz w:val="24"/>
          <w:szCs w:val="24"/>
          <w:highlight w:val="white"/>
          <w:rtl w:val="0"/>
        </w:rPr>
        <w:t xml:space="preserve">he mother pelican wounded herself, striking her breast with the beak to feed her young with her blood to prevent starvation”</w:t>
      </w:r>
      <w:r w:rsidDel="00000000" w:rsidR="00000000" w:rsidRPr="00000000">
        <w:rPr>
          <w:rFonts w:ascii="Georgia" w:cs="Georgia" w:eastAsia="Georgia" w:hAnsi="Georgia"/>
          <w:sz w:val="24"/>
          <w:szCs w:val="24"/>
          <w:highlight w:val="white"/>
          <w:vertAlign w:val="superscript"/>
        </w:rPr>
        <w:footnoteReference w:customMarkFollows="0" w:id="3"/>
      </w:r>
      <w:r w:rsidDel="00000000" w:rsidR="00000000" w:rsidRPr="00000000">
        <w:rPr>
          <w:rFonts w:ascii="Georgia" w:cs="Georgia" w:eastAsia="Georgia" w:hAnsi="Georgia"/>
          <w:sz w:val="24"/>
          <w:szCs w:val="24"/>
          <w:highlight w:val="white"/>
          <w:rtl w:val="0"/>
        </w:rPr>
        <w:t xml:space="preserve">. The pelican is often linked to Jesus as a symbol of sacrifice for humanity, it is  also linked to Holy Communion where bread and wine symbolises the body and blood of Christ which is evoked by the pelican imagery and story. In this piece the pelican is depicted with its beak piercing its breast, with drops of bloody falling, again to represent this symbol of sacrifice. </w:t>
      </w:r>
      <w:r w:rsidDel="00000000" w:rsidR="00000000" w:rsidRPr="00000000">
        <w:drawing>
          <wp:anchor allowOverlap="1" behindDoc="0" distB="114300" distT="114300" distL="114300" distR="114300" hidden="0" layoutInCell="1" locked="0" relativeHeight="0" simplePos="0">
            <wp:simplePos x="0" y="0"/>
            <wp:positionH relativeFrom="column">
              <wp:posOffset>4124325</wp:posOffset>
            </wp:positionH>
            <wp:positionV relativeFrom="paragraph">
              <wp:posOffset>2057400</wp:posOffset>
            </wp:positionV>
            <wp:extent cx="1912990" cy="1609711"/>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7"/>
                    <a:srcRect b="66411" l="31120" r="34854" t="13477"/>
                    <a:stretch>
                      <a:fillRect/>
                    </a:stretch>
                  </pic:blipFill>
                  <pic:spPr>
                    <a:xfrm>
                      <a:off x="0" y="0"/>
                      <a:ext cx="1912990" cy="1609711"/>
                    </a:xfrm>
                    <a:prstGeom prst="rect"/>
                    <a:ln/>
                  </pic:spPr>
                </pic:pic>
              </a:graphicData>
            </a:graphic>
          </wp:anchor>
        </w:drawing>
      </w:r>
    </w:p>
    <w:p w:rsidR="00000000" w:rsidDel="00000000" w:rsidP="00000000" w:rsidRDefault="00000000" w:rsidRPr="00000000" w14:paraId="00000007">
      <w:pPr>
        <w:rPr>
          <w:rFonts w:ascii="Georgia" w:cs="Georgia" w:eastAsia="Georgia" w:hAnsi="Georgia"/>
          <w:sz w:val="24"/>
          <w:szCs w:val="24"/>
        </w:rPr>
      </w:pPr>
      <w:r w:rsidDel="00000000" w:rsidR="00000000" w:rsidRPr="00000000">
        <w:rPr>
          <w:rFonts w:ascii="Georgia" w:cs="Georgia" w:eastAsia="Georgia" w:hAnsi="Georgia"/>
          <w:sz w:val="24"/>
          <w:szCs w:val="24"/>
          <w:highlight w:val="white"/>
          <w:rtl w:val="0"/>
        </w:rPr>
        <w:t xml:space="preserve">Above Jesus is the “titulus inscribed INRI”</w:t>
      </w:r>
      <w:r w:rsidDel="00000000" w:rsidR="00000000" w:rsidRPr="00000000">
        <w:rPr>
          <w:rFonts w:ascii="Georgia" w:cs="Georgia" w:eastAsia="Georgia" w:hAnsi="Georgia"/>
          <w:sz w:val="24"/>
          <w:szCs w:val="24"/>
          <w:highlight w:val="white"/>
          <w:vertAlign w:val="superscript"/>
        </w:rPr>
        <w:footnoteReference w:customMarkFollows="0" w:id="4"/>
      </w:r>
      <w:r w:rsidDel="00000000" w:rsidR="00000000" w:rsidRPr="00000000">
        <w:rPr>
          <w:rFonts w:ascii="Georgia" w:cs="Georgia" w:eastAsia="Georgia" w:hAnsi="Georgia"/>
          <w:sz w:val="24"/>
          <w:szCs w:val="24"/>
          <w:highlight w:val="white"/>
          <w:rtl w:val="0"/>
        </w:rPr>
        <w:t xml:space="preserve">, a titulus refers to a title or caption used in medieval art. INRI is the </w:t>
      </w:r>
      <w:r w:rsidDel="00000000" w:rsidR="00000000" w:rsidRPr="00000000">
        <w:rPr>
          <w:rFonts w:ascii="Georgia" w:cs="Georgia" w:eastAsia="Georgia" w:hAnsi="Georgia"/>
          <w:sz w:val="24"/>
          <w:szCs w:val="24"/>
          <w:rtl w:val="0"/>
        </w:rPr>
        <w:t xml:space="preserve">“Latin initials for the phrase Pontius Pilate had written when he ordered Him to be crucified, as described in John 19:19-23. These words were “</w:t>
      </w:r>
      <w:r w:rsidDel="00000000" w:rsidR="00000000" w:rsidRPr="00000000">
        <w:rPr>
          <w:rFonts w:ascii="Georgia" w:cs="Georgia" w:eastAsia="Georgia" w:hAnsi="Georgia"/>
          <w:sz w:val="24"/>
          <w:szCs w:val="24"/>
          <w:rtl w:val="0"/>
        </w:rPr>
        <w:t xml:space="preserve">Iesus Nazarenus, Rex Iudaeorum</w:t>
      </w:r>
      <w:r w:rsidDel="00000000" w:rsidR="00000000" w:rsidRPr="00000000">
        <w:rPr>
          <w:rFonts w:ascii="Georgia" w:cs="Georgia" w:eastAsia="Georgia" w:hAnsi="Georgia"/>
          <w:sz w:val="24"/>
          <w:szCs w:val="24"/>
          <w:rtl w:val="0"/>
        </w:rPr>
        <w:t xml:space="preserve">” translating to English as “Jesus of Nazareth, the King of the Jews.</w:t>
      </w:r>
      <w:r w:rsidDel="00000000" w:rsidR="00000000" w:rsidRPr="00000000">
        <w:rPr>
          <w:color w:val="222222"/>
          <w:sz w:val="23"/>
          <w:szCs w:val="23"/>
          <w:highlight w:val="white"/>
          <w:rtl w:val="0"/>
        </w:rPr>
        <w:t xml:space="preserve">” </w:t>
      </w:r>
      <w:r w:rsidDel="00000000" w:rsidR="00000000" w:rsidRPr="00000000">
        <w:rPr>
          <w:color w:val="222222"/>
          <w:sz w:val="23"/>
          <w:szCs w:val="23"/>
          <w:highlight w:val="white"/>
          <w:vertAlign w:val="superscript"/>
        </w:rPr>
        <w:footnoteReference w:customMarkFollows="0" w:id="5"/>
      </w:r>
      <w:r w:rsidDel="00000000" w:rsidR="00000000" w:rsidRPr="00000000">
        <w:rPr>
          <w:color w:val="222222"/>
          <w:sz w:val="23"/>
          <w:szCs w:val="23"/>
          <w:highlight w:val="white"/>
          <w:rtl w:val="0"/>
        </w:rPr>
        <w:t xml:space="preserve"> </w:t>
      </w:r>
      <w:r w:rsidDel="00000000" w:rsidR="00000000" w:rsidRPr="00000000">
        <w:rPr>
          <w:rFonts w:ascii="Georgia" w:cs="Georgia" w:eastAsia="Georgia" w:hAnsi="Georgia"/>
          <w:sz w:val="24"/>
          <w:szCs w:val="24"/>
          <w:rtl w:val="0"/>
        </w:rPr>
        <w:t xml:space="preserve">INRI in art is a visual cue that reinforces the Christian belief in Jesus as the “King of kings”, transforming the mockery into a declaration of truth. </w:t>
      </w:r>
    </w:p>
    <w:p w:rsidR="00000000" w:rsidDel="00000000" w:rsidP="00000000" w:rsidRDefault="00000000" w:rsidRPr="00000000" w14:paraId="00000008">
      <w:pPr>
        <w:rPr>
          <w:color w:val="222222"/>
          <w:sz w:val="32"/>
          <w:szCs w:val="32"/>
          <w:highlight w:val="white"/>
        </w:rPr>
      </w:pPr>
      <w:r w:rsidDel="00000000" w:rsidR="00000000" w:rsidRPr="00000000">
        <w:rPr>
          <w:rtl w:val="0"/>
        </w:rPr>
      </w:r>
    </w:p>
    <w:p w:rsidR="00000000" w:rsidDel="00000000" w:rsidP="00000000" w:rsidRDefault="00000000" w:rsidRPr="00000000" w14:paraId="0000000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medieval art, the colours were often chosen carefully for their symbolic significance. In a lot of gothic pieces, gold, red and blue were highly used colours often found in most manuscripts. The gold leaf is a very delicate medium, which often takes much patience and time. This shows that the artists were very dedicated to their practice by making sure the piece came out perfectly.  Gold itself often represents eternity and heavenly glory, in this case illuminated manuscripts needed the gold leaf to truly be illuminated. “Manuscripts such as Books of Hours are often always illuminated, the gold leaf is always applied before any colour”.</w:t>
      </w:r>
      <w:r w:rsidDel="00000000" w:rsidR="00000000" w:rsidRPr="00000000">
        <w:rPr>
          <w:rFonts w:ascii="Georgia" w:cs="Georgia" w:eastAsia="Georgia" w:hAnsi="Georgia"/>
          <w:sz w:val="24"/>
          <w:szCs w:val="24"/>
          <w:vertAlign w:val="superscript"/>
        </w:rPr>
        <w:footnoteReference w:customMarkFollows="0" w:id="6"/>
      </w:r>
      <w:r w:rsidDel="00000000" w:rsidR="00000000" w:rsidRPr="00000000">
        <w:rPr>
          <w:rFonts w:ascii="Georgia" w:cs="Georgia" w:eastAsia="Georgia" w:hAnsi="Georgia"/>
          <w:sz w:val="24"/>
          <w:szCs w:val="24"/>
          <w:rtl w:val="0"/>
        </w:rPr>
        <w:t xml:space="preserve"> Within christianity, red is commonly associated with the blood of Christ, representing sacrifice, suffering and divine love. However, in general different shades of red were “the cheapest and most readily available”</w:t>
      </w:r>
      <w:r w:rsidDel="00000000" w:rsidR="00000000" w:rsidRPr="00000000">
        <w:rPr>
          <w:rFonts w:ascii="Georgia" w:cs="Georgia" w:eastAsia="Georgia" w:hAnsi="Georgia"/>
          <w:sz w:val="24"/>
          <w:szCs w:val="24"/>
          <w:vertAlign w:val="superscript"/>
        </w:rPr>
        <w:footnoteReference w:customMarkFollows="0" w:id="7"/>
      </w:r>
      <w:r w:rsidDel="00000000" w:rsidR="00000000" w:rsidRPr="00000000">
        <w:rPr>
          <w:rFonts w:ascii="Georgia" w:cs="Georgia" w:eastAsia="Georgia" w:hAnsi="Georgia"/>
          <w:sz w:val="24"/>
          <w:szCs w:val="24"/>
          <w:rtl w:val="0"/>
        </w:rPr>
        <w:t xml:space="preserve"> which shows why most pieces contained many shades of red. Blue, on the other hand, was a very expensive colour that was quite rare therefore was often reserved for important figures such as the Virgin Mary who is pictured in that royal blue colour here. Other colours that aren’t pictured significantly in this piece, include, green and white. White is the colour of purity and innocence, green is the colour of growth and eternal life. </w:t>
      </w:r>
      <w:r w:rsidDel="00000000" w:rsidR="00000000" w:rsidRPr="00000000">
        <w:drawing>
          <wp:anchor allowOverlap="1" behindDoc="0" distB="114300" distT="114300" distL="114300" distR="114300" hidden="0" layoutInCell="1" locked="0" relativeHeight="0" simplePos="0">
            <wp:simplePos x="0" y="0"/>
            <wp:positionH relativeFrom="column">
              <wp:posOffset>4448175</wp:posOffset>
            </wp:positionH>
            <wp:positionV relativeFrom="paragraph">
              <wp:posOffset>2082655</wp:posOffset>
            </wp:positionV>
            <wp:extent cx="957263" cy="1898832"/>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7"/>
                    <a:srcRect b="12571" l="28215" r="46473" t="52318"/>
                    <a:stretch>
                      <a:fillRect/>
                    </a:stretch>
                  </pic:blipFill>
                  <pic:spPr>
                    <a:xfrm>
                      <a:off x="0" y="0"/>
                      <a:ext cx="957263" cy="1898832"/>
                    </a:xfrm>
                    <a:prstGeom prst="rect"/>
                    <a:ln/>
                  </pic:spPr>
                </pic:pic>
              </a:graphicData>
            </a:graphic>
          </wp:anchor>
        </w:drawing>
      </w:r>
    </w:p>
    <w:p w:rsidR="00000000" w:rsidDel="00000000" w:rsidP="00000000" w:rsidRDefault="00000000" w:rsidRPr="00000000" w14:paraId="0000000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Moreover by looking at the colours and style, it can give us a good estimate of when the piece was created. We know it was roughly the late 1200s but if we didn't have this information, we could tell by the gothic art style which developed in France around the 12th century and continued until the 14th century when art developed into a more renaissance style. </w:t>
      </w:r>
    </w:p>
    <w:p w:rsidR="00000000" w:rsidDel="00000000" w:rsidP="00000000" w:rsidRDefault="00000000" w:rsidRPr="00000000" w14:paraId="0000000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image, there are six figures standing below Christ, many of which holding paper depicting their names. The first figure on the left is Moses. This is shown by the scroll inscribed MOISES and the horns on his head. The horns came from the late fourth century when a Christian monk was translating the old and new testament from Hebrew. The original stated Moses’s appearance was </w:t>
      </w:r>
      <w:r w:rsidDel="00000000" w:rsidR="00000000" w:rsidRPr="00000000">
        <w:rPr>
          <w:rFonts w:ascii="Georgia" w:cs="Georgia" w:eastAsia="Georgia" w:hAnsi="Georgia"/>
          <w:sz w:val="24"/>
          <w:szCs w:val="24"/>
          <w:rtl w:val="0"/>
        </w:rPr>
        <w:t xml:space="preserve">“</w:t>
      </w:r>
      <w:r w:rsidDel="00000000" w:rsidR="00000000" w:rsidRPr="00000000">
        <w:rPr>
          <w:rFonts w:ascii="Georgia" w:cs="Georgia" w:eastAsia="Georgia" w:hAnsi="Georgia"/>
          <w:sz w:val="24"/>
          <w:szCs w:val="24"/>
          <w:rtl w:val="0"/>
        </w:rPr>
        <w:t xml:space="preserve">qeren” meaning rays like “rays of light”. However this was mistranslated as the phrase “cornuta esset facies” which means “his face was horned”</w:t>
      </w:r>
      <w:r w:rsidDel="00000000" w:rsidR="00000000" w:rsidRPr="00000000">
        <w:rPr>
          <w:rFonts w:ascii="Georgia" w:cs="Georgia" w:eastAsia="Georgia" w:hAnsi="Georgia"/>
          <w:sz w:val="24"/>
          <w:szCs w:val="24"/>
          <w:vertAlign w:val="superscript"/>
        </w:rPr>
        <w:footnoteReference w:customMarkFollows="0" w:id="8"/>
      </w:r>
      <w:r w:rsidDel="00000000" w:rsidR="00000000" w:rsidRPr="00000000">
        <w:rPr>
          <w:rFonts w:ascii="Georgia" w:cs="Georgia" w:eastAsia="Georgia" w:hAnsi="Georgia"/>
          <w:sz w:val="24"/>
          <w:szCs w:val="24"/>
          <w:rtl w:val="0"/>
        </w:rPr>
        <w:t xml:space="preserve">. This is why a lot of medieval drawings and sculptures depict Moses with horns. Next to Moses, according to the Morgan museum, is </w:t>
      </w:r>
      <w:r w:rsidDel="00000000" w:rsidR="00000000" w:rsidRPr="00000000">
        <w:rPr>
          <w:rFonts w:ascii="Georgia" w:cs="Georgia" w:eastAsia="Georgia" w:hAnsi="Georgia"/>
          <w:sz w:val="24"/>
          <w:szCs w:val="24"/>
          <w:rtl w:val="0"/>
        </w:rPr>
        <w:t xml:space="preserve">Evangelist John pictured wearing a nimbus also known as a halo. A nimbus is one depicted around saints and holy figures to signify their closeness to God. John was one of the Twelve Apostles and is often referred to as the “beloved Disciple” , the halo around him can not only symbolise his faith but also the deep connection he had with Jesus. Shown in blue is the Virgin Mary, the sword going through her heart signifies the deep sorrow and suffering she has endured.  The last three holding scrolls with their names inscribed CHENTURIO, KAIPAS, and BALAAM. Longinus of Jerusalem pictured in chain mail, holding a shield. He is said to have pierced Christ's side with a spear in order to confirm his death. KAIPAS or </w:t>
      </w:r>
      <w:r w:rsidDel="00000000" w:rsidR="00000000" w:rsidRPr="00000000">
        <w:rPr>
          <w:rFonts w:ascii="Georgia" w:cs="Georgia" w:eastAsia="Georgia" w:hAnsi="Georgia"/>
          <w:sz w:val="24"/>
          <w:szCs w:val="24"/>
          <w:rtl w:val="0"/>
        </w:rPr>
        <w:t xml:space="preserve">Caiaphas was</w:t>
      </w:r>
      <w:r w:rsidDel="00000000" w:rsidR="00000000" w:rsidRPr="00000000">
        <w:rPr>
          <w:color w:val="020e13"/>
          <w:sz w:val="27"/>
          <w:szCs w:val="27"/>
          <w:shd w:fill="fdfdfd" w:val="clear"/>
          <w:rtl w:val="0"/>
        </w:rPr>
        <w:t xml:space="preserve"> “</w:t>
      </w:r>
      <w:r w:rsidDel="00000000" w:rsidR="00000000" w:rsidRPr="00000000">
        <w:rPr>
          <w:rFonts w:ascii="Georgia" w:cs="Georgia" w:eastAsia="Georgia" w:hAnsi="Georgia"/>
          <w:color w:val="020e13"/>
          <w:sz w:val="24"/>
          <w:szCs w:val="24"/>
          <w:shd w:fill="fdfdfd" w:val="clear"/>
          <w:rtl w:val="0"/>
        </w:rPr>
        <w:t xml:space="preserve">the high priest who presided over the trial of Jesus and played a pivotal role in his crucifixion”</w:t>
      </w:r>
      <w:r w:rsidDel="00000000" w:rsidR="00000000" w:rsidRPr="00000000">
        <w:rPr>
          <w:rFonts w:ascii="Georgia" w:cs="Georgia" w:eastAsia="Georgia" w:hAnsi="Georgia"/>
          <w:color w:val="020e13"/>
          <w:sz w:val="24"/>
          <w:szCs w:val="24"/>
          <w:shd w:fill="fdfdfd" w:val="clear"/>
          <w:vertAlign w:val="superscript"/>
        </w:rPr>
        <w:footnoteReference w:customMarkFollows="0" w:id="9"/>
      </w:r>
      <w:r w:rsidDel="00000000" w:rsidR="00000000" w:rsidRPr="00000000">
        <w:rPr>
          <w:rFonts w:ascii="Georgia" w:cs="Georgia" w:eastAsia="Georgia" w:hAnsi="Georgia"/>
          <w:color w:val="020e13"/>
          <w:sz w:val="24"/>
          <w:szCs w:val="24"/>
          <w:shd w:fill="fdfdfd" w:val="clear"/>
          <w:rtl w:val="0"/>
        </w:rPr>
        <w:t xml:space="preserve">. He is often seen as a symbol of hypocrisy and spiritual blindness. The last figure is Balaam wearing a pointed cap.</w:t>
      </w:r>
      <w:r w:rsidDel="00000000" w:rsidR="00000000" w:rsidRPr="00000000">
        <w:rPr>
          <w:rtl w:val="0"/>
        </w:rPr>
      </w:r>
    </w:p>
    <w:p w:rsidR="00000000" w:rsidDel="00000000" w:rsidP="00000000" w:rsidRDefault="00000000" w:rsidRPr="00000000" w14:paraId="0000000D">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0E">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b w:val="1"/>
          <w:color w:val="333333"/>
          <w:sz w:val="30"/>
          <w:szCs w:val="30"/>
          <w:u w:val="single"/>
        </w:rPr>
      </w:pPr>
      <w:r w:rsidDel="00000000" w:rsidR="00000000" w:rsidRPr="00000000">
        <w:rPr>
          <w:rFonts w:ascii="Times New Roman" w:cs="Times New Roman" w:eastAsia="Times New Roman" w:hAnsi="Times New Roman"/>
          <w:b w:val="1"/>
          <w:color w:val="333333"/>
          <w:sz w:val="30"/>
          <w:szCs w:val="30"/>
          <w:u w:val="single"/>
          <w:rtl w:val="0"/>
        </w:rPr>
        <w:t xml:space="preserve">Bibliography </w:t>
      </w:r>
    </w:p>
    <w:p w:rsidR="00000000" w:rsidDel="00000000" w:rsidP="00000000" w:rsidRDefault="00000000" w:rsidRPr="00000000" w14:paraId="00000010">
      <w:pPr>
        <w:rPr>
          <w:rFonts w:ascii="Times New Roman" w:cs="Times New Roman" w:eastAsia="Times New Roman" w:hAnsi="Times New Roman"/>
          <w:b w:val="1"/>
          <w:color w:val="333333"/>
          <w:sz w:val="30"/>
          <w:szCs w:val="30"/>
          <w:u w:val="single"/>
        </w:rPr>
      </w:pPr>
      <w:r w:rsidDel="00000000" w:rsidR="00000000" w:rsidRPr="00000000">
        <w:rPr>
          <w:rtl w:val="0"/>
        </w:rPr>
      </w:r>
    </w:p>
    <w:p w:rsidR="00000000" w:rsidDel="00000000" w:rsidP="00000000" w:rsidRDefault="00000000" w:rsidRPr="00000000" w14:paraId="00000011">
      <w:pPr>
        <w:rPr>
          <w:rFonts w:ascii="Georgia" w:cs="Georgia" w:eastAsia="Georgia" w:hAnsi="Georgia"/>
          <w:color w:val="333333"/>
          <w:sz w:val="24"/>
          <w:szCs w:val="24"/>
          <w:highlight w:val="white"/>
        </w:rPr>
      </w:pPr>
      <w:r w:rsidDel="00000000" w:rsidR="00000000" w:rsidRPr="00000000">
        <w:rPr>
          <w:rFonts w:ascii="Georgia" w:cs="Georgia" w:eastAsia="Georgia" w:hAnsi="Georgia"/>
          <w:color w:val="333333"/>
          <w:sz w:val="24"/>
          <w:szCs w:val="24"/>
          <w:highlight w:val="white"/>
          <w:rtl w:val="0"/>
        </w:rPr>
        <w:t xml:space="preserve">BibleQueue. (2023). </w:t>
      </w:r>
      <w:r w:rsidDel="00000000" w:rsidR="00000000" w:rsidRPr="00000000">
        <w:rPr>
          <w:rFonts w:ascii="Georgia" w:cs="Georgia" w:eastAsia="Georgia" w:hAnsi="Georgia"/>
          <w:i w:val="1"/>
          <w:color w:val="333333"/>
          <w:sz w:val="24"/>
          <w:szCs w:val="24"/>
          <w:rtl w:val="0"/>
        </w:rPr>
        <w:t xml:space="preserve">What Happened to Caiaphas After Jesus Crucifixion:</w:t>
      </w:r>
      <w:r w:rsidDel="00000000" w:rsidR="00000000" w:rsidRPr="00000000">
        <w:rPr>
          <w:rFonts w:ascii="Georgia" w:cs="Georgia" w:eastAsia="Georgia" w:hAnsi="Georgia"/>
          <w:color w:val="333333"/>
          <w:sz w:val="24"/>
          <w:szCs w:val="24"/>
          <w:highlight w:val="white"/>
          <w:rtl w:val="0"/>
        </w:rPr>
        <w:t xml:space="preserve">. [Online]. Bible Queue. Available at: </w:t>
      </w:r>
      <w:hyperlink r:id="rId8">
        <w:r w:rsidDel="00000000" w:rsidR="00000000" w:rsidRPr="00000000">
          <w:rPr>
            <w:rFonts w:ascii="Georgia" w:cs="Georgia" w:eastAsia="Georgia" w:hAnsi="Georgia"/>
            <w:color w:val="1155cc"/>
            <w:sz w:val="24"/>
            <w:szCs w:val="24"/>
            <w:highlight w:val="white"/>
            <w:u w:val="single"/>
            <w:rtl w:val="0"/>
          </w:rPr>
          <w:t xml:space="preserve">https://biblequeue.com/what-happened-to-caiaphas-after-jesus-crucifixion/ </w:t>
        </w:r>
      </w:hyperlink>
      <w:r w:rsidDel="00000000" w:rsidR="00000000" w:rsidRPr="00000000">
        <w:rPr>
          <w:rFonts w:ascii="Georgia" w:cs="Georgia" w:eastAsia="Georgia" w:hAnsi="Georgia"/>
          <w:color w:val="333333"/>
          <w:sz w:val="24"/>
          <w:szCs w:val="24"/>
          <w:highlight w:val="white"/>
          <w:rtl w:val="0"/>
        </w:rPr>
        <w:t xml:space="preserve">[Accessed 10 November 2024].</w:t>
      </w:r>
    </w:p>
    <w:p w:rsidR="00000000" w:rsidDel="00000000" w:rsidP="00000000" w:rsidRDefault="00000000" w:rsidRPr="00000000" w14:paraId="00000012">
      <w:pPr>
        <w:rPr>
          <w:rFonts w:ascii="Georgia" w:cs="Georgia" w:eastAsia="Georgia" w:hAnsi="Georgia"/>
          <w:color w:val="333333"/>
          <w:sz w:val="24"/>
          <w:szCs w:val="24"/>
          <w:highlight w:val="white"/>
        </w:rPr>
      </w:pPr>
      <w:r w:rsidDel="00000000" w:rsidR="00000000" w:rsidRPr="00000000">
        <w:rPr>
          <w:rtl w:val="0"/>
        </w:rPr>
      </w:r>
    </w:p>
    <w:p w:rsidR="00000000" w:rsidDel="00000000" w:rsidP="00000000" w:rsidRDefault="00000000" w:rsidRPr="00000000" w14:paraId="0000001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Christopher De Hamel. (1992). </w:t>
      </w:r>
      <w:r w:rsidDel="00000000" w:rsidR="00000000" w:rsidRPr="00000000">
        <w:rPr>
          <w:rFonts w:ascii="Georgia" w:cs="Georgia" w:eastAsia="Georgia" w:hAnsi="Georgia"/>
          <w:i w:val="1"/>
          <w:sz w:val="24"/>
          <w:szCs w:val="24"/>
          <w:rtl w:val="0"/>
        </w:rPr>
        <w:t xml:space="preserve">Scribes and Illuminators</w:t>
      </w:r>
      <w:r w:rsidDel="00000000" w:rsidR="00000000" w:rsidRPr="00000000">
        <w:rPr>
          <w:rFonts w:ascii="Georgia" w:cs="Georgia" w:eastAsia="Georgia" w:hAnsi="Georgia"/>
          <w:sz w:val="24"/>
          <w:szCs w:val="24"/>
          <w:rtl w:val="0"/>
        </w:rPr>
        <w:t xml:space="preserve">. London: British Museum Press. p.57.</w:t>
      </w:r>
    </w:p>
    <w:p w:rsidR="00000000" w:rsidDel="00000000" w:rsidP="00000000" w:rsidRDefault="00000000" w:rsidRPr="00000000" w14:paraId="00000014">
      <w:pPr>
        <w:rPr>
          <w:rFonts w:ascii="Georgia" w:cs="Georgia" w:eastAsia="Georgia" w:hAnsi="Georgia"/>
          <w:color w:val="333333"/>
          <w:sz w:val="24"/>
          <w:szCs w:val="24"/>
        </w:rPr>
      </w:pPr>
      <w:r w:rsidDel="00000000" w:rsidR="00000000" w:rsidRPr="00000000">
        <w:rPr>
          <w:rtl w:val="0"/>
        </w:rPr>
      </w:r>
    </w:p>
    <w:p w:rsidR="00000000" w:rsidDel="00000000" w:rsidP="00000000" w:rsidRDefault="00000000" w:rsidRPr="00000000" w14:paraId="00000015">
      <w:pPr>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highlight w:val="white"/>
          <w:rtl w:val="0"/>
        </w:rPr>
        <w:t xml:space="preserve">Fr. William Saunders. (N/A). </w:t>
      </w:r>
      <w:r w:rsidDel="00000000" w:rsidR="00000000" w:rsidRPr="00000000">
        <w:rPr>
          <w:rFonts w:ascii="Georgia" w:cs="Georgia" w:eastAsia="Georgia" w:hAnsi="Georgia"/>
          <w:i w:val="1"/>
          <w:color w:val="333333"/>
          <w:sz w:val="24"/>
          <w:szCs w:val="24"/>
          <w:rtl w:val="0"/>
        </w:rPr>
        <w:t xml:space="preserve">The Symbolism of the Pelican</w:t>
      </w:r>
      <w:r w:rsidDel="00000000" w:rsidR="00000000" w:rsidRPr="00000000">
        <w:rPr>
          <w:rFonts w:ascii="Georgia" w:cs="Georgia" w:eastAsia="Georgia" w:hAnsi="Georgia"/>
          <w:color w:val="333333"/>
          <w:sz w:val="24"/>
          <w:szCs w:val="24"/>
          <w:highlight w:val="white"/>
          <w:rtl w:val="0"/>
        </w:rPr>
        <w:t xml:space="preserve">. [Online]. Catholic Education Resource Center. Available at: </w:t>
      </w:r>
      <w:hyperlink r:id="rId9">
        <w:r w:rsidDel="00000000" w:rsidR="00000000" w:rsidRPr="00000000">
          <w:rPr>
            <w:rFonts w:ascii="Georgia" w:cs="Georgia" w:eastAsia="Georgia" w:hAnsi="Georgia"/>
            <w:color w:val="1155cc"/>
            <w:sz w:val="24"/>
            <w:szCs w:val="24"/>
            <w:highlight w:val="white"/>
            <w:u w:val="single"/>
            <w:rtl w:val="0"/>
          </w:rPr>
          <w:t xml:space="preserve">https://catholiceducation.org/en/culture/the-symbolism-of-the-pelican.html </w:t>
        </w:r>
      </w:hyperlink>
      <w:r w:rsidDel="00000000" w:rsidR="00000000" w:rsidRPr="00000000">
        <w:rPr>
          <w:rFonts w:ascii="Georgia" w:cs="Georgia" w:eastAsia="Georgia" w:hAnsi="Georgia"/>
          <w:color w:val="333333"/>
          <w:sz w:val="24"/>
          <w:szCs w:val="24"/>
          <w:highlight w:val="white"/>
          <w:rtl w:val="0"/>
        </w:rPr>
        <w:t xml:space="preserve">[Accessed 8 November 2024].</w:t>
      </w: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b w:val="1"/>
          <w:color w:val="333333"/>
          <w:sz w:val="30"/>
          <w:szCs w:val="30"/>
          <w:u w:val="single"/>
        </w:rPr>
      </w:pPr>
      <w:r w:rsidDel="00000000" w:rsidR="00000000" w:rsidRPr="00000000">
        <w:rPr>
          <w:rtl w:val="0"/>
        </w:rPr>
      </w:r>
    </w:p>
    <w:p w:rsidR="00000000" w:rsidDel="00000000" w:rsidP="00000000" w:rsidRDefault="00000000" w:rsidRPr="00000000" w14:paraId="00000017">
      <w:pPr>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highlight w:val="white"/>
          <w:rtl w:val="0"/>
        </w:rPr>
        <w:t xml:space="preserve">George Ryan. (2018). </w:t>
      </w:r>
      <w:r w:rsidDel="00000000" w:rsidR="00000000" w:rsidRPr="00000000">
        <w:rPr>
          <w:rFonts w:ascii="Georgia" w:cs="Georgia" w:eastAsia="Georgia" w:hAnsi="Georgia"/>
          <w:i w:val="1"/>
          <w:color w:val="333333"/>
          <w:sz w:val="24"/>
          <w:szCs w:val="24"/>
          <w:rtl w:val="0"/>
        </w:rPr>
        <w:t xml:space="preserve">What Does “INRI” On The Crucifix Actually Mean?</w:t>
      </w:r>
      <w:r w:rsidDel="00000000" w:rsidR="00000000" w:rsidRPr="00000000">
        <w:rPr>
          <w:rFonts w:ascii="Georgia" w:cs="Georgia" w:eastAsia="Georgia" w:hAnsi="Georgia"/>
          <w:color w:val="333333"/>
          <w:sz w:val="24"/>
          <w:szCs w:val="24"/>
          <w:highlight w:val="white"/>
          <w:rtl w:val="0"/>
        </w:rPr>
        <w:t xml:space="preserve">. [Online]. uCatholic. Available at: </w:t>
      </w:r>
      <w:hyperlink r:id="rId10">
        <w:r w:rsidDel="00000000" w:rsidR="00000000" w:rsidRPr="00000000">
          <w:rPr>
            <w:rFonts w:ascii="Georgia" w:cs="Georgia" w:eastAsia="Georgia" w:hAnsi="Georgia"/>
            <w:color w:val="1155cc"/>
            <w:sz w:val="24"/>
            <w:szCs w:val="24"/>
            <w:highlight w:val="white"/>
            <w:u w:val="single"/>
            <w:rtl w:val="0"/>
          </w:rPr>
          <w:t xml:space="preserve">https://ucatholic.com/blog/inri/ </w:t>
        </w:r>
      </w:hyperlink>
      <w:r w:rsidDel="00000000" w:rsidR="00000000" w:rsidRPr="00000000">
        <w:rPr>
          <w:rFonts w:ascii="Georgia" w:cs="Georgia" w:eastAsia="Georgia" w:hAnsi="Georgia"/>
          <w:color w:val="333333"/>
          <w:sz w:val="24"/>
          <w:szCs w:val="24"/>
          <w:highlight w:val="white"/>
          <w:rtl w:val="0"/>
        </w:rPr>
        <w:t xml:space="preserve">[Accessed 8 November 2024].</w:t>
      </w: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b w:val="1"/>
          <w:color w:val="333333"/>
          <w:sz w:val="30"/>
          <w:szCs w:val="30"/>
          <w:u w:val="single"/>
        </w:rPr>
      </w:pPr>
      <w:r w:rsidDel="00000000" w:rsidR="00000000" w:rsidRPr="00000000">
        <w:rPr>
          <w:rtl w:val="0"/>
        </w:rPr>
      </w:r>
    </w:p>
    <w:p w:rsidR="00000000" w:rsidDel="00000000" w:rsidP="00000000" w:rsidRDefault="00000000" w:rsidRPr="00000000" w14:paraId="00000019">
      <w:pPr>
        <w:rPr>
          <w:rFonts w:ascii="Georgia" w:cs="Georgia" w:eastAsia="Georgia" w:hAnsi="Georgia"/>
          <w:color w:val="333333"/>
          <w:sz w:val="24"/>
          <w:szCs w:val="24"/>
          <w:highlight w:val="white"/>
        </w:rPr>
      </w:pPr>
      <w:r w:rsidDel="00000000" w:rsidR="00000000" w:rsidRPr="00000000">
        <w:rPr>
          <w:rFonts w:ascii="Georgia" w:cs="Georgia" w:eastAsia="Georgia" w:hAnsi="Georgia"/>
          <w:color w:val="333333"/>
          <w:sz w:val="24"/>
          <w:szCs w:val="24"/>
          <w:highlight w:val="white"/>
          <w:rtl w:val="0"/>
        </w:rPr>
        <w:t xml:space="preserve">Lee M. Jefferson. (2023). </w:t>
      </w:r>
      <w:r w:rsidDel="00000000" w:rsidR="00000000" w:rsidRPr="00000000">
        <w:rPr>
          <w:rFonts w:ascii="Georgia" w:cs="Georgia" w:eastAsia="Georgia" w:hAnsi="Georgia"/>
          <w:i w:val="1"/>
          <w:color w:val="333333"/>
          <w:sz w:val="24"/>
          <w:szCs w:val="24"/>
          <w:rtl w:val="0"/>
        </w:rPr>
        <w:t xml:space="preserve">The Horns of Moses</w:t>
      </w:r>
      <w:r w:rsidDel="00000000" w:rsidR="00000000" w:rsidRPr="00000000">
        <w:rPr>
          <w:rFonts w:ascii="Georgia" w:cs="Georgia" w:eastAsia="Georgia" w:hAnsi="Georgia"/>
          <w:color w:val="333333"/>
          <w:sz w:val="24"/>
          <w:szCs w:val="24"/>
          <w:highlight w:val="white"/>
          <w:rtl w:val="0"/>
        </w:rPr>
        <w:t xml:space="preserve">. [Online]. Biblical Archeology Society. Available at: </w:t>
      </w:r>
      <w:hyperlink r:id="rId11">
        <w:r w:rsidDel="00000000" w:rsidR="00000000" w:rsidRPr="00000000">
          <w:rPr>
            <w:rFonts w:ascii="Georgia" w:cs="Georgia" w:eastAsia="Georgia" w:hAnsi="Georgia"/>
            <w:color w:val="1155cc"/>
            <w:sz w:val="24"/>
            <w:szCs w:val="24"/>
            <w:highlight w:val="white"/>
            <w:u w:val="single"/>
            <w:rtl w:val="0"/>
          </w:rPr>
          <w:t xml:space="preserve">https://www.biblicalarchaeology.org/daily/people-cultures-in-the-bible/people-in-the-bible/the-horns </w:t>
        </w:r>
      </w:hyperlink>
      <w:r w:rsidDel="00000000" w:rsidR="00000000" w:rsidRPr="00000000">
        <w:rPr>
          <w:rFonts w:ascii="Georgia" w:cs="Georgia" w:eastAsia="Georgia" w:hAnsi="Georgia"/>
          <w:color w:val="333333"/>
          <w:sz w:val="24"/>
          <w:szCs w:val="24"/>
          <w:highlight w:val="white"/>
          <w:rtl w:val="0"/>
        </w:rPr>
        <w:t xml:space="preserve">[Accessed 8 November 2024].</w:t>
      </w:r>
    </w:p>
    <w:p w:rsidR="00000000" w:rsidDel="00000000" w:rsidP="00000000" w:rsidRDefault="00000000" w:rsidRPr="00000000" w14:paraId="0000001A">
      <w:pPr>
        <w:rPr>
          <w:rFonts w:ascii="Georgia" w:cs="Georgia" w:eastAsia="Georgia" w:hAnsi="Georgia"/>
          <w:color w:val="333333"/>
          <w:sz w:val="24"/>
          <w:szCs w:val="24"/>
          <w:highlight w:val="white"/>
        </w:rPr>
      </w:pPr>
      <w:r w:rsidDel="00000000" w:rsidR="00000000" w:rsidRPr="00000000">
        <w:rPr>
          <w:rtl w:val="0"/>
        </w:rPr>
      </w:r>
    </w:p>
    <w:p w:rsidR="00000000" w:rsidDel="00000000" w:rsidP="00000000" w:rsidRDefault="00000000" w:rsidRPr="00000000" w14:paraId="0000001B">
      <w:pPr>
        <w:rPr>
          <w:rFonts w:ascii="Georgia" w:cs="Georgia" w:eastAsia="Georgia" w:hAnsi="Georgia"/>
          <w:color w:val="333333"/>
          <w:sz w:val="18"/>
          <w:szCs w:val="18"/>
          <w:highlight w:val="white"/>
        </w:rPr>
      </w:pPr>
      <w:r w:rsidDel="00000000" w:rsidR="00000000" w:rsidRPr="00000000">
        <w:rPr>
          <w:rFonts w:ascii="Georgia" w:cs="Georgia" w:eastAsia="Georgia" w:hAnsi="Georgia"/>
          <w:color w:val="333333"/>
          <w:sz w:val="24"/>
          <w:szCs w:val="24"/>
          <w:highlight w:val="white"/>
          <w:rtl w:val="0"/>
        </w:rPr>
        <w:t xml:space="preserve">Margaret Rickert. (1954). </w:t>
      </w:r>
      <w:r w:rsidDel="00000000" w:rsidR="00000000" w:rsidRPr="00000000">
        <w:rPr>
          <w:rFonts w:ascii="Georgia" w:cs="Georgia" w:eastAsia="Georgia" w:hAnsi="Georgia"/>
          <w:i w:val="1"/>
          <w:color w:val="333333"/>
          <w:sz w:val="24"/>
          <w:szCs w:val="24"/>
          <w:highlight w:val="white"/>
          <w:rtl w:val="0"/>
        </w:rPr>
        <w:t xml:space="preserve">Painting in Britain, The Middle Ages</w:t>
      </w:r>
      <w:r w:rsidDel="00000000" w:rsidR="00000000" w:rsidRPr="00000000">
        <w:rPr>
          <w:rFonts w:ascii="Georgia" w:cs="Georgia" w:eastAsia="Georgia" w:hAnsi="Georgia"/>
          <w:color w:val="333333"/>
          <w:sz w:val="24"/>
          <w:szCs w:val="24"/>
          <w:highlight w:val="white"/>
          <w:rtl w:val="0"/>
        </w:rPr>
        <w:t xml:space="preserve">. London: Penguin Books. p.116</w:t>
      </w: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b w:val="1"/>
          <w:color w:val="333333"/>
          <w:sz w:val="30"/>
          <w:szCs w:val="30"/>
          <w:u w:val="single"/>
        </w:rPr>
      </w:pPr>
      <w:r w:rsidDel="00000000" w:rsidR="00000000" w:rsidRPr="00000000">
        <w:rPr>
          <w:rtl w:val="0"/>
        </w:rPr>
      </w:r>
    </w:p>
    <w:p w:rsidR="00000000" w:rsidDel="00000000" w:rsidP="00000000" w:rsidRDefault="00000000" w:rsidRPr="00000000" w14:paraId="0000001D">
      <w:pPr>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highlight w:val="white"/>
          <w:rtl w:val="0"/>
        </w:rPr>
        <w:t xml:space="preserve">Rachel Grimmer. (2010). </w:t>
      </w:r>
      <w:r w:rsidDel="00000000" w:rsidR="00000000" w:rsidRPr="00000000">
        <w:rPr>
          <w:rFonts w:ascii="Georgia" w:cs="Georgia" w:eastAsia="Georgia" w:hAnsi="Georgia"/>
          <w:i w:val="1"/>
          <w:color w:val="333333"/>
          <w:sz w:val="24"/>
          <w:szCs w:val="24"/>
          <w:rtl w:val="0"/>
        </w:rPr>
        <w:t xml:space="preserve">The medieval palette: medieval pigments and their modern equivalents</w:t>
      </w:r>
      <w:r w:rsidDel="00000000" w:rsidR="00000000" w:rsidRPr="00000000">
        <w:rPr>
          <w:rFonts w:ascii="Georgia" w:cs="Georgia" w:eastAsia="Georgia" w:hAnsi="Georgia"/>
          <w:color w:val="333333"/>
          <w:sz w:val="24"/>
          <w:szCs w:val="24"/>
          <w:highlight w:val="white"/>
          <w:rtl w:val="0"/>
        </w:rPr>
        <w:t xml:space="preserve">. [Online]. SacredStone. Available at: </w:t>
      </w:r>
      <w:hyperlink r:id="rId12">
        <w:r w:rsidDel="00000000" w:rsidR="00000000" w:rsidRPr="00000000">
          <w:rPr>
            <w:rFonts w:ascii="Georgia" w:cs="Georgia" w:eastAsia="Georgia" w:hAnsi="Georgia"/>
            <w:color w:val="1155cc"/>
            <w:sz w:val="24"/>
            <w:szCs w:val="24"/>
            <w:highlight w:val="white"/>
            <w:u w:val="single"/>
            <w:rtl w:val="0"/>
          </w:rPr>
          <w:t xml:space="preserve">https://sacredstone.atlantia.sca.org/articles/the-medieval-palette.pdf#:~:text=</w:t>
        </w:r>
      </w:hyperlink>
      <w:r w:rsidDel="00000000" w:rsidR="00000000" w:rsidRPr="00000000">
        <w:rPr>
          <w:rFonts w:ascii="Georgia" w:cs="Georgia" w:eastAsia="Georgia" w:hAnsi="Georgia"/>
          <w:color w:val="333333"/>
          <w:sz w:val="24"/>
          <w:szCs w:val="24"/>
          <w:highlight w:val="white"/>
          <w:rtl w:val="0"/>
        </w:rPr>
        <w:t xml:space="preserve">[Accessed 8 November 2024].</w:t>
      </w: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b w:val="1"/>
          <w:color w:val="333333"/>
          <w:sz w:val="30"/>
          <w:szCs w:val="30"/>
          <w:u w:val="single"/>
        </w:rPr>
      </w:pPr>
      <w:r w:rsidDel="00000000" w:rsidR="00000000" w:rsidRPr="00000000">
        <w:rPr>
          <w:rtl w:val="0"/>
        </w:rPr>
      </w:r>
    </w:p>
    <w:p w:rsidR="00000000" w:rsidDel="00000000" w:rsidP="00000000" w:rsidRDefault="00000000" w:rsidRPr="00000000" w14:paraId="0000001F">
      <w:pPr>
        <w:rPr>
          <w:rFonts w:ascii="Georgia" w:cs="Georgia" w:eastAsia="Georgia" w:hAnsi="Georgia"/>
          <w:color w:val="333333"/>
          <w:sz w:val="24"/>
          <w:szCs w:val="24"/>
          <w:highlight w:val="white"/>
        </w:rPr>
      </w:pPr>
      <w:r w:rsidDel="00000000" w:rsidR="00000000" w:rsidRPr="00000000">
        <w:rPr>
          <w:rFonts w:ascii="Georgia" w:cs="Georgia" w:eastAsia="Georgia" w:hAnsi="Georgia"/>
          <w:color w:val="333333"/>
          <w:sz w:val="24"/>
          <w:szCs w:val="24"/>
          <w:highlight w:val="white"/>
          <w:rtl w:val="0"/>
        </w:rPr>
        <w:t xml:space="preserve">The Morgan Library &amp; Museum. (N/A). </w:t>
      </w:r>
      <w:r w:rsidDel="00000000" w:rsidR="00000000" w:rsidRPr="00000000">
        <w:rPr>
          <w:rFonts w:ascii="Georgia" w:cs="Georgia" w:eastAsia="Georgia" w:hAnsi="Georgia"/>
          <w:i w:val="1"/>
          <w:color w:val="333333"/>
          <w:sz w:val="24"/>
          <w:szCs w:val="24"/>
          <w:rtl w:val="0"/>
        </w:rPr>
        <w:t xml:space="preserve">Medieval &amp; Renaissance Manuscripts</w:t>
      </w:r>
      <w:r w:rsidDel="00000000" w:rsidR="00000000" w:rsidRPr="00000000">
        <w:rPr>
          <w:rFonts w:ascii="Georgia" w:cs="Georgia" w:eastAsia="Georgia" w:hAnsi="Georgia"/>
          <w:color w:val="333333"/>
          <w:sz w:val="24"/>
          <w:szCs w:val="24"/>
          <w:highlight w:val="white"/>
          <w:rtl w:val="0"/>
        </w:rPr>
        <w:t xml:space="preserve">. [Online]. The Morgan Library &amp; Museum. Available at: </w:t>
      </w:r>
      <w:hyperlink r:id="rId13">
        <w:r w:rsidDel="00000000" w:rsidR="00000000" w:rsidRPr="00000000">
          <w:rPr>
            <w:rFonts w:ascii="Georgia" w:cs="Georgia" w:eastAsia="Georgia" w:hAnsi="Georgia"/>
            <w:color w:val="1155cc"/>
            <w:sz w:val="24"/>
            <w:szCs w:val="24"/>
            <w:highlight w:val="white"/>
            <w:u w:val="single"/>
            <w:rtl w:val="0"/>
          </w:rPr>
          <w:t xml:space="preserve">https://ica.themorgan.org/manuscript/page/110/128492 </w:t>
        </w:r>
      </w:hyperlink>
      <w:r w:rsidDel="00000000" w:rsidR="00000000" w:rsidRPr="00000000">
        <w:rPr>
          <w:rFonts w:ascii="Georgia" w:cs="Georgia" w:eastAsia="Georgia" w:hAnsi="Georgia"/>
          <w:color w:val="333333"/>
          <w:sz w:val="24"/>
          <w:szCs w:val="24"/>
          <w:highlight w:val="white"/>
          <w:rtl w:val="0"/>
        </w:rPr>
        <w:t xml:space="preserve">[Accessed 8 November 2024].</w:t>
      </w:r>
    </w:p>
    <w:p w:rsidR="00000000" w:rsidDel="00000000" w:rsidP="00000000" w:rsidRDefault="00000000" w:rsidRPr="00000000" w14:paraId="00000020">
      <w:pPr>
        <w:rPr>
          <w:rFonts w:ascii="Georgia" w:cs="Georgia" w:eastAsia="Georgia" w:hAnsi="Georgia"/>
          <w:color w:val="333333"/>
          <w:sz w:val="24"/>
          <w:szCs w:val="24"/>
          <w:highlight w:val="white"/>
        </w:rPr>
      </w:pPr>
      <w:r w:rsidDel="00000000" w:rsidR="00000000" w:rsidRPr="00000000">
        <w:rPr>
          <w:rtl w:val="0"/>
        </w:rPr>
      </w:r>
    </w:p>
    <w:p w:rsidR="00000000" w:rsidDel="00000000" w:rsidP="00000000" w:rsidRDefault="00000000" w:rsidRPr="00000000" w14:paraId="00000021">
      <w:pPr>
        <w:rPr>
          <w:rFonts w:ascii="Georgia" w:cs="Georgia" w:eastAsia="Georgia" w:hAnsi="Georgia"/>
          <w:color w:val="333333"/>
          <w:sz w:val="24"/>
          <w:szCs w:val="24"/>
          <w:highlight w:val="white"/>
        </w:rPr>
      </w:pPr>
      <w:r w:rsidDel="00000000" w:rsidR="00000000" w:rsidRPr="00000000">
        <w:rPr>
          <w:rFonts w:ascii="Georgia" w:cs="Georgia" w:eastAsia="Georgia" w:hAnsi="Georgia"/>
          <w:color w:val="333333"/>
          <w:sz w:val="24"/>
          <w:szCs w:val="24"/>
          <w:highlight w:val="white"/>
          <w:rtl w:val="0"/>
        </w:rPr>
        <w:t xml:space="preserve">Tiffany Christensen. (2023). </w:t>
      </w:r>
      <w:r w:rsidDel="00000000" w:rsidR="00000000" w:rsidRPr="00000000">
        <w:rPr>
          <w:rFonts w:ascii="Georgia" w:cs="Georgia" w:eastAsia="Georgia" w:hAnsi="Georgia"/>
          <w:i w:val="1"/>
          <w:color w:val="333333"/>
          <w:sz w:val="24"/>
          <w:szCs w:val="24"/>
          <w:highlight w:val="white"/>
          <w:rtl w:val="0"/>
        </w:rPr>
        <w:t xml:space="preserve">The Tree Of Life: 5 Meanings And Interpretations In The Bible</w:t>
      </w:r>
      <w:r w:rsidDel="00000000" w:rsidR="00000000" w:rsidRPr="00000000">
        <w:rPr>
          <w:rFonts w:ascii="Georgia" w:cs="Georgia" w:eastAsia="Georgia" w:hAnsi="Georgia"/>
          <w:color w:val="333333"/>
          <w:sz w:val="24"/>
          <w:szCs w:val="24"/>
          <w:highlight w:val="white"/>
          <w:rtl w:val="0"/>
        </w:rPr>
        <w:t xml:space="preserve">. [Online]. Biblical Pathway. Available at: </w:t>
      </w:r>
      <w:hyperlink r:id="rId14">
        <w:r w:rsidDel="00000000" w:rsidR="00000000" w:rsidRPr="00000000">
          <w:rPr>
            <w:rFonts w:ascii="Georgia" w:cs="Georgia" w:eastAsia="Georgia" w:hAnsi="Georgia"/>
            <w:color w:val="1155cc"/>
            <w:sz w:val="24"/>
            <w:szCs w:val="24"/>
            <w:highlight w:val="white"/>
            <w:u w:val="single"/>
            <w:rtl w:val="0"/>
          </w:rPr>
          <w:t xml:space="preserve">https://biblicalpathway.com/the-tree-of-life-5-meanings-and-interpretations-in-the-bible/ </w:t>
        </w:r>
      </w:hyperlink>
      <w:r w:rsidDel="00000000" w:rsidR="00000000" w:rsidRPr="00000000">
        <w:rPr>
          <w:rFonts w:ascii="Georgia" w:cs="Georgia" w:eastAsia="Georgia" w:hAnsi="Georgia"/>
          <w:color w:val="333333"/>
          <w:sz w:val="24"/>
          <w:szCs w:val="24"/>
          <w:highlight w:val="white"/>
          <w:rtl w:val="0"/>
        </w:rPr>
        <w:t xml:space="preserve">[Accessed 8 November 2024].</w:t>
      </w:r>
    </w:p>
    <w:p w:rsidR="00000000" w:rsidDel="00000000" w:rsidP="00000000" w:rsidRDefault="00000000" w:rsidRPr="00000000" w14:paraId="00000022">
      <w:pPr>
        <w:rPr>
          <w:rFonts w:ascii="Georgia" w:cs="Georgia" w:eastAsia="Georgia" w:hAnsi="Georgia"/>
          <w:color w:val="333333"/>
          <w:sz w:val="24"/>
          <w:szCs w:val="24"/>
          <w:highlight w:val="white"/>
        </w:rPr>
      </w:pPr>
      <w:r w:rsidDel="00000000" w:rsidR="00000000" w:rsidRPr="00000000">
        <w:rPr>
          <w:rtl w:val="0"/>
        </w:rPr>
      </w:r>
    </w:p>
    <w:p w:rsidR="00000000" w:rsidDel="00000000" w:rsidP="00000000" w:rsidRDefault="00000000" w:rsidRPr="00000000" w14:paraId="00000023">
      <w:pPr>
        <w:rPr>
          <w:rFonts w:ascii="Georgia" w:cs="Georgia" w:eastAsia="Georgia" w:hAnsi="Georgia"/>
          <w:color w:val="333333"/>
          <w:sz w:val="24"/>
          <w:szCs w:val="24"/>
          <w:highlight w:val="white"/>
        </w:rPr>
      </w:pPr>
      <w:r w:rsidDel="00000000" w:rsidR="00000000" w:rsidRPr="00000000">
        <w:rPr>
          <w:rtl w:val="0"/>
        </w:rPr>
      </w:r>
    </w:p>
    <w:sectPr>
      <w:headerReference r:id="rId15" w:type="default"/>
      <w:footerReference r:id="rId1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hyperlink r:id="rId1">
        <w:r w:rsidDel="00000000" w:rsidR="00000000" w:rsidRPr="00000000">
          <w:rPr>
            <w:color w:val="1155cc"/>
            <w:sz w:val="20"/>
            <w:szCs w:val="20"/>
            <w:u w:val="single"/>
            <w:rtl w:val="0"/>
          </w:rPr>
          <w:t xml:space="preserve"> https://ica.themorgan.org/manuscript/page/110/128492</w:t>
        </w:r>
      </w:hyperlink>
      <w:r w:rsidDel="00000000" w:rsidR="00000000" w:rsidRPr="00000000">
        <w:rPr>
          <w:rtl w:val="0"/>
        </w:rPr>
      </w:r>
    </w:p>
  </w:footnote>
  <w:footnote w:id="7">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hyperlink r:id="rId2">
        <w:r w:rsidDel="00000000" w:rsidR="00000000" w:rsidRPr="00000000">
          <w:rPr>
            <w:color w:val="1155cc"/>
            <w:sz w:val="20"/>
            <w:szCs w:val="20"/>
            <w:u w:val="single"/>
            <w:rtl w:val="0"/>
          </w:rPr>
          <w:t xml:space="preserve"> https://sacredstone.atlantia.sca.org/articles/the-medieval-palette.pdf#:~:text=</w:t>
        </w:r>
      </w:hyperlink>
      <w:r w:rsidDel="00000000" w:rsidR="00000000" w:rsidRPr="00000000">
        <w:rPr>
          <w:rtl w:val="0"/>
        </w:rPr>
      </w:r>
    </w:p>
  </w:footnote>
  <w:footnote w:id="2">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https://biblicalpathway.com/the-tree-of-life-5-meanings-and-interpretations-in-the-bible/</w:t>
        </w:r>
      </w:hyperlink>
      <w:r w:rsidDel="00000000" w:rsidR="00000000" w:rsidRPr="00000000">
        <w:rPr>
          <w:rtl w:val="0"/>
        </w:rPr>
      </w:r>
    </w:p>
  </w:footnote>
  <w:footnote w:id="3">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hyperlink r:id="rId4">
        <w:r w:rsidDel="00000000" w:rsidR="00000000" w:rsidRPr="00000000">
          <w:rPr>
            <w:color w:val="1155cc"/>
            <w:sz w:val="20"/>
            <w:szCs w:val="20"/>
            <w:u w:val="single"/>
            <w:rtl w:val="0"/>
          </w:rPr>
          <w:t xml:space="preserve"> https://catholiceducation.org/en/culture/the-symbolism-of-the-pelican.html</w:t>
        </w:r>
      </w:hyperlink>
      <w:r w:rsidDel="00000000" w:rsidR="00000000" w:rsidRPr="00000000">
        <w:rPr>
          <w:rtl w:val="0"/>
        </w:rPr>
      </w:r>
    </w:p>
  </w:footnote>
  <w:footnote w:id="4">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hyperlink r:id="rId5">
        <w:r w:rsidDel="00000000" w:rsidR="00000000" w:rsidRPr="00000000">
          <w:rPr>
            <w:color w:val="1155cc"/>
            <w:sz w:val="20"/>
            <w:szCs w:val="20"/>
            <w:u w:val="single"/>
            <w:rtl w:val="0"/>
          </w:rPr>
          <w:t xml:space="preserve"> https://ica.themorgan.org/manuscript/page/110/128492</w:t>
        </w:r>
      </w:hyperlink>
      <w:r w:rsidDel="00000000" w:rsidR="00000000" w:rsidRPr="00000000">
        <w:rPr>
          <w:rtl w:val="0"/>
        </w:rPr>
      </w:r>
    </w:p>
  </w:footnote>
  <w:footnote w:id="5">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hyperlink r:id="rId6">
        <w:r w:rsidDel="00000000" w:rsidR="00000000" w:rsidRPr="00000000">
          <w:rPr>
            <w:color w:val="1155cc"/>
            <w:sz w:val="20"/>
            <w:szCs w:val="20"/>
            <w:u w:val="single"/>
            <w:rtl w:val="0"/>
          </w:rPr>
          <w:t xml:space="preserve"> https://ucatholic.com/blog/inri/</w:t>
        </w:r>
      </w:hyperlink>
      <w:r w:rsidDel="00000000" w:rsidR="00000000" w:rsidRPr="00000000">
        <w:rPr>
          <w:rtl w:val="0"/>
        </w:rPr>
      </w:r>
    </w:p>
  </w:footnote>
  <w:footnote w:id="8">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https://www.biblicalarchaeology.org/daily/people-cultures-in-the-bible/people-in-the-bible/the-horns-of-moses/</w:t>
        </w:r>
      </w:hyperlink>
      <w:r w:rsidDel="00000000" w:rsidR="00000000" w:rsidRPr="00000000">
        <w:rPr>
          <w:rtl w:val="0"/>
        </w:rPr>
      </w:r>
    </w:p>
  </w:footnote>
  <w:footnote w:id="9">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hyperlink r:id="rId8">
        <w:r w:rsidDel="00000000" w:rsidR="00000000" w:rsidRPr="00000000">
          <w:rPr>
            <w:color w:val="1155cc"/>
            <w:sz w:val="20"/>
            <w:szCs w:val="20"/>
            <w:u w:val="single"/>
            <w:rtl w:val="0"/>
          </w:rPr>
          <w:t xml:space="preserve"> https://biblequeue.com/what-happened-to-caiaphas-after-jesus-crucifixion/</w:t>
        </w:r>
      </w:hyperlink>
      <w:r w:rsidDel="00000000" w:rsidR="00000000" w:rsidRPr="00000000">
        <w:rPr>
          <w:rtl w:val="0"/>
        </w:rPr>
      </w:r>
    </w:p>
  </w:footnote>
  <w:footnote w:id="1">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Margaret Rickert. (1954). </w:t>
      </w:r>
      <w:r w:rsidDel="00000000" w:rsidR="00000000" w:rsidRPr="00000000">
        <w:rPr>
          <w:i w:val="1"/>
          <w:sz w:val="20"/>
          <w:szCs w:val="20"/>
          <w:rtl w:val="0"/>
        </w:rPr>
        <w:t xml:space="preserve">Painting in Britain, The Middle Ages</w:t>
      </w:r>
      <w:r w:rsidDel="00000000" w:rsidR="00000000" w:rsidRPr="00000000">
        <w:rPr>
          <w:sz w:val="20"/>
          <w:szCs w:val="20"/>
          <w:highlight w:val="white"/>
          <w:rtl w:val="0"/>
        </w:rPr>
        <w:t xml:space="preserve">. London: Penguin Books. p.116</w:t>
      </w:r>
      <w:r w:rsidDel="00000000" w:rsidR="00000000" w:rsidRPr="00000000">
        <w:rPr>
          <w:rtl w:val="0"/>
        </w:rPr>
      </w:r>
    </w:p>
  </w:footnote>
  <w:footnote w:id="6">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Christopher De Hamel. (1992). </w:t>
      </w:r>
      <w:r w:rsidDel="00000000" w:rsidR="00000000" w:rsidRPr="00000000">
        <w:rPr>
          <w:i w:val="1"/>
          <w:sz w:val="20"/>
          <w:szCs w:val="20"/>
          <w:rtl w:val="0"/>
        </w:rPr>
        <w:t xml:space="preserve">Scribes and Illuminators</w:t>
      </w:r>
      <w:r w:rsidDel="00000000" w:rsidR="00000000" w:rsidRPr="00000000">
        <w:rPr>
          <w:sz w:val="20"/>
          <w:szCs w:val="20"/>
          <w:highlight w:val="white"/>
          <w:rtl w:val="0"/>
        </w:rPr>
        <w:t xml:space="preserve">. London: British Museum Press. p.57.</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rPr/>
    </w:pPr>
    <w:r w:rsidDel="00000000" w:rsidR="00000000" w:rsidRPr="00000000">
      <w:rPr>
        <w:rtl w:val="0"/>
      </w:rPr>
      <w:t xml:space="preserve">Katie Howell        Wordcount- 1041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biblicalarchaeology.org/daily/people-cultures-in-the-bible/people-in-the-bible/the-horns" TargetMode="External"/><Relationship Id="rId10" Type="http://schemas.openxmlformats.org/officeDocument/2006/relationships/hyperlink" Target="https://ucatholic.com/blog/inri/" TargetMode="External"/><Relationship Id="rId13" Type="http://schemas.openxmlformats.org/officeDocument/2006/relationships/hyperlink" Target="https://ica.themorgan.org/manuscript/page/110/128492" TargetMode="External"/><Relationship Id="rId12" Type="http://schemas.openxmlformats.org/officeDocument/2006/relationships/hyperlink" Target="https://sacredstone.atlantia.sca.org/articles/the-medieval-palette.pdf#:~:tex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catholiceducation.org/en/culture/the-symbolism-of-the-pelican.html" TargetMode="External"/><Relationship Id="rId15" Type="http://schemas.openxmlformats.org/officeDocument/2006/relationships/header" Target="header1.xml"/><Relationship Id="rId14" Type="http://schemas.openxmlformats.org/officeDocument/2006/relationships/hyperlink" Target="https://biblicalpathway.com/the-tree-of-life-5-meanings-and-interpretations-in-the-bible/" TargetMode="External"/><Relationship Id="rId16"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yperlink" Target="https://biblequeue.com/what-happened-to-caiaphas-after-jesus-crucifixio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ica.themorgan.org/manuscript/page/110/128492" TargetMode="External"/><Relationship Id="rId2" Type="http://schemas.openxmlformats.org/officeDocument/2006/relationships/hyperlink" Target="https://sacredstone.atlantia.sca.org/articles/the-medieval-palette.pdf#:~:text=" TargetMode="External"/><Relationship Id="rId3" Type="http://schemas.openxmlformats.org/officeDocument/2006/relationships/hyperlink" Target="https://biblicalpathway.com/the-tree-of-life-5-meanings-and-interpretations-in-the-bible/" TargetMode="External"/><Relationship Id="rId4" Type="http://schemas.openxmlformats.org/officeDocument/2006/relationships/hyperlink" Target="https://catholiceducation.org/en/culture/the-symbolism-of-the-pelican.html" TargetMode="External"/><Relationship Id="rId5" Type="http://schemas.openxmlformats.org/officeDocument/2006/relationships/hyperlink" Target="https://ica.themorgan.org/manuscript/page/110/128492" TargetMode="External"/><Relationship Id="rId6" Type="http://schemas.openxmlformats.org/officeDocument/2006/relationships/hyperlink" Target="https://ucatholic.com/blog/inri/" TargetMode="External"/><Relationship Id="rId7" Type="http://schemas.openxmlformats.org/officeDocument/2006/relationships/hyperlink" Target="https://www.biblicalarchaeology.org/daily/people-cultures-in-the-bible/people-in-the-bible/the-horns-of-moses/" TargetMode="External"/><Relationship Id="rId8" Type="http://schemas.openxmlformats.org/officeDocument/2006/relationships/hyperlink" Target="https://biblequeue.com/what-happened-to-caiaphas-after-jesus-crucifix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