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D1E9" w14:textId="20CE2A46" w:rsidR="00D87B22" w:rsidRPr="00D87B22" w:rsidRDefault="00D87B22" w:rsidP="00BC0CA7">
      <w:pPr>
        <w:jc w:val="center"/>
        <w:rPr>
          <w:u w:val="single"/>
        </w:rPr>
      </w:pPr>
      <w:r w:rsidRPr="00D87B22">
        <w:rPr>
          <w:u w:val="single"/>
        </w:rPr>
        <w:t>Celtic Art Assignment 2:</w:t>
      </w:r>
      <w:r w:rsidR="00BC0CA7">
        <w:rPr>
          <w:u w:val="single"/>
        </w:rPr>
        <w:t xml:space="preserve"> </w:t>
      </w:r>
      <w:r w:rsidRPr="00D87B22">
        <w:rPr>
          <w:u w:val="single"/>
        </w:rPr>
        <w:t>Describe and analyse the work of an artist that has made use of the visual characteristics of Celtic Art or focussed on any kind of Celtic theme as the subject matter for their work</w:t>
      </w:r>
    </w:p>
    <w:p w14:paraId="021FD3A8" w14:textId="68BD7BE7" w:rsidR="00D87B22" w:rsidRPr="00D87B22" w:rsidRDefault="00D87B22" w:rsidP="00D87B22">
      <w:pPr>
        <w:jc w:val="center"/>
        <w:rPr>
          <w:u w:val="single"/>
        </w:rPr>
      </w:pPr>
    </w:p>
    <w:p w14:paraId="0FACB679" w14:textId="77777777" w:rsidR="009C5BAF" w:rsidRDefault="009C5BAF" w:rsidP="00514A36">
      <w:pPr>
        <w:rPr>
          <w:u w:val="single"/>
        </w:rPr>
      </w:pPr>
    </w:p>
    <w:p w14:paraId="6FE0F7C7" w14:textId="77777777" w:rsidR="009C5BAF" w:rsidRPr="007775CC" w:rsidRDefault="009C5BAF" w:rsidP="009C5BAF">
      <w:pPr>
        <w:jc w:val="center"/>
        <w:rPr>
          <w:b/>
          <w:bCs/>
          <w:sz w:val="28"/>
          <w:szCs w:val="28"/>
        </w:rPr>
      </w:pPr>
      <w:r>
        <w:rPr>
          <w:b/>
          <w:bCs/>
          <w:sz w:val="28"/>
          <w:szCs w:val="28"/>
        </w:rPr>
        <w:t>I confirm that I have not used AI tools in research and creation of this assignment. I confirm that I have not presented any AI generated materials as my own work. I confirm that have copies of my drafts, notes, and other resources I used, which I may be asked to provide as evidence.</w:t>
      </w:r>
    </w:p>
    <w:p w14:paraId="2B283C35" w14:textId="77777777" w:rsidR="00D87B22" w:rsidRDefault="00D87B22" w:rsidP="00D87B22"/>
    <w:p w14:paraId="0D4B595A" w14:textId="0358AB54" w:rsidR="002D3FE1" w:rsidRDefault="002D3FE1" w:rsidP="00D87B22">
      <w:r>
        <w:t>The Celtic revival movement that rose to prominence throughout the Victorian Age and still persists to this day has opened up many new fields of study.</w:t>
      </w:r>
      <w:r w:rsidR="00C4494C">
        <w:rPr>
          <w:rStyle w:val="FootnoteReference"/>
        </w:rPr>
        <w:footnoteReference w:id="1"/>
      </w:r>
      <w:r>
        <w:t xml:space="preserve"> In regard to the field of Celtic art, many influential scholars, artists, archaeologists and historians have contributed to the field significantly. It is, however, the Scottish artist John Duncan</w:t>
      </w:r>
      <w:r w:rsidR="00F3374C">
        <w:t xml:space="preserve"> who notably stands out from his </w:t>
      </w:r>
      <w:r w:rsidR="00004DF7">
        <w:t>fellows</w:t>
      </w:r>
      <w:r w:rsidR="00F3374C">
        <w:t xml:space="preserve"> for blending elements of</w:t>
      </w:r>
      <w:r w:rsidR="002178F7">
        <w:t xml:space="preserve"> ancient</w:t>
      </w:r>
      <w:r w:rsidR="00F3374C">
        <w:t xml:space="preserve"> Celtic artworks, Brythonic folklore and Christian</w:t>
      </w:r>
      <w:r w:rsidR="00234C86">
        <w:t xml:space="preserve">/ Italian </w:t>
      </w:r>
      <w:r w:rsidR="00234C86" w:rsidRPr="00234C86">
        <w:t>Renaissance</w:t>
      </w:r>
      <w:r w:rsidR="00F3374C">
        <w:t xml:space="preserve"> imagery together to form unique and visually stunning pieces of</w:t>
      </w:r>
      <w:r w:rsidR="00101EEC">
        <w:t xml:space="preserve"> what is known as</w:t>
      </w:r>
      <w:r w:rsidR="00F3374C">
        <w:t xml:space="preserve"> </w:t>
      </w:r>
      <w:r w:rsidR="00101EEC">
        <w:t>s</w:t>
      </w:r>
      <w:r w:rsidR="00101EEC" w:rsidRPr="00101EEC">
        <w:t>ymbolist</w:t>
      </w:r>
      <w:r w:rsidR="00101EEC">
        <w:t xml:space="preserve"> </w:t>
      </w:r>
      <w:r w:rsidR="00F3374C">
        <w:t>art.</w:t>
      </w:r>
      <w:r w:rsidR="00101EEC">
        <w:rPr>
          <w:rStyle w:val="FootnoteReference"/>
        </w:rPr>
        <w:footnoteReference w:id="2"/>
      </w:r>
      <w:r w:rsidR="00F3374C">
        <w:t xml:space="preserve"> </w:t>
      </w:r>
      <w:r w:rsidR="00F3374C" w:rsidRPr="000D32E3">
        <w:t>Duncan was not simply a painter who occasionally borrowed</w:t>
      </w:r>
      <w:r w:rsidR="00F3374C">
        <w:t xml:space="preserve"> the</w:t>
      </w:r>
      <w:r w:rsidR="00F3374C" w:rsidRPr="000D32E3">
        <w:t xml:space="preserve"> decorative motifs from</w:t>
      </w:r>
      <w:r w:rsidR="002178F7">
        <w:t xml:space="preserve"> the</w:t>
      </w:r>
      <w:r w:rsidR="00F3374C">
        <w:t xml:space="preserve"> traditional</w:t>
      </w:r>
      <w:r w:rsidR="00F3374C" w:rsidRPr="000D32E3">
        <w:t xml:space="preserve"> Celt</w:t>
      </w:r>
      <w:r w:rsidR="002178F7">
        <w:t>s.</w:t>
      </w:r>
      <w:r w:rsidR="00F3374C" w:rsidRPr="000D32E3">
        <w:t xml:space="preserve"> </w:t>
      </w:r>
      <w:r w:rsidR="002178F7">
        <w:t>R</w:t>
      </w:r>
      <w:r w:rsidR="00F3374C" w:rsidRPr="000D32E3">
        <w:t>ather, he devoted m</w:t>
      </w:r>
      <w:r w:rsidR="00004DF7">
        <w:t>ost</w:t>
      </w:r>
      <w:r w:rsidR="00F3374C" w:rsidRPr="000D32E3">
        <w:t xml:space="preserve"> of his artistic career to recovering, reinterpreting, and visually transforming the</w:t>
      </w:r>
      <w:r w:rsidR="002178F7">
        <w:t>ir</w:t>
      </w:r>
      <w:r w:rsidR="00F3374C" w:rsidRPr="000D32E3">
        <w:t xml:space="preserve"> myths, symbols, spirituality, and visual language associated with </w:t>
      </w:r>
      <w:r w:rsidR="002178F7">
        <w:t>their</w:t>
      </w:r>
      <w:r w:rsidR="00F3374C" w:rsidRPr="000D32E3">
        <w:t xml:space="preserve"> culture</w:t>
      </w:r>
      <w:r>
        <w:t xml:space="preserve"> </w:t>
      </w:r>
      <w:r w:rsidR="00004DF7">
        <w:t xml:space="preserve">for a modern audience. </w:t>
      </w:r>
      <w:r w:rsidR="002178F7">
        <w:t>B</w:t>
      </w:r>
      <w:r w:rsidR="00004DF7">
        <w:t>y</w:t>
      </w:r>
      <w:r w:rsidR="002178F7">
        <w:t xml:space="preserve"> merging these elements into his works, Duncan</w:t>
      </w:r>
      <w:r w:rsidR="00004DF7">
        <w:t xml:space="preserve"> br</w:t>
      </w:r>
      <w:r w:rsidR="002178F7">
        <w:t>ought</w:t>
      </w:r>
      <w:r w:rsidR="00004DF7">
        <w:t xml:space="preserve"> back aspects of obscure Celtic/Gaelic </w:t>
      </w:r>
      <w:r w:rsidR="002178F7">
        <w:t>art</w:t>
      </w:r>
      <w:r w:rsidR="00004DF7">
        <w:t xml:space="preserve"> and </w:t>
      </w:r>
      <w:r w:rsidR="002178F7">
        <w:t>reintroduced</w:t>
      </w:r>
      <w:r w:rsidR="00004DF7">
        <w:t xml:space="preserve"> them into more familiar </w:t>
      </w:r>
      <w:r w:rsidR="003D7408">
        <w:t>forms</w:t>
      </w:r>
      <w:r w:rsidR="00004DF7">
        <w:t xml:space="preserve"> </w:t>
      </w:r>
      <w:r w:rsidR="002178F7">
        <w:t>f</w:t>
      </w:r>
      <w:r w:rsidR="00004DF7">
        <w:t>o</w:t>
      </w:r>
      <w:r w:rsidR="002178F7">
        <w:t>r</w:t>
      </w:r>
      <w:r w:rsidR="00004DF7">
        <w:t xml:space="preserve"> the cultural zeitgeist of the time</w:t>
      </w:r>
      <w:r w:rsidR="00234C86">
        <w:t xml:space="preserve"> and</w:t>
      </w:r>
      <w:r w:rsidR="002178F7">
        <w:t xml:space="preserve"> in a way</w:t>
      </w:r>
      <w:r w:rsidR="00004DF7">
        <w:t xml:space="preserve"> show</w:t>
      </w:r>
      <w:r w:rsidR="003D7408">
        <w:t>ed</w:t>
      </w:r>
      <w:r w:rsidR="00234C86">
        <w:t xml:space="preserve"> the Scottish people</w:t>
      </w:r>
      <w:r w:rsidR="00004DF7">
        <w:t xml:space="preserve"> how neatly all</w:t>
      </w:r>
      <w:r w:rsidR="002178F7">
        <w:t xml:space="preserve"> differing</w:t>
      </w:r>
      <w:r w:rsidR="00004DF7">
        <w:t xml:space="preserve"> aspects of</w:t>
      </w:r>
      <w:r w:rsidR="00234C86">
        <w:t xml:space="preserve"> their</w:t>
      </w:r>
      <w:r w:rsidR="00004DF7">
        <w:t xml:space="preserve"> history</w:t>
      </w:r>
      <w:r w:rsidR="00234C86">
        <w:t xml:space="preserve"> and cultural values</w:t>
      </w:r>
      <w:r w:rsidR="00004DF7">
        <w:t xml:space="preserve"> still fit together</w:t>
      </w:r>
      <w:r w:rsidR="00234C86">
        <w:t xml:space="preserve"> across time</w:t>
      </w:r>
      <w:r w:rsidR="00004DF7">
        <w:t>.</w:t>
      </w:r>
      <w:r w:rsidR="00101EEC">
        <w:rPr>
          <w:rStyle w:val="FootnoteReference"/>
        </w:rPr>
        <w:footnoteReference w:id="3"/>
      </w:r>
      <w:r w:rsidR="00234C86">
        <w:t xml:space="preserve"> This essay examine</w:t>
      </w:r>
      <w:r w:rsidR="003D7408">
        <w:t>s</w:t>
      </w:r>
      <w:r w:rsidR="00234C86">
        <w:t xml:space="preserve"> some of Duncan’s works to see the characteristics of traditional Celtic art present and how he has used Celtic/Gaelic themes to influence others. </w:t>
      </w:r>
      <w:r w:rsidR="00004DF7">
        <w:t xml:space="preserve">  </w:t>
      </w:r>
      <w:r>
        <w:t xml:space="preserve">   </w:t>
      </w:r>
    </w:p>
    <w:p w14:paraId="0B370B2F" w14:textId="7FA6C611" w:rsidR="00234C86" w:rsidRDefault="00234C86" w:rsidP="00D87B22">
      <w:r>
        <w:t>John Duncan was born in Dundee, Scotland in 1866.</w:t>
      </w:r>
      <w:r>
        <w:rPr>
          <w:rStyle w:val="FootnoteReference"/>
        </w:rPr>
        <w:footnoteReference w:id="4"/>
      </w:r>
      <w:r>
        <w:t xml:space="preserve">  </w:t>
      </w:r>
      <w:r w:rsidR="004B50E4">
        <w:t>In 1877, a</w:t>
      </w:r>
      <w:r w:rsidR="004349C3">
        <w:t>t the age of eleven he</w:t>
      </w:r>
      <w:r w:rsidR="004B50E4">
        <w:t xml:space="preserve"> supposedly</w:t>
      </w:r>
      <w:r w:rsidR="004349C3">
        <w:t xml:space="preserve"> would</w:t>
      </w:r>
      <w:r w:rsidR="004B50E4">
        <w:t xml:space="preserve"> have</w:t>
      </w:r>
      <w:r w:rsidR="004349C3">
        <w:t xml:space="preserve"> enrol</w:t>
      </w:r>
      <w:r w:rsidR="004B50E4">
        <w:t>led</w:t>
      </w:r>
      <w:r w:rsidR="004349C3">
        <w:t xml:space="preserve"> at the </w:t>
      </w:r>
      <w:r w:rsidR="004349C3" w:rsidRPr="004349C3">
        <w:t>Dundee School of Art</w:t>
      </w:r>
      <w:r w:rsidR="004349C3">
        <w:t xml:space="preserve"> and would remain there for </w:t>
      </w:r>
      <w:r w:rsidR="004349C3">
        <w:lastRenderedPageBreak/>
        <w:t>the next three years before leaving to start his early career as an illustrator and etcher</w:t>
      </w:r>
      <w:r w:rsidR="00BC0CA7">
        <w:t>.</w:t>
      </w:r>
      <w:r w:rsidR="00BC0CA7">
        <w:rPr>
          <w:rStyle w:val="FootnoteReference"/>
        </w:rPr>
        <w:footnoteReference w:id="5"/>
      </w:r>
      <w:r w:rsidR="004B50E4">
        <w:t xml:space="preserve"> However, Morrison raises doubts on this claim due to the school not opening its doors until 1888.</w:t>
      </w:r>
      <w:r w:rsidR="003716EE">
        <w:rPr>
          <w:rStyle w:val="FootnoteReference"/>
        </w:rPr>
        <w:footnoteReference w:id="6"/>
      </w:r>
      <w:r w:rsidR="004B50E4">
        <w:t xml:space="preserve"> </w:t>
      </w:r>
      <w:r w:rsidR="00BC0CA7">
        <w:t xml:space="preserve"> His early works during this time saw use of mythological elements, it would not be until 1890 that Duncan would pursue his interests and would travel across the European mainland,</w:t>
      </w:r>
      <w:r w:rsidR="003D7408">
        <w:t xml:space="preserve"> to</w:t>
      </w:r>
      <w:r w:rsidR="00BC0CA7">
        <w:t xml:space="preserve"> stud</w:t>
      </w:r>
      <w:r w:rsidR="003D7408">
        <w:t>y</w:t>
      </w:r>
      <w:r w:rsidR="00BC0CA7">
        <w:t xml:space="preserve"> at various art schools as a painter.</w:t>
      </w:r>
      <w:r w:rsidR="00101EEC">
        <w:rPr>
          <w:rStyle w:val="FootnoteReference"/>
        </w:rPr>
        <w:footnoteReference w:id="7"/>
      </w:r>
      <w:r w:rsidR="00BC0CA7">
        <w:t xml:space="preserve"> </w:t>
      </w:r>
      <w:r w:rsidR="00202D3F">
        <w:t xml:space="preserve">Duncan had a particular interest in </w:t>
      </w:r>
      <w:r w:rsidR="0077613B">
        <w:t>the</w:t>
      </w:r>
      <w:r w:rsidR="0077613B" w:rsidRPr="0077613B">
        <w:t> fifteenth-century Renaissance movement</w:t>
      </w:r>
      <w:r w:rsidR="0077613B">
        <w:t xml:space="preserve"> artworks and would later adopt many of their distinct visual styles into his own works as enthusiasts can see in his paintings after he returned to Scotland in </w:t>
      </w:r>
      <w:r w:rsidR="0077613B" w:rsidRPr="0077613B">
        <w:t>1890</w:t>
      </w:r>
      <w:r w:rsidR="0077613B">
        <w:t>.</w:t>
      </w:r>
      <w:r w:rsidR="0077613B">
        <w:rPr>
          <w:rStyle w:val="FootnoteReference"/>
        </w:rPr>
        <w:footnoteReference w:id="8"/>
      </w:r>
    </w:p>
    <w:p w14:paraId="26B45F5D" w14:textId="75791D77" w:rsidR="00841329" w:rsidRDefault="000B5964" w:rsidP="00D87B22">
      <w:r>
        <w:t>John Duncan created his artistic style through the influence of the artistic environment in Dundee at that tim</w:t>
      </w:r>
      <w:r w:rsidR="00156A8A">
        <w:t xml:space="preserve">e. During his early life Duncan would become an acquaintance </w:t>
      </w:r>
      <w:r w:rsidR="008B316A">
        <w:t>of Patrick</w:t>
      </w:r>
      <w:r w:rsidR="00156A8A">
        <w:t xml:space="preserve"> Geddes</w:t>
      </w:r>
      <w:r w:rsidR="008B316A">
        <w:t xml:space="preserve">, </w:t>
      </w:r>
      <w:r w:rsidR="00101EEC">
        <w:t>a sociologist, city planner and part time professor</w:t>
      </w:r>
      <w:r w:rsidR="006F45FA">
        <w:t>,</w:t>
      </w:r>
      <w:r w:rsidR="00C12C21">
        <w:t xml:space="preserve"> who would become somewhat of a mentor to Duncan</w:t>
      </w:r>
      <w:r w:rsidR="006F45FA">
        <w:t>. Geddes may have been the key influence who introduced</w:t>
      </w:r>
      <w:r w:rsidR="00C12C21">
        <w:t xml:space="preserve"> </w:t>
      </w:r>
      <w:r w:rsidR="006F45FA">
        <w:t>Duncan to the Celtic revival movement that was taking root across Britian and mainland Europe at the time</w:t>
      </w:r>
      <w:r w:rsidR="005A547A">
        <w:t xml:space="preserve"> and possibly inspired Duncan’s adoption of Celtic motifs</w:t>
      </w:r>
      <w:r w:rsidR="006F45FA">
        <w:t>.</w:t>
      </w:r>
      <w:r w:rsidR="00006346">
        <w:rPr>
          <w:rStyle w:val="FootnoteReference"/>
        </w:rPr>
        <w:footnoteReference w:id="9"/>
      </w:r>
      <w:r w:rsidR="006F45FA">
        <w:t xml:space="preserve"> Geddes was a prominent voice in Scotland during the revival and wrote several collections of poems </w:t>
      </w:r>
      <w:r w:rsidR="00006346">
        <w:t>with their</w:t>
      </w:r>
      <w:r w:rsidR="00006346" w:rsidRPr="00006346">
        <w:t xml:space="preserve"> </w:t>
      </w:r>
      <w:r w:rsidR="00006346">
        <w:t>intention meant</w:t>
      </w:r>
      <w:r w:rsidR="00006346" w:rsidRPr="00006346">
        <w:t xml:space="preserve"> as an attempt to 'arrest the tremendous centralising power of the metropolis of London' and to 'restore to Scotland something of its old pre-eminence in the world of thought</w:t>
      </w:r>
      <w:r w:rsidR="00006346">
        <w:t>.</w:t>
      </w:r>
      <w:r w:rsidR="00006346" w:rsidRPr="00006346">
        <w:t>'</w:t>
      </w:r>
      <w:r w:rsidR="00006346">
        <w:rPr>
          <w:rStyle w:val="FootnoteReference"/>
        </w:rPr>
        <w:footnoteReference w:id="10"/>
      </w:r>
      <w:r w:rsidR="00841329">
        <w:t xml:space="preserve"> </w:t>
      </w:r>
      <w:r w:rsidR="005A547A">
        <w:t>Throughout the height of the Celtic revival period many writers and artists look the past for new sources of inspiration, however, m</w:t>
      </w:r>
      <w:r w:rsidR="00841329">
        <w:t>any Scottish artists during t</w:t>
      </w:r>
      <w:r w:rsidR="005A547A">
        <w:t>his time</w:t>
      </w:r>
      <w:r w:rsidR="00841329">
        <w:t xml:space="preserve"> used</w:t>
      </w:r>
      <w:r w:rsidR="005A547A">
        <w:t xml:space="preserve"> both</w:t>
      </w:r>
      <w:r w:rsidR="00841329">
        <w:t xml:space="preserve"> Celtic and Highlander themes in their work in order to shape a more distinct Scottish identity outside of the growing British nationalism. Morrison suggests that could Duncan have been inspired to paint Celtic inspired works out of a nationalist view like some of his fellows at the time. However, ultimately based on Duncan’s use of painting non-Scottish elements like in the Arthurian tales or his portrait of the Irish figure </w:t>
      </w:r>
      <w:r w:rsidR="00841329" w:rsidRPr="00841329">
        <w:t>Cuchulain</w:t>
      </w:r>
      <w:r w:rsidR="00841329">
        <w:t xml:space="preserve"> reflects that Duncan was embracing a wider scope of the Celtic past, not exclusively the parts that only highlight Scotland. Morrison writes:</w:t>
      </w:r>
    </w:p>
    <w:p w14:paraId="61FDBE15" w14:textId="77777777" w:rsidR="005F7153" w:rsidRDefault="00841329" w:rsidP="00841329">
      <w:pPr>
        <w:ind w:left="283" w:right="283"/>
      </w:pPr>
      <w:r w:rsidRPr="00841329">
        <w:t xml:space="preserve">Duncan’s appropriation of an Irish tale rather than a source more immediately identifiable as Scottish, can be attributed to his work with Geddes in the 1890s. The painter’s association with the Celtic Revival in Scotland was not a focus or an exemplar for narrow nationalism. It did not simplistically parade Scotland’s supposed Celtic heritage as a mark of difference and therefore singularity. </w:t>
      </w:r>
      <w:r w:rsidRPr="00841329">
        <w:lastRenderedPageBreak/>
        <w:t>Frequently Scottish artists were concerned to promote their ‘ancient heritage’ as a conduit for a United Kingdom nationalism, to which Scotland contributed. Duncan can, on occasion, be understood in this way but more commonly his work consciously embraced a pan-European internationalism. Scottish autonomy was not the focus, and even Scottish distinctiveness within a British polity, so often the subject of earlier nineteenth century Highlandist art, was frequently subsumed into a celebration and promotion of this European identity</w:t>
      </w:r>
      <w:r>
        <w:t>.</w:t>
      </w:r>
      <w:r w:rsidR="005F7153">
        <w:rPr>
          <w:rStyle w:val="FootnoteReference"/>
        </w:rPr>
        <w:footnoteReference w:id="11"/>
      </w:r>
    </w:p>
    <w:p w14:paraId="6B367282" w14:textId="3178D4CD" w:rsidR="000B5964" w:rsidRDefault="005F7153" w:rsidP="005F7153">
      <w:pPr>
        <w:ind w:right="283"/>
      </w:pPr>
      <w:r>
        <w:t>Duncan’s embrace of the wider Celtic world adds to his appeal</w:t>
      </w:r>
      <w:r w:rsidR="005A547A">
        <w:t>,</w:t>
      </w:r>
      <w:r>
        <w:t xml:space="preserve"> </w:t>
      </w:r>
      <w:r w:rsidR="005A547A">
        <w:t>b</w:t>
      </w:r>
      <w:r>
        <w:t>y not exclusively</w:t>
      </w:r>
      <w:r w:rsidR="005A547A">
        <w:t xml:space="preserve"> limiting himself to</w:t>
      </w:r>
      <w:r>
        <w:t xml:space="preserve"> trying to boost Scotland’s heritage</w:t>
      </w:r>
      <w:r w:rsidR="005A547A">
        <w:t>, Duncan</w:t>
      </w:r>
      <w:r>
        <w:t xml:space="preserve"> instead</w:t>
      </w:r>
      <w:r w:rsidR="005A547A">
        <w:t xml:space="preserve"> elevates</w:t>
      </w:r>
      <w:r>
        <w:t xml:space="preserve"> the Celtic world as a whole.</w:t>
      </w:r>
      <w:r w:rsidR="00841329">
        <w:t xml:space="preserve"> </w:t>
      </w:r>
    </w:p>
    <w:p w14:paraId="3B63719A" w14:textId="70A348CB" w:rsidR="000B5964" w:rsidRDefault="000B5964" w:rsidP="00D87B22">
      <w:r>
        <w:t xml:space="preserve">Duncan’s travels </w:t>
      </w:r>
      <w:r w:rsidR="005A547A">
        <w:t>across the</w:t>
      </w:r>
      <w:r>
        <w:t xml:space="preserve"> Europe</w:t>
      </w:r>
      <w:r w:rsidR="005A547A">
        <w:t>an mainland</w:t>
      </w:r>
      <w:r>
        <w:t xml:space="preserve"> further inspired him to develop his style using elements of Renaissance visual cues</w:t>
      </w:r>
      <w:r w:rsidR="005A547A">
        <w:t xml:space="preserve">. In some of the portrait paintings Duncan had created, there are visual similarities to the style made recognisable by artists such as </w:t>
      </w:r>
      <w:r w:rsidR="003544A8" w:rsidRPr="005A547A">
        <w:t>Botticelli</w:t>
      </w:r>
      <w:r w:rsidR="008A118C">
        <w:t>, who is famous several paintings but most notably the</w:t>
      </w:r>
      <w:r w:rsidR="00636AA8">
        <w:t xml:space="preserve"> Primavera and the</w:t>
      </w:r>
      <w:r w:rsidR="008A118C">
        <w:t xml:space="preserve"> Birth of Venus</w:t>
      </w:r>
      <w:r w:rsidR="005A547A">
        <w:t>.</w:t>
      </w:r>
      <w:r w:rsidR="00636AA8">
        <w:rPr>
          <w:rStyle w:val="FootnoteReference"/>
        </w:rPr>
        <w:footnoteReference w:id="12"/>
      </w:r>
      <w:r w:rsidR="005A547A">
        <w:t xml:space="preserve"> </w:t>
      </w:r>
      <w:r w:rsidR="00E81F9D">
        <w:t xml:space="preserve">A group of similarity styled artists would also be active around the time of Duncan’s life known as </w:t>
      </w:r>
      <w:r w:rsidR="00E81F9D" w:rsidRPr="00E81F9D">
        <w:t xml:space="preserve">the </w:t>
      </w:r>
      <w:r w:rsidR="00E81F9D" w:rsidRPr="00E81F9D">
        <w:t>Pre</w:t>
      </w:r>
      <w:r w:rsidR="00E81F9D" w:rsidRPr="00E81F9D">
        <w:rPr>
          <w:b/>
          <w:bCs/>
        </w:rPr>
        <w:t>-</w:t>
      </w:r>
      <w:r w:rsidR="00E81F9D" w:rsidRPr="00E81F9D">
        <w:t>Raphaelites</w:t>
      </w:r>
      <w:r w:rsidR="00E81F9D">
        <w:t>.</w:t>
      </w:r>
      <w:r w:rsidR="00C5556F">
        <w:rPr>
          <w:rStyle w:val="FootnoteReference"/>
        </w:rPr>
        <w:footnoteReference w:id="13"/>
      </w:r>
      <w:r w:rsidR="00E81F9D">
        <w:t xml:space="preserve"> They were primarily a group of English artists and writers who sought to emulate and bring back into relevance the art styles of the </w:t>
      </w:r>
      <w:r w:rsidR="00E81F9D" w:rsidRPr="00E81F9D">
        <w:rPr>
          <w:lang w:val="en"/>
        </w:rPr>
        <w:t>Quattrocento</w:t>
      </w:r>
      <w:r w:rsidR="00E81F9D">
        <w:rPr>
          <w:lang w:val="en"/>
        </w:rPr>
        <w:t xml:space="preserve"> period of Italy.</w:t>
      </w:r>
      <w:r w:rsidR="00C5556F">
        <w:rPr>
          <w:rStyle w:val="FootnoteReference"/>
          <w:lang w:val="en"/>
        </w:rPr>
        <w:footnoteReference w:id="14"/>
      </w:r>
      <w:r w:rsidR="00E81F9D">
        <w:rPr>
          <w:lang w:val="en"/>
        </w:rPr>
        <w:t xml:space="preserve"> It is </w:t>
      </w:r>
      <w:r w:rsidR="00C5556F">
        <w:rPr>
          <w:lang w:val="en"/>
        </w:rPr>
        <w:t>uncertain</w:t>
      </w:r>
      <w:r w:rsidR="00E81F9D">
        <w:rPr>
          <w:lang w:val="en"/>
        </w:rPr>
        <w:t xml:space="preserve"> to say if Duncan had any</w:t>
      </w:r>
      <w:r w:rsidR="00C5556F">
        <w:rPr>
          <w:lang w:val="en"/>
        </w:rPr>
        <w:t xml:space="preserve"> direct</w:t>
      </w:r>
      <w:r w:rsidR="00E81F9D">
        <w:rPr>
          <w:lang w:val="en"/>
        </w:rPr>
        <w:t xml:space="preserve"> experiences with this group or not. However, Duncan and the group shared an appreciation for the same art styles of the Renaissance period</w:t>
      </w:r>
      <w:r w:rsidR="00C5556F">
        <w:rPr>
          <w:lang w:val="en"/>
        </w:rPr>
        <w:t xml:space="preserve"> and were both active at the same time</w:t>
      </w:r>
      <w:r w:rsidR="00E81F9D">
        <w:rPr>
          <w:lang w:val="en"/>
        </w:rPr>
        <w:t>.</w:t>
      </w:r>
    </w:p>
    <w:p w14:paraId="07529AF0" w14:textId="65B9F639" w:rsidR="00A021B5" w:rsidRDefault="00755A98" w:rsidP="00D87B22">
      <w:r>
        <w:t>Most of his work follows th</w:t>
      </w:r>
      <w:r w:rsidR="003D7408">
        <w:t>e</w:t>
      </w:r>
      <w:r>
        <w:t xml:space="preserve"> unique style Duncan created across his career but t</w:t>
      </w:r>
      <w:r w:rsidR="0077613B">
        <w:t xml:space="preserve">wo particular paintings </w:t>
      </w:r>
      <w:r>
        <w:t>really</w:t>
      </w:r>
      <w:r w:rsidR="0077613B">
        <w:t xml:space="preserve"> emphasis</w:t>
      </w:r>
      <w:r w:rsidR="003D7408">
        <w:t>e</w:t>
      </w:r>
      <w:r w:rsidR="0077613B">
        <w:t xml:space="preserve"> this synthesis of Celtic</w:t>
      </w:r>
      <w:r>
        <w:t>/Gaelic</w:t>
      </w:r>
      <w:r w:rsidR="0077613B">
        <w:t>, Arthurian and Renaissance</w:t>
      </w:r>
      <w:r>
        <w:t xml:space="preserve"> style of</w:t>
      </w:r>
      <w:r w:rsidR="0077613B">
        <w:t xml:space="preserve"> imagery</w:t>
      </w:r>
      <w:r w:rsidR="003D7408">
        <w:t>.</w:t>
      </w:r>
      <w:r w:rsidR="0077613B">
        <w:t xml:space="preserve"> </w:t>
      </w:r>
      <w:r>
        <w:t xml:space="preserve">The Taking of Excalibur and </w:t>
      </w:r>
      <w:r w:rsidR="0077613B">
        <w:t>The Riders of the Sidhe</w:t>
      </w:r>
      <w:r w:rsidR="003D7408">
        <w:t xml:space="preserve"> are examined here</w:t>
      </w:r>
      <w:r>
        <w:t>.</w:t>
      </w:r>
      <w:r w:rsidR="00F311FD">
        <w:t xml:space="preserve"> </w:t>
      </w:r>
      <w:r>
        <w:t>Both of these paintings Duncan had created as oil paintings, which was a very common style of painting across Europe during the Renaissance period, but its origins are thought to be earlier originating from the Middle East.</w:t>
      </w:r>
      <w:r w:rsidR="00A021B5">
        <w:t xml:space="preserve"> The means in which Duncan had created these two particular paintings involved the method known as</w:t>
      </w:r>
      <w:r w:rsidR="00636AA8">
        <w:t xml:space="preserve"> </w:t>
      </w:r>
      <w:r w:rsidR="00636AA8">
        <w:lastRenderedPageBreak/>
        <w:t>tempura, the most common of which and the one Duncan used for these paintings was the egg tempura method. This method requires only the yolk of an egg, and it is diluted with water, or sometimes vinegar and paint pigments to create tones seen in Duncan’s paintings.</w:t>
      </w:r>
      <w:r w:rsidR="00C5556F">
        <w:rPr>
          <w:rStyle w:val="FootnoteReference"/>
        </w:rPr>
        <w:footnoteReference w:id="15"/>
      </w:r>
    </w:p>
    <w:p w14:paraId="4BDB3ED1" w14:textId="78763FA7" w:rsidR="00A078C1" w:rsidRDefault="000153AA" w:rsidP="00D87B22">
      <w:r>
        <w:rPr>
          <w:noProof/>
          <w:u w:val="single"/>
        </w:rPr>
        <w:drawing>
          <wp:anchor distT="0" distB="0" distL="114300" distR="114300" simplePos="0" relativeHeight="251664384" behindDoc="0" locked="0" layoutInCell="1" allowOverlap="1" wp14:anchorId="6A5A97FD" wp14:editId="0B10A227">
            <wp:simplePos x="0" y="0"/>
            <wp:positionH relativeFrom="margin">
              <wp:posOffset>0</wp:posOffset>
            </wp:positionH>
            <wp:positionV relativeFrom="paragraph">
              <wp:posOffset>1270</wp:posOffset>
            </wp:positionV>
            <wp:extent cx="3596640" cy="2350231"/>
            <wp:effectExtent l="0" t="0" r="3810" b="0"/>
            <wp:wrapSquare wrapText="bothSides"/>
            <wp:docPr id="208155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2350231"/>
                    </a:xfrm>
                    <a:prstGeom prst="rect">
                      <a:avLst/>
                    </a:prstGeom>
                    <a:noFill/>
                  </pic:spPr>
                </pic:pic>
              </a:graphicData>
            </a:graphic>
            <wp14:sizeRelH relativeFrom="margin">
              <wp14:pctWidth>0</wp14:pctWidth>
            </wp14:sizeRelH>
            <wp14:sizeRelV relativeFrom="margin">
              <wp14:pctHeight>0</wp14:pctHeight>
            </wp14:sizeRelV>
          </wp:anchor>
        </w:drawing>
      </w:r>
    </w:p>
    <w:p w14:paraId="35568B53" w14:textId="501ED1FB" w:rsidR="00A078C1" w:rsidRDefault="00A078C1" w:rsidP="00D87B22"/>
    <w:p w14:paraId="2FB63F58" w14:textId="77777777" w:rsidR="00A078C1" w:rsidRDefault="00A078C1" w:rsidP="00D87B22"/>
    <w:p w14:paraId="4FDA4930" w14:textId="439D5F80" w:rsidR="00A078C1" w:rsidRDefault="00A078C1" w:rsidP="00D87B22"/>
    <w:p w14:paraId="3CEABE39" w14:textId="77777777" w:rsidR="00A078C1" w:rsidRDefault="00A078C1" w:rsidP="00D87B22"/>
    <w:p w14:paraId="032C1059" w14:textId="2D97C9E2" w:rsidR="00A078C1" w:rsidRDefault="00A078C1" w:rsidP="00D87B22"/>
    <w:p w14:paraId="43744D80" w14:textId="171A501F" w:rsidR="00A078C1" w:rsidRDefault="00A078C1" w:rsidP="00D87B22"/>
    <w:p w14:paraId="22002608" w14:textId="06543DD2" w:rsidR="000153AA" w:rsidRDefault="000153AA" w:rsidP="00D87B22"/>
    <w:p w14:paraId="5019073F" w14:textId="68D45656" w:rsidR="00C5685F" w:rsidRDefault="00C5685F" w:rsidP="00D87B22">
      <w:r>
        <w:rPr>
          <w:noProof/>
        </w:rPr>
        <mc:AlternateContent>
          <mc:Choice Requires="wps">
            <w:drawing>
              <wp:anchor distT="0" distB="0" distL="114300" distR="114300" simplePos="0" relativeHeight="251662336" behindDoc="0" locked="0" layoutInCell="1" allowOverlap="1" wp14:anchorId="0F42EEEB" wp14:editId="35011229">
                <wp:simplePos x="0" y="0"/>
                <wp:positionH relativeFrom="margin">
                  <wp:align>left</wp:align>
                </wp:positionH>
                <wp:positionV relativeFrom="paragraph">
                  <wp:posOffset>33020</wp:posOffset>
                </wp:positionV>
                <wp:extent cx="5266690" cy="635"/>
                <wp:effectExtent l="0" t="0" r="0" b="0"/>
                <wp:wrapNone/>
                <wp:docPr id="1100910160" name="Text Box 1"/>
                <wp:cNvGraphicFramePr/>
                <a:graphic xmlns:a="http://schemas.openxmlformats.org/drawingml/2006/main">
                  <a:graphicData uri="http://schemas.microsoft.com/office/word/2010/wordprocessingShape">
                    <wps:wsp>
                      <wps:cNvSpPr txBox="1"/>
                      <wps:spPr>
                        <a:xfrm>
                          <a:off x="0" y="0"/>
                          <a:ext cx="5266690" cy="635"/>
                        </a:xfrm>
                        <a:prstGeom prst="rect">
                          <a:avLst/>
                        </a:prstGeom>
                        <a:solidFill>
                          <a:prstClr val="white"/>
                        </a:solidFill>
                        <a:ln>
                          <a:noFill/>
                        </a:ln>
                      </wps:spPr>
                      <wps:txbx>
                        <w:txbxContent>
                          <w:p w14:paraId="7AD75EDA" w14:textId="4EFDDC27" w:rsidR="00A00F26" w:rsidRPr="00A00F26" w:rsidRDefault="00A00F26" w:rsidP="00A00F26">
                            <w:pPr>
                              <w:pStyle w:val="Caption"/>
                            </w:pPr>
                            <w:r>
                              <w:t xml:space="preserve">Figure </w:t>
                            </w:r>
                            <w:r w:rsidR="00CA0A02">
                              <w:fldChar w:fldCharType="begin"/>
                            </w:r>
                            <w:r w:rsidR="00CA0A02">
                              <w:instrText xml:space="preserve"> SEQ Figure \* ARABIC </w:instrText>
                            </w:r>
                            <w:r w:rsidR="00CA0A02">
                              <w:fldChar w:fldCharType="separate"/>
                            </w:r>
                            <w:r w:rsidR="00CA0A02">
                              <w:rPr>
                                <w:noProof/>
                              </w:rPr>
                              <w:t>1</w:t>
                            </w:r>
                            <w:r w:rsidR="00CA0A02">
                              <w:rPr>
                                <w:noProof/>
                              </w:rPr>
                              <w:fldChar w:fldCharType="end"/>
                            </w:r>
                            <w:r w:rsidRPr="006C4B4F">
                              <w:t>The Riders of the Sidhe: (Image source: Wordpress.com)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F42EEEB" id="_x0000_t202" coordsize="21600,21600" o:spt="202" path="m,l,21600r21600,l21600,xe">
                <v:stroke joinstyle="miter"/>
                <v:path gradientshapeok="t" o:connecttype="rect"/>
              </v:shapetype>
              <v:shape id="Text Box 1" o:spid="_x0000_s1026" type="#_x0000_t202" style="position:absolute;margin-left:0;margin-top:2.6pt;width:414.7pt;height:.05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" stroked="f">
                <v:textbox style="mso-fit-shape-to-text:t" inset="0,0,0,0">
                  <w:txbxContent>
                    <w:p w14:paraId="7AD75EDA" w14:textId="4EFDDC27" w:rsidR="00A00F26" w:rsidRPr="00A00F26" w:rsidRDefault="00A00F26" w:rsidP="00A00F26">
                      <w:pPr>
                        <w:pStyle w:val="Caption"/>
                      </w:pPr>
                      <w:r>
                        <w:t xml:space="preserve">Figure </w:t>
                      </w:r>
                      <w:r w:rsidR="00CA0A02">
                        <w:fldChar w:fldCharType="begin"/>
                      </w:r>
                      <w:r w:rsidR="00CA0A02">
                        <w:instrText xml:space="preserve"> SEQ Figure \* ARABIC </w:instrText>
                      </w:r>
                      <w:r w:rsidR="00CA0A02">
                        <w:fldChar w:fldCharType="separate"/>
                      </w:r>
                      <w:r w:rsidR="00CA0A02">
                        <w:rPr>
                          <w:noProof/>
                        </w:rPr>
                        <w:t>1</w:t>
                      </w:r>
                      <w:r w:rsidR="00CA0A02">
                        <w:rPr>
                          <w:noProof/>
                        </w:rPr>
                        <w:fldChar w:fldCharType="end"/>
                      </w:r>
                      <w:r w:rsidRPr="006C4B4F">
                        <w:t>The Riders of the Sidhe: (Image source: Wordpress.com)</w:t>
                      </w:r>
                    </w:p>
                  </w:txbxContent>
                </v:textbox>
                <w10:wrap anchorx="margin"/>
              </v:shape>
            </w:pict>
          </mc:Fallback>
        </mc:AlternateContent>
      </w:r>
    </w:p>
    <w:p w14:paraId="31607729" w14:textId="074F04F1" w:rsidR="00BC0CA7" w:rsidRDefault="008F6CC7" w:rsidP="00D87B22">
      <w:r>
        <w:t>The Riders of the Sidhe is the painting depicting the faerie type of folk known as Sidhe in Scotland</w:t>
      </w:r>
      <w:r w:rsidR="005D64A6">
        <w:t xml:space="preserve"> and</w:t>
      </w:r>
      <w:r w:rsidR="00CB110F">
        <w:t xml:space="preserve"> </w:t>
      </w:r>
      <w:r w:rsidR="00CB110F">
        <w:rPr>
          <w:lang w:val="ga-IE"/>
        </w:rPr>
        <w:t>A</w:t>
      </w:r>
      <w:r w:rsidR="00CB110F" w:rsidRPr="00CB110F">
        <w:rPr>
          <w:lang w:val="ga-IE"/>
        </w:rPr>
        <w:t xml:space="preserve">os </w:t>
      </w:r>
      <w:r w:rsidR="00CB110F">
        <w:rPr>
          <w:lang w:val="ga-IE"/>
        </w:rPr>
        <w:t>S</w:t>
      </w:r>
      <w:r w:rsidR="00CB110F" w:rsidRPr="00CB110F">
        <w:rPr>
          <w:lang w:val="ga-IE"/>
        </w:rPr>
        <w:t>í</w:t>
      </w:r>
      <w:r w:rsidR="005D64A6">
        <w:t xml:space="preserve"> </w:t>
      </w:r>
      <w:r w:rsidR="00CB110F">
        <w:t xml:space="preserve">in </w:t>
      </w:r>
      <w:r w:rsidR="005D64A6">
        <w:t>Ireland</w:t>
      </w:r>
      <w:r>
        <w:t xml:space="preserve"> riding in a procession. Each of the riders is notable for holding a unique item relevant to Celtic iconography. The first is a woman wearing a head garment with a snake atop it and holding a tree. In the Celtic world the snake symbolizes the cycle of death and rebirth</w:t>
      </w:r>
      <w:r w:rsidR="00A078C1">
        <w:t xml:space="preserve"> through its act of shedding its skin.</w:t>
      </w:r>
      <w:r w:rsidR="005D64A6">
        <w:rPr>
          <w:rStyle w:val="FootnoteReference"/>
        </w:rPr>
        <w:footnoteReference w:id="16"/>
      </w:r>
      <w:r w:rsidR="00A078C1">
        <w:t xml:space="preserve"> It is notable that Duncan chose to give the snake headdress to the woman holding what is considered to be the Tree of Life. While some cultures use trees exclusively as symbols of live and rebirth,</w:t>
      </w:r>
      <w:r w:rsidR="00CB110F">
        <w:t xml:space="preserve"> the Celts saw trees as scared due to the religious connotations as most druids operated out of scared groves</w:t>
      </w:r>
      <w:r w:rsidR="001B589C">
        <w:t xml:space="preserve"> One of the more well-known Druidic groves in Wales was burnt down by the Romans during the siege of Mona</w:t>
      </w:r>
      <w:r w:rsidR="00A078C1">
        <w:t>.</w:t>
      </w:r>
      <w:r w:rsidR="001B589C">
        <w:rPr>
          <w:rStyle w:val="FootnoteReference"/>
        </w:rPr>
        <w:footnoteReference w:id="17"/>
      </w:r>
    </w:p>
    <w:p w14:paraId="02D02EEC" w14:textId="77777777" w:rsidR="00EA7215" w:rsidRDefault="00EA7215" w:rsidP="00D87B22"/>
    <w:p w14:paraId="7911B993" w14:textId="77777777" w:rsidR="00EA7215" w:rsidRDefault="00EA7215" w:rsidP="00EA7215">
      <w:pPr>
        <w:keepNext/>
      </w:pPr>
      <w:r>
        <w:rPr>
          <w:noProof/>
          <w:u w:val="single"/>
        </w:rPr>
        <w:lastRenderedPageBreak/>
        <w:drawing>
          <wp:inline distT="0" distB="0" distL="0" distR="0" wp14:anchorId="461291CE" wp14:editId="51705B42">
            <wp:extent cx="3445164" cy="2583873"/>
            <wp:effectExtent l="0" t="0" r="3175" b="6985"/>
            <wp:docPr id="10159372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1952" cy="2588964"/>
                    </a:xfrm>
                    <a:prstGeom prst="rect">
                      <a:avLst/>
                    </a:prstGeom>
                    <a:noFill/>
                  </pic:spPr>
                </pic:pic>
              </a:graphicData>
            </a:graphic>
          </wp:inline>
        </w:drawing>
      </w:r>
    </w:p>
    <w:p w14:paraId="5907E271" w14:textId="31C6BE82" w:rsidR="00EA7215" w:rsidRDefault="00EA7215" w:rsidP="00EA7215">
      <w:pPr>
        <w:pStyle w:val="Caption"/>
      </w:pPr>
      <w:r>
        <w:t xml:space="preserve">Figure </w:t>
      </w:r>
      <w:r w:rsidR="00CA0A02">
        <w:fldChar w:fldCharType="begin"/>
      </w:r>
      <w:r w:rsidR="00CA0A02">
        <w:instrText xml:space="preserve"> SEQ Figure \* ARABIC </w:instrText>
      </w:r>
      <w:r w:rsidR="00CA0A02">
        <w:fldChar w:fldCharType="separate"/>
      </w:r>
      <w:r w:rsidR="00CA0A02">
        <w:rPr>
          <w:noProof/>
        </w:rPr>
        <w:t>2</w:t>
      </w:r>
      <w:r w:rsidR="00CA0A02">
        <w:rPr>
          <w:noProof/>
        </w:rPr>
        <w:fldChar w:fldCharType="end"/>
      </w:r>
      <w:r>
        <w:t xml:space="preserve"> </w:t>
      </w:r>
      <w:r w:rsidRPr="005F1770">
        <w:t>The Ardagh Chalice: (Image Source: National Museum of Ireland)</w:t>
      </w:r>
    </w:p>
    <w:p w14:paraId="31B8D593" w14:textId="77777777" w:rsidR="00EA7215" w:rsidRDefault="00EA7215" w:rsidP="00D87B22"/>
    <w:p w14:paraId="7D47B06E" w14:textId="29F6C125" w:rsidR="00123D1B" w:rsidRPr="008F6CC7" w:rsidRDefault="00123D1B" w:rsidP="00D87B22">
      <w:r>
        <w:t xml:space="preserve">The second rider is holding a type of chalice or grail which hold significant meaning in the Arthurian myths for granting boons of eternal youth, providing </w:t>
      </w:r>
      <w:r w:rsidRPr="00123D1B">
        <w:t>infinite abundance</w:t>
      </w:r>
      <w:r>
        <w:t xml:space="preserve"> and even having healing powers</w:t>
      </w:r>
      <w:r w:rsidR="00C5556F">
        <w:t xml:space="preserve"> due to its association with Christ</w:t>
      </w:r>
      <w:r>
        <w:t>.</w:t>
      </w:r>
      <w:r w:rsidR="00C5556F">
        <w:rPr>
          <w:rStyle w:val="FootnoteReference"/>
        </w:rPr>
        <w:footnoteReference w:id="18"/>
      </w:r>
      <w:r>
        <w:t xml:space="preserve"> While its inclusion can be thought of as artistic flare to link in the Celt</w:t>
      </w:r>
      <w:r w:rsidR="00CB110F">
        <w:t>s and the Gaelic</w:t>
      </w:r>
      <w:r>
        <w:t xml:space="preserve"> myth together</w:t>
      </w:r>
      <w:r w:rsidR="00CB110F">
        <w:t>.</w:t>
      </w:r>
      <w:r>
        <w:t xml:space="preserve"> Upon closer exanimation it appears the chalice Duncan has painted bares a striking resemblance to the</w:t>
      </w:r>
      <w:r w:rsidR="00EA7215">
        <w:t xml:space="preserve"> </w:t>
      </w:r>
      <w:r w:rsidR="00EA7215" w:rsidRPr="00EA7215">
        <w:t>Ardagh Chalice</w:t>
      </w:r>
      <w:r w:rsidR="00EA7215">
        <w:t xml:space="preserve">, if at a slightly bigger scale </w:t>
      </w:r>
      <w:r w:rsidR="00CB110F">
        <w:t>in</w:t>
      </w:r>
      <w:r w:rsidR="00EA7215">
        <w:t xml:space="preserve"> the painting. The Ardagh Chalice</w:t>
      </w:r>
      <w:r>
        <w:t xml:space="preserve"> </w:t>
      </w:r>
      <w:r w:rsidR="00EA7215">
        <w:t>that was discovered in Ireland in 1868 and could have possibly remained in the cultural memory enough for Duncan to use as a point of reference.</w:t>
      </w:r>
      <w:r w:rsidR="002019E3">
        <w:rPr>
          <w:rStyle w:val="FootnoteReference"/>
        </w:rPr>
        <w:footnoteReference w:id="19"/>
      </w:r>
    </w:p>
    <w:p w14:paraId="387F181D" w14:textId="4AE1651E" w:rsidR="00755A98" w:rsidRPr="00A00F26" w:rsidRDefault="00755A98" w:rsidP="00713D19">
      <w:pPr>
        <w:pStyle w:val="Caption"/>
        <w:rPr>
          <w:i w:val="0"/>
          <w:iCs w:val="0"/>
        </w:rPr>
      </w:pPr>
    </w:p>
    <w:p w14:paraId="2A2AEC72" w14:textId="41B6CF75" w:rsidR="00C5556F" w:rsidRDefault="00EA7215" w:rsidP="00C5556F">
      <w:r>
        <w:t>The third rider is a warrior welding a sword and shield. The sword is a symbol of strength and bravery across many cultures, but it is notable that Duncan has depicted both the sword and the shield as the type that were commonly used by the Celts in the Bronze Age.</w:t>
      </w:r>
      <w:r w:rsidR="002019E3">
        <w:rPr>
          <w:rStyle w:val="FootnoteReference"/>
        </w:rPr>
        <w:footnoteReference w:id="20"/>
      </w:r>
      <w:r>
        <w:t xml:space="preserve"> The shield especially bares a very striking resemblance to The Battersea Shield that was recovered from the Thames in London in </w:t>
      </w:r>
      <w:r w:rsidRPr="00EA7215">
        <w:t>1857</w:t>
      </w:r>
      <w:r>
        <w:t>.</w:t>
      </w:r>
      <w:r w:rsidR="002019E3">
        <w:rPr>
          <w:rStyle w:val="FootnoteReference"/>
        </w:rPr>
        <w:footnoteReference w:id="21"/>
      </w:r>
      <w:r w:rsidR="00F24B77">
        <w:t xml:space="preserve"> Robertson comments that Duncan had a keen interest in the illustrations of various museum collections, which may </w:t>
      </w:r>
      <w:r w:rsidR="00A63365">
        <w:t>have</w:t>
      </w:r>
      <w:r w:rsidR="00F24B77">
        <w:t xml:space="preserve"> provided him with the to use the Battersea Shield as a point of reference. </w:t>
      </w:r>
      <w:r w:rsidR="00A63365">
        <w:rPr>
          <w:rStyle w:val="FootnoteReference"/>
        </w:rPr>
        <w:footnoteReference w:id="22"/>
      </w:r>
      <w:r w:rsidR="00C5556F" w:rsidRPr="00C5556F">
        <w:t xml:space="preserve"> </w:t>
      </w:r>
      <w:r w:rsidR="00C5556F">
        <w:lastRenderedPageBreak/>
        <w:t>The fourth rider is described as carrying the only what is known as the ‘stone of quietness’.</w:t>
      </w:r>
    </w:p>
    <w:p w14:paraId="7C7AE2D4" w14:textId="4BBD8C29" w:rsidR="00713D19" w:rsidRDefault="00713D19" w:rsidP="00713D19"/>
    <w:p w14:paraId="51421494" w14:textId="77777777" w:rsidR="00713D19" w:rsidRDefault="00713D19" w:rsidP="00713D19">
      <w:pPr>
        <w:keepNext/>
      </w:pPr>
      <w:r>
        <w:rPr>
          <w:noProof/>
        </w:rPr>
        <w:drawing>
          <wp:inline distT="0" distB="0" distL="0" distR="0" wp14:anchorId="483E82E8" wp14:editId="301D7D8F">
            <wp:extent cx="2216727" cy="3046022"/>
            <wp:effectExtent l="0" t="0" r="0" b="2540"/>
            <wp:docPr id="15334459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9286" cy="3063280"/>
                    </a:xfrm>
                    <a:prstGeom prst="rect">
                      <a:avLst/>
                    </a:prstGeom>
                    <a:noFill/>
                  </pic:spPr>
                </pic:pic>
              </a:graphicData>
            </a:graphic>
          </wp:inline>
        </w:drawing>
      </w:r>
    </w:p>
    <w:p w14:paraId="337BF2A0" w14:textId="27F3189C" w:rsidR="00713D19" w:rsidRDefault="00713D19" w:rsidP="00713D19">
      <w:pPr>
        <w:pStyle w:val="Caption"/>
      </w:pPr>
      <w:r>
        <w:t xml:space="preserve">Figure </w:t>
      </w:r>
      <w:r w:rsidR="00CA0A02">
        <w:fldChar w:fldCharType="begin"/>
      </w:r>
      <w:r w:rsidR="00CA0A02">
        <w:instrText xml:space="preserve"> SEQ Figure \* ARABIC </w:instrText>
      </w:r>
      <w:r w:rsidR="00CA0A02">
        <w:fldChar w:fldCharType="separate"/>
      </w:r>
      <w:r w:rsidR="00CA0A02">
        <w:rPr>
          <w:noProof/>
        </w:rPr>
        <w:t>3</w:t>
      </w:r>
      <w:r w:rsidR="00CA0A02">
        <w:rPr>
          <w:noProof/>
        </w:rPr>
        <w:fldChar w:fldCharType="end"/>
      </w:r>
      <w:r>
        <w:t xml:space="preserve"> Battersea Shield: (Image Source London </w:t>
      </w:r>
      <w:r w:rsidR="00A63365">
        <w:t>Museum</w:t>
      </w:r>
      <w:r>
        <w:t>)</w:t>
      </w:r>
    </w:p>
    <w:p w14:paraId="594CF55B" w14:textId="77777777" w:rsidR="00684C37" w:rsidRDefault="00684C37" w:rsidP="00684C37"/>
    <w:p w14:paraId="33885DB2" w14:textId="77777777" w:rsidR="005263F3" w:rsidRDefault="005263F3" w:rsidP="00684C37"/>
    <w:p w14:paraId="686090F9" w14:textId="5B176A58" w:rsidR="005263F3" w:rsidRPr="005263F3" w:rsidRDefault="005263F3" w:rsidP="005263F3">
      <w:r>
        <w:t xml:space="preserve">The objects held or worn by the Sidhe riders are not the only Celtic iconography that Duncan has incorporated for this painting, several examples of Celtic styled knotwork is subtlety added in on the clasps and other objects used to hold the horse’s </w:t>
      </w:r>
      <w:r>
        <w:rPr>
          <w:lang w:val="en"/>
        </w:rPr>
        <w:t>c</w:t>
      </w:r>
      <w:r w:rsidRPr="005263F3">
        <w:rPr>
          <w:lang w:val="en"/>
        </w:rPr>
        <w:t>aparison</w:t>
      </w:r>
      <w:r>
        <w:rPr>
          <w:lang w:val="en"/>
        </w:rPr>
        <w:t xml:space="preserve"> in place. Celtic knotwor</w:t>
      </w:r>
      <w:r w:rsidR="00CF0208">
        <w:rPr>
          <w:lang w:val="en"/>
        </w:rPr>
        <w:t>ks are various in design but tend to follow a similar pattern of a twisting and connecting knot. While thought to be originally Roman in practice, the knotwork has become synonymous with the Celts and has appear all over several ancient monuments and early manuscripts such as the Book of Kells for example.</w:t>
      </w:r>
      <w:r w:rsidR="00CF0208">
        <w:rPr>
          <w:rStyle w:val="FootnoteReference"/>
          <w:lang w:val="en"/>
        </w:rPr>
        <w:footnoteReference w:id="23"/>
      </w:r>
    </w:p>
    <w:p w14:paraId="48B79CBB" w14:textId="77777777" w:rsidR="00CA0A02" w:rsidRDefault="00CA0A02" w:rsidP="00CA0A02">
      <w:pPr>
        <w:keepNext/>
      </w:pPr>
      <w:r>
        <w:rPr>
          <w:noProof/>
        </w:rPr>
        <w:lastRenderedPageBreak/>
        <w:drawing>
          <wp:inline distT="0" distB="0" distL="0" distR="0" wp14:anchorId="0961986E" wp14:editId="55BA2D00">
            <wp:extent cx="3868074" cy="2658712"/>
            <wp:effectExtent l="0" t="0" r="0" b="8890"/>
            <wp:docPr id="2118686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2552" cy="2661790"/>
                    </a:xfrm>
                    <a:prstGeom prst="rect">
                      <a:avLst/>
                    </a:prstGeom>
                    <a:noFill/>
                    <a:ln>
                      <a:noFill/>
                    </a:ln>
                  </pic:spPr>
                </pic:pic>
              </a:graphicData>
            </a:graphic>
          </wp:inline>
        </w:drawing>
      </w:r>
    </w:p>
    <w:p w14:paraId="5AFA6677" w14:textId="50C8A605" w:rsidR="005263F3" w:rsidRDefault="00CA0A02" w:rsidP="00CA0A02">
      <w:pPr>
        <w:pStyle w:val="Caption"/>
      </w:pPr>
      <w:r>
        <w:t xml:space="preserve">Figure </w:t>
      </w:r>
      <w:r>
        <w:fldChar w:fldCharType="begin"/>
      </w:r>
      <w:r>
        <w:instrText xml:space="preserve"> SEQ Figure \* ARABIC </w:instrText>
      </w:r>
      <w:r>
        <w:fldChar w:fldCharType="separate"/>
      </w:r>
      <w:r>
        <w:rPr>
          <w:noProof/>
        </w:rPr>
        <w:t>4</w:t>
      </w:r>
      <w:r>
        <w:rPr>
          <w:noProof/>
        </w:rPr>
        <w:fldChar w:fldCharType="end"/>
      </w:r>
      <w:r>
        <w:t xml:space="preserve"> The Taking of Excalibur (Image Source: Artuk.org)</w:t>
      </w:r>
    </w:p>
    <w:p w14:paraId="001D908D" w14:textId="77777777" w:rsidR="00CA0A02" w:rsidRDefault="00CA0A02" w:rsidP="00684C37"/>
    <w:p w14:paraId="53219A10" w14:textId="1D6CB543" w:rsidR="003716EE" w:rsidRDefault="003716EE" w:rsidP="00684C37">
      <w:r>
        <w:t>The Taking of Excalibur depicts</w:t>
      </w:r>
      <w:r w:rsidR="00737D57">
        <w:t xml:space="preserve"> a scene from the Arthurian legends where Arthur is gifted the legendary sword by the Lady of the Lake.</w:t>
      </w:r>
      <w:r w:rsidR="008A118C">
        <w:rPr>
          <w:rStyle w:val="FootnoteReference"/>
        </w:rPr>
        <w:footnoteReference w:id="24"/>
      </w:r>
      <w:r w:rsidR="00737D57">
        <w:t xml:space="preserve"> The Arthurian legends can be trace across the British Isle in various forms before</w:t>
      </w:r>
      <w:r w:rsidR="002019E3">
        <w:t xml:space="preserve"> many of the tales were </w:t>
      </w:r>
      <w:r w:rsidR="00737D57">
        <w:t xml:space="preserve">reinterpreted </w:t>
      </w:r>
      <w:r w:rsidR="002019E3">
        <w:t xml:space="preserve">by </w:t>
      </w:r>
      <w:r w:rsidR="002019E3" w:rsidRPr="00286F7C">
        <w:t>Geoffrey of Monmouth</w:t>
      </w:r>
      <w:r w:rsidR="002019E3">
        <w:t xml:space="preserve"> in the 11</w:t>
      </w:r>
      <w:r w:rsidR="002019E3" w:rsidRPr="002019E3">
        <w:rPr>
          <w:vertAlign w:val="superscript"/>
        </w:rPr>
        <w:t>th</w:t>
      </w:r>
      <w:r w:rsidR="002019E3">
        <w:t xml:space="preserve"> century. The additions added by Geoffrey of Monmouth and later authors have</w:t>
      </w:r>
      <w:r w:rsidR="002019E3">
        <w:t xml:space="preserve"> shaped how we consider the Arthurian mythos today</w:t>
      </w:r>
      <w:r w:rsidR="008A118C">
        <w:rPr>
          <w:rStyle w:val="FootnoteReference"/>
        </w:rPr>
        <w:footnoteReference w:id="25"/>
      </w:r>
      <w:r w:rsidR="002019E3">
        <w:t>.</w:t>
      </w:r>
      <w:r w:rsidR="00737D57">
        <w:t xml:space="preserve"> In Duncan’s interpretation, he pays homage to both the original versions of the tale in the style of the visual iconography</w:t>
      </w:r>
      <w:r w:rsidR="008A118C">
        <w:t xml:space="preserve">. In the painting Duncan has depicted several of the characters wearing adornments bearing a Celtic knotwork style and the appearance of the snake but be in relation to one of the legends or possibly another Celtic inclusion given the importance snake iconography was to the Celtic people. </w:t>
      </w:r>
    </w:p>
    <w:p w14:paraId="51289D53" w14:textId="0E855C0B" w:rsidR="003716EE" w:rsidRPr="00E81F9D" w:rsidRDefault="003716EE" w:rsidP="00684C37">
      <w:r>
        <w:t>The artwork that John Duncan created throughout his life details the unique blend of cultural themes. By mixing visual, mythological</w:t>
      </w:r>
      <w:r w:rsidR="00156A8A">
        <w:t>, symbolic</w:t>
      </w:r>
      <w:r>
        <w:t xml:space="preserve"> and historical iconographies together </w:t>
      </w:r>
      <w:r w:rsidR="00156A8A" w:rsidRPr="0036346D">
        <w:t>Duncan</w:t>
      </w:r>
      <w:r w:rsidR="00156A8A">
        <w:t xml:space="preserve"> has</w:t>
      </w:r>
      <w:r w:rsidR="00156A8A" w:rsidRPr="0036346D">
        <w:t xml:space="preserve"> constructed a uniquely modern vision of the Celtic past. </w:t>
      </w:r>
      <w:r w:rsidR="00156A8A">
        <w:t xml:space="preserve">The </w:t>
      </w:r>
      <w:r w:rsidR="00156A8A" w:rsidRPr="0036346D">
        <w:t xml:space="preserve">paintings </w:t>
      </w:r>
      <w:r w:rsidR="00156A8A">
        <w:t>created by Duncan have</w:t>
      </w:r>
      <w:r w:rsidR="00156A8A" w:rsidRPr="0036346D">
        <w:t xml:space="preserve"> transformed folklore and legend into allegories of cultural identity and transcendence, positioning Celtic myth</w:t>
      </w:r>
      <w:r w:rsidR="00101EEC">
        <w:t>s</w:t>
      </w:r>
      <w:r w:rsidR="00156A8A" w:rsidRPr="0036346D">
        <w:t xml:space="preserve"> as a source of aesthetic and spiritual renewal in modern Scotland.</w:t>
      </w:r>
      <w:r w:rsidR="00156A8A">
        <w:t xml:space="preserve"> This sense of redefining what modern Celtic art means is why Duncan’s creations</w:t>
      </w:r>
      <w:r w:rsidR="00156A8A" w:rsidRPr="0036346D">
        <w:t xml:space="preserve"> remain essential for understanding the relationship between mythology, nationalism, and modern art in the late nineteenth and early twentieth centuries.</w:t>
      </w:r>
    </w:p>
    <w:p w14:paraId="13D592BE" w14:textId="212AB823" w:rsidR="00755A98" w:rsidRPr="00E81F9D" w:rsidRDefault="00755A98" w:rsidP="00684C37">
      <w:pPr>
        <w:pStyle w:val="Caption"/>
        <w:rPr>
          <w:i w:val="0"/>
          <w:iCs w:val="0"/>
          <w:u w:val="single"/>
        </w:rPr>
      </w:pPr>
    </w:p>
    <w:p w14:paraId="3A1C891F" w14:textId="77777777" w:rsidR="002019E3" w:rsidRDefault="002019E3" w:rsidP="001A6B86">
      <w:pPr>
        <w:rPr>
          <w:u w:val="single"/>
        </w:rPr>
      </w:pPr>
    </w:p>
    <w:p w14:paraId="29E71036" w14:textId="43BEF139" w:rsidR="00755A98" w:rsidRDefault="008F6CC7" w:rsidP="001A6B86">
      <w:pPr>
        <w:jc w:val="center"/>
        <w:rPr>
          <w:u w:val="single"/>
        </w:rPr>
      </w:pPr>
      <w:r>
        <w:rPr>
          <w:u w:val="single"/>
        </w:rPr>
        <w:t>Image Source:</w:t>
      </w:r>
    </w:p>
    <w:p w14:paraId="7971FC80" w14:textId="77777777" w:rsidR="008F6CC7" w:rsidRDefault="008F6CC7" w:rsidP="008F6CC7"/>
    <w:p w14:paraId="7758004C" w14:textId="081AFC06" w:rsidR="008F6CC7" w:rsidRDefault="008F6CC7" w:rsidP="008F6CC7">
      <w:r>
        <w:t xml:space="preserve">The Riders of the Sidhe: </w:t>
      </w:r>
      <w:hyperlink r:id="rId12" w:history="1">
        <w:r w:rsidRPr="00065591">
          <w:rPr>
            <w:rStyle w:val="Hyperlink"/>
          </w:rPr>
          <w:t>https://astrofella.wordpress.com/wp-content/uploads/2015/10/riders-of-sidhe.jpg</w:t>
        </w:r>
      </w:hyperlink>
    </w:p>
    <w:p w14:paraId="6ACECB56" w14:textId="77777777" w:rsidR="008F6CC7" w:rsidRDefault="008F6CC7" w:rsidP="008F6CC7"/>
    <w:p w14:paraId="4817C54D" w14:textId="6B63759E" w:rsidR="008F6CC7" w:rsidRDefault="008F6CC7" w:rsidP="008F6CC7">
      <w:r>
        <w:t xml:space="preserve">The Battersea Shield: </w:t>
      </w:r>
      <w:hyperlink r:id="rId13" w:history="1">
        <w:r w:rsidRPr="00065591">
          <w:rPr>
            <w:rStyle w:val="Hyperlink"/>
          </w:rPr>
          <w:t>https://www.londonmuseum.org.uk/blog/battersea-shield-river-thames/</w:t>
        </w:r>
      </w:hyperlink>
    </w:p>
    <w:p w14:paraId="4A102A48" w14:textId="77777777" w:rsidR="008F6CC7" w:rsidRPr="008F6CC7" w:rsidRDefault="008F6CC7" w:rsidP="008F6CC7"/>
    <w:p w14:paraId="03C2697A" w14:textId="0863703E" w:rsidR="008F6CC7" w:rsidRDefault="008F6CC7" w:rsidP="00D87B22">
      <w:r>
        <w:t xml:space="preserve">The Ardagh Chalice: </w:t>
      </w:r>
      <w:hyperlink r:id="rId14" w:history="1">
        <w:r w:rsidRPr="00065591">
          <w:rPr>
            <w:rStyle w:val="Hyperlink"/>
          </w:rPr>
          <w:t>https://www.museum.ie/en-IE/Collections-Research/Collection/The-Treasury/Artefact/The-Ardagh-Chalice/ac53e68e-76a4-4560-a624-c87647c57a00</w:t>
        </w:r>
      </w:hyperlink>
    </w:p>
    <w:p w14:paraId="638CE24F" w14:textId="77777777" w:rsidR="008F6CC7" w:rsidRPr="008F6CC7" w:rsidRDefault="008F6CC7" w:rsidP="00D87B22"/>
    <w:p w14:paraId="79822545" w14:textId="292A4588" w:rsidR="00755A98" w:rsidRDefault="00CA0A02" w:rsidP="00D87B22">
      <w:r>
        <w:t xml:space="preserve">The Taking of Excalibur: </w:t>
      </w:r>
      <w:hyperlink r:id="rId15" w:history="1">
        <w:r w:rsidRPr="00DC14E5">
          <w:rPr>
            <w:rStyle w:val="Hyperlink"/>
          </w:rPr>
          <w:t>https://artuk.org/discover/artworks/the-taking-of-excalibur-93240</w:t>
        </w:r>
      </w:hyperlink>
    </w:p>
    <w:p w14:paraId="18780ABD" w14:textId="77777777" w:rsidR="00CA0A02" w:rsidRDefault="00CA0A02" w:rsidP="00D87B22">
      <w:pPr>
        <w:rPr>
          <w:u w:val="single"/>
        </w:rPr>
      </w:pPr>
    </w:p>
    <w:p w14:paraId="7F3E44C8" w14:textId="77777777" w:rsidR="00755A98" w:rsidRDefault="00755A98" w:rsidP="00D87B22">
      <w:pPr>
        <w:rPr>
          <w:u w:val="single"/>
        </w:rPr>
      </w:pPr>
    </w:p>
    <w:p w14:paraId="749D7DAA" w14:textId="77777777" w:rsidR="00755A98" w:rsidRDefault="00755A98" w:rsidP="00D87B22">
      <w:pPr>
        <w:rPr>
          <w:u w:val="single"/>
        </w:rPr>
      </w:pPr>
    </w:p>
    <w:p w14:paraId="475C5A51" w14:textId="77777777" w:rsidR="00755A98" w:rsidRDefault="00755A98" w:rsidP="00D87B22">
      <w:pPr>
        <w:rPr>
          <w:u w:val="single"/>
        </w:rPr>
      </w:pPr>
    </w:p>
    <w:p w14:paraId="04AAB582" w14:textId="77777777" w:rsidR="00755A98" w:rsidRDefault="00755A98" w:rsidP="00D87B22">
      <w:pPr>
        <w:rPr>
          <w:u w:val="single"/>
        </w:rPr>
      </w:pPr>
    </w:p>
    <w:p w14:paraId="79E277B9" w14:textId="77777777" w:rsidR="00755A98" w:rsidRDefault="00755A98" w:rsidP="00D87B22">
      <w:pPr>
        <w:rPr>
          <w:u w:val="single"/>
        </w:rPr>
      </w:pPr>
    </w:p>
    <w:p w14:paraId="3072E434" w14:textId="77777777" w:rsidR="00755A98" w:rsidRDefault="00755A98" w:rsidP="00D87B22">
      <w:pPr>
        <w:rPr>
          <w:u w:val="single"/>
        </w:rPr>
      </w:pPr>
    </w:p>
    <w:p w14:paraId="77A6BE7A" w14:textId="77777777" w:rsidR="00755A98" w:rsidRDefault="00755A98" w:rsidP="00D87B22">
      <w:pPr>
        <w:rPr>
          <w:u w:val="single"/>
        </w:rPr>
      </w:pPr>
    </w:p>
    <w:p w14:paraId="66627364" w14:textId="77777777" w:rsidR="00755A98" w:rsidRDefault="00755A98" w:rsidP="00D87B22">
      <w:pPr>
        <w:rPr>
          <w:u w:val="single"/>
        </w:rPr>
      </w:pPr>
    </w:p>
    <w:p w14:paraId="7740D41B" w14:textId="77777777" w:rsidR="00755A98" w:rsidRDefault="00755A98" w:rsidP="00D87B22">
      <w:pPr>
        <w:rPr>
          <w:u w:val="single"/>
        </w:rPr>
      </w:pPr>
    </w:p>
    <w:p w14:paraId="21DE7B5C" w14:textId="77777777" w:rsidR="00755A98" w:rsidRDefault="00755A98" w:rsidP="00D87B22">
      <w:pPr>
        <w:rPr>
          <w:u w:val="single"/>
        </w:rPr>
      </w:pPr>
    </w:p>
    <w:p w14:paraId="4A16F56B" w14:textId="77777777" w:rsidR="00A63365" w:rsidRDefault="00A63365" w:rsidP="00D87B22">
      <w:pPr>
        <w:rPr>
          <w:u w:val="single"/>
        </w:rPr>
      </w:pPr>
    </w:p>
    <w:p w14:paraId="5D3A8BB6" w14:textId="77777777" w:rsidR="00A63365" w:rsidRDefault="00A63365" w:rsidP="00D87B22">
      <w:pPr>
        <w:rPr>
          <w:u w:val="single"/>
        </w:rPr>
      </w:pPr>
    </w:p>
    <w:p w14:paraId="77CF51F1" w14:textId="77777777" w:rsidR="00B803CE" w:rsidRDefault="00B803CE" w:rsidP="00D87B22">
      <w:pPr>
        <w:rPr>
          <w:u w:val="single"/>
        </w:rPr>
      </w:pPr>
    </w:p>
    <w:p w14:paraId="0165DCD1" w14:textId="04C38E66" w:rsidR="00D87B22" w:rsidRDefault="00D87B22" w:rsidP="00A63365">
      <w:pPr>
        <w:jc w:val="center"/>
        <w:rPr>
          <w:u w:val="single"/>
        </w:rPr>
      </w:pPr>
      <w:r w:rsidRPr="00D87B22">
        <w:rPr>
          <w:u w:val="single"/>
        </w:rPr>
        <w:lastRenderedPageBreak/>
        <w:t>Bibliography</w:t>
      </w:r>
    </w:p>
    <w:p w14:paraId="4DFA0218" w14:textId="77777777" w:rsidR="00234C86" w:rsidRDefault="00234C86" w:rsidP="00D87B22">
      <w:pPr>
        <w:rPr>
          <w:u w:val="single"/>
        </w:rPr>
      </w:pPr>
    </w:p>
    <w:p w14:paraId="66092A44" w14:textId="77777777" w:rsidR="001B589C" w:rsidRPr="001B589C" w:rsidRDefault="00234C86" w:rsidP="001B589C">
      <w:pPr>
        <w:pStyle w:val="Bibliography"/>
      </w:pPr>
      <w:r>
        <w:rPr>
          <w:u w:val="single"/>
        </w:rPr>
        <w:fldChar w:fldCharType="begin"/>
      </w:r>
      <w:r>
        <w:rPr>
          <w:u w:val="single"/>
        </w:rPr>
        <w:instrText xml:space="preserve"> ADDIN ZOTERO_BIBL {"uncited":[],"omitted":[],"custom":[]} CSL_BIBLIOGRAPHY </w:instrText>
      </w:r>
      <w:r>
        <w:rPr>
          <w:u w:val="single"/>
        </w:rPr>
        <w:fldChar w:fldCharType="separate"/>
      </w:r>
      <w:r w:rsidR="001B589C" w:rsidRPr="001B589C">
        <w:t xml:space="preserve">Bain, George, </w:t>
      </w:r>
      <w:r w:rsidR="001B589C" w:rsidRPr="001B589C">
        <w:rPr>
          <w:i/>
          <w:iCs/>
        </w:rPr>
        <w:t>Celtic Art: The Methods of Construction</w:t>
      </w:r>
      <w:r w:rsidR="001B589C" w:rsidRPr="001B589C">
        <w:t xml:space="preserve"> (Courier Corporation, 1973)</w:t>
      </w:r>
    </w:p>
    <w:p w14:paraId="08A76546" w14:textId="77777777" w:rsidR="001B589C" w:rsidRPr="001B589C" w:rsidRDefault="001B589C" w:rsidP="001B589C">
      <w:pPr>
        <w:pStyle w:val="Bibliography"/>
      </w:pPr>
      <w:r w:rsidRPr="001B589C">
        <w:t xml:space="preserve">Berthelot, Anne, ‘Merlin and the Ladies of the Lake’, </w:t>
      </w:r>
      <w:r w:rsidRPr="001B589C">
        <w:rPr>
          <w:i/>
          <w:iCs/>
        </w:rPr>
        <w:t>Arthuriana</w:t>
      </w:r>
      <w:r w:rsidRPr="001B589C">
        <w:t>, 10.1 (2000), pp. 55–81</w:t>
      </w:r>
    </w:p>
    <w:p w14:paraId="18E4D77E" w14:textId="77777777" w:rsidR="001B589C" w:rsidRPr="001B589C" w:rsidRDefault="001B589C" w:rsidP="001B589C">
      <w:pPr>
        <w:pStyle w:val="Bibliography"/>
      </w:pPr>
      <w:r w:rsidRPr="001B589C">
        <w:t>‘Botticelli, Sandro’, Grove Art Online, n.d. &lt;https://www.oxfordartonline.com/groveart/display/10.1093/gao/9781884446054.001.0001/oao-9781884446054-e-7000010385&gt; [accessed 21 May 2026]</w:t>
      </w:r>
    </w:p>
    <w:p w14:paraId="1E2BC4EF" w14:textId="77777777" w:rsidR="001B589C" w:rsidRPr="001B589C" w:rsidRDefault="001B589C" w:rsidP="001B589C">
      <w:pPr>
        <w:pStyle w:val="Bibliography"/>
      </w:pPr>
      <w:r w:rsidRPr="001B589C">
        <w:t>Bowman, Marion, ‘</w:t>
      </w:r>
      <w:proofErr w:type="spellStart"/>
      <w:r w:rsidRPr="001B589C">
        <w:t>Contempary</w:t>
      </w:r>
      <w:proofErr w:type="spellEnd"/>
      <w:r w:rsidRPr="001B589C">
        <w:t xml:space="preserve"> Celtic Spirituality’, in </w:t>
      </w:r>
      <w:r w:rsidRPr="001B589C">
        <w:rPr>
          <w:i/>
          <w:iCs/>
        </w:rPr>
        <w:t>New Directions in Celtic Studies</w:t>
      </w:r>
      <w:r w:rsidRPr="001B589C">
        <w:t>, ed. by Amy Hale and Philip Payton (University of Exeter Press, 2000)</w:t>
      </w:r>
    </w:p>
    <w:p w14:paraId="102EB53B" w14:textId="77777777" w:rsidR="001B589C" w:rsidRPr="001B589C" w:rsidRDefault="001B589C" w:rsidP="001B589C">
      <w:pPr>
        <w:pStyle w:val="Bibliography"/>
      </w:pPr>
      <w:r w:rsidRPr="001B589C">
        <w:t xml:space="preserve">‘Cornelius Tacitus, The Life of </w:t>
      </w:r>
      <w:proofErr w:type="spellStart"/>
      <w:r w:rsidRPr="001B589C">
        <w:t>Cnæus</w:t>
      </w:r>
      <w:proofErr w:type="spellEnd"/>
      <w:r w:rsidRPr="001B589C">
        <w:t xml:space="preserve"> Julius Agricola, Chapter 18’, n.d. &lt;https://www.perseus.tufts.edu/hopper/text?doc=Perseus:text:1999.02.0081:chapter=18&gt; [accessed 21 May 2026]</w:t>
      </w:r>
    </w:p>
    <w:p w14:paraId="6AEB58F2" w14:textId="77777777" w:rsidR="001B589C" w:rsidRPr="001B589C" w:rsidRDefault="001B589C" w:rsidP="001B589C">
      <w:pPr>
        <w:pStyle w:val="Bibliography"/>
      </w:pPr>
      <w:r w:rsidRPr="001B589C">
        <w:t xml:space="preserve">Curley, Thomas M., </w:t>
      </w:r>
      <w:r w:rsidRPr="001B589C">
        <w:rPr>
          <w:i/>
          <w:iCs/>
        </w:rPr>
        <w:t>Samuel Johnson, the Ossian Fraud, and the Celtic Revival in Great Britain and Ireland</w:t>
      </w:r>
      <w:r w:rsidRPr="001B589C">
        <w:t xml:space="preserve"> (Cambridge University Press, 2009)</w:t>
      </w:r>
    </w:p>
    <w:p w14:paraId="61C024D0" w14:textId="77777777" w:rsidR="001B589C" w:rsidRPr="001B589C" w:rsidRDefault="001B589C" w:rsidP="001B589C">
      <w:pPr>
        <w:pStyle w:val="Bibliography"/>
      </w:pPr>
      <w:r w:rsidRPr="001B589C">
        <w:t>‘Definition of HOLY GRAIL’, 29 April 2026 &lt;https://www.merriam-webster.com/dictionary/Holy+Grail&gt; [accessed 21 May 2026]</w:t>
      </w:r>
    </w:p>
    <w:p w14:paraId="235124CB" w14:textId="77777777" w:rsidR="001B589C" w:rsidRPr="001B589C" w:rsidRDefault="001B589C" w:rsidP="001B589C">
      <w:pPr>
        <w:pStyle w:val="Bibliography"/>
      </w:pPr>
      <w:r w:rsidRPr="001B589C">
        <w:t xml:space="preserve">Evans, John, </w:t>
      </w:r>
      <w:r w:rsidRPr="001B589C">
        <w:rPr>
          <w:i/>
          <w:iCs/>
        </w:rPr>
        <w:t>The Ancient Bronze Implements, Weapons, and Ornaments of Great Britain and Ireland</w:t>
      </w:r>
      <w:r w:rsidRPr="001B589C">
        <w:t xml:space="preserve"> (Library of Alexandria, 2020)</w:t>
      </w:r>
    </w:p>
    <w:p w14:paraId="7AFD426E" w14:textId="77777777" w:rsidR="001B589C" w:rsidRPr="001B589C" w:rsidRDefault="001B589C" w:rsidP="001B589C">
      <w:pPr>
        <w:pStyle w:val="Bibliography"/>
      </w:pPr>
      <w:proofErr w:type="spellStart"/>
      <w:r w:rsidRPr="001B589C">
        <w:t>Facos</w:t>
      </w:r>
      <w:proofErr w:type="spellEnd"/>
      <w:r w:rsidRPr="001B589C">
        <w:t xml:space="preserve">, Michelle, </w:t>
      </w:r>
      <w:r w:rsidRPr="001B589C">
        <w:rPr>
          <w:i/>
          <w:iCs/>
        </w:rPr>
        <w:t>Symbolist Art in Context</w:t>
      </w:r>
      <w:r w:rsidRPr="001B589C">
        <w:t xml:space="preserve"> (</w:t>
      </w:r>
      <w:proofErr w:type="spellStart"/>
      <w:r w:rsidRPr="001B589C">
        <w:t>Univ</w:t>
      </w:r>
      <w:proofErr w:type="spellEnd"/>
      <w:r w:rsidRPr="001B589C">
        <w:t xml:space="preserve"> of California Press, 2009)</w:t>
      </w:r>
    </w:p>
    <w:p w14:paraId="60EA6920" w14:textId="77777777" w:rsidR="001B589C" w:rsidRPr="001B589C" w:rsidRDefault="001B589C" w:rsidP="001B589C">
      <w:pPr>
        <w:pStyle w:val="Bibliography"/>
      </w:pPr>
      <w:r w:rsidRPr="001B589C">
        <w:t xml:space="preserve">Geoffrey of Monmouth and Lewis Thorpe (introduction and translation)., with Internet Archive, </w:t>
      </w:r>
      <w:r w:rsidRPr="001B589C">
        <w:rPr>
          <w:i/>
          <w:iCs/>
        </w:rPr>
        <w:t xml:space="preserve">Geoffrey of Monmouth The History of the </w:t>
      </w:r>
      <w:proofErr w:type="spellStart"/>
      <w:r w:rsidRPr="001B589C">
        <w:rPr>
          <w:i/>
          <w:iCs/>
        </w:rPr>
        <w:t>KIngs</w:t>
      </w:r>
      <w:proofErr w:type="spellEnd"/>
      <w:r w:rsidRPr="001B589C">
        <w:rPr>
          <w:i/>
          <w:iCs/>
        </w:rPr>
        <w:t xml:space="preserve"> of Britain</w:t>
      </w:r>
      <w:r w:rsidRPr="001B589C">
        <w:t xml:space="preserve"> (Penguin Books Ltd., 1968) &lt;http://archive.org/details/geoffreyofmonmou0000geof&gt; [accessed 20 May 2026]</w:t>
      </w:r>
    </w:p>
    <w:p w14:paraId="1BCFD183" w14:textId="77777777" w:rsidR="001B589C" w:rsidRPr="001B589C" w:rsidRDefault="001B589C" w:rsidP="001B589C">
      <w:pPr>
        <w:pStyle w:val="Bibliography"/>
      </w:pPr>
      <w:r w:rsidRPr="001B589C">
        <w:t xml:space="preserve">Green, Miranda, </w:t>
      </w:r>
      <w:r w:rsidRPr="001B589C">
        <w:rPr>
          <w:i/>
          <w:iCs/>
        </w:rPr>
        <w:t xml:space="preserve">Symbol and Image in Celtic </w:t>
      </w:r>
      <w:proofErr w:type="spellStart"/>
      <w:r w:rsidRPr="001B589C">
        <w:rPr>
          <w:i/>
          <w:iCs/>
        </w:rPr>
        <w:t>Religous</w:t>
      </w:r>
      <w:proofErr w:type="spellEnd"/>
      <w:r w:rsidRPr="001B589C">
        <w:rPr>
          <w:i/>
          <w:iCs/>
        </w:rPr>
        <w:t xml:space="preserve"> Art</w:t>
      </w:r>
      <w:r w:rsidRPr="001B589C">
        <w:t xml:space="preserve"> (Routledge, 1989)</w:t>
      </w:r>
    </w:p>
    <w:p w14:paraId="0EA53CC0" w14:textId="77777777" w:rsidR="001B589C" w:rsidRPr="001B589C" w:rsidRDefault="001B589C" w:rsidP="001B589C">
      <w:pPr>
        <w:pStyle w:val="Bibliography"/>
      </w:pPr>
      <w:r w:rsidRPr="001B589C">
        <w:t xml:space="preserve">Mayer, Ralph, </w:t>
      </w:r>
      <w:r w:rsidRPr="001B589C">
        <w:rPr>
          <w:i/>
          <w:iCs/>
        </w:rPr>
        <w:t>Artists Handbook Of Materials And Techniques</w:t>
      </w:r>
      <w:r w:rsidRPr="001B589C">
        <w:t xml:space="preserve"> (Online, 1930) &lt;http://archive.org/details/in.ernet.dli.2015.70073&gt; [accessed 21 May 2026]</w:t>
      </w:r>
    </w:p>
    <w:p w14:paraId="74184107" w14:textId="77777777" w:rsidR="001B589C" w:rsidRPr="001B589C" w:rsidRDefault="001B589C" w:rsidP="001B589C">
      <w:pPr>
        <w:pStyle w:val="Bibliography"/>
      </w:pPr>
      <w:r w:rsidRPr="001B589C">
        <w:t xml:space="preserve">Morrison, John, </w:t>
      </w:r>
      <w:r w:rsidRPr="001B589C">
        <w:rPr>
          <w:i/>
          <w:iCs/>
        </w:rPr>
        <w:t>John Duncan, Patrick Geddes and the Celtic Revival</w:t>
      </w:r>
      <w:r w:rsidRPr="001B589C">
        <w:t>, (Aberdeen), 5.1 (2012), pp. 27–39</w:t>
      </w:r>
    </w:p>
    <w:p w14:paraId="61839AFC" w14:textId="77777777" w:rsidR="001B589C" w:rsidRPr="001B589C" w:rsidRDefault="001B589C" w:rsidP="001B589C">
      <w:pPr>
        <w:pStyle w:val="Bibliography"/>
      </w:pPr>
      <w:r w:rsidRPr="001B589C">
        <w:t>National Galleries of Scotland, ‘John Duncan | National Galleries of Scotland’, Museum Archive, National Galleries of Scotland, n.d. &lt;https://www.nationalgalleries.org/art-and-artists/artists/john-duncan&gt; [accessed 15 May 2026]</w:t>
      </w:r>
    </w:p>
    <w:p w14:paraId="10DD8FB0" w14:textId="77777777" w:rsidR="001B589C" w:rsidRPr="001B589C" w:rsidRDefault="001B589C" w:rsidP="001B589C">
      <w:pPr>
        <w:pStyle w:val="Bibliography"/>
      </w:pPr>
      <w:r w:rsidRPr="001B589C">
        <w:t>National Museum of Ireland, ‘The Ardagh Chalice’, Museum Archive, National Museum of Ireland, n.d. &lt;https://www.museum.ie/en-IE/Collections-</w:t>
      </w:r>
      <w:r w:rsidRPr="001B589C">
        <w:lastRenderedPageBreak/>
        <w:t>Research/Collection/The-Treasury/Artefact/The-Ardagh-Chalice/ac53e68e-76a4-4560-a624-c87647c57a00&gt; [accessed 21 May 2026]</w:t>
      </w:r>
    </w:p>
    <w:p w14:paraId="1EDE1A1F" w14:textId="77777777" w:rsidR="001B589C" w:rsidRPr="001B589C" w:rsidRDefault="001B589C" w:rsidP="001B589C">
      <w:pPr>
        <w:pStyle w:val="Bibliography"/>
      </w:pPr>
      <w:r w:rsidRPr="001B589C">
        <w:t>Robertson, Anna, ‘John Duncan’s “The Riders of the Sidhe”’, Archive, Art UK, 1 December 2022 &lt;https://artuk.org/discover/stories/john-duncans-the-riders-of-the-sidhe&gt; [accessed 18 May 2026]</w:t>
      </w:r>
    </w:p>
    <w:p w14:paraId="499CE02B" w14:textId="77777777" w:rsidR="001B589C" w:rsidRPr="001B589C" w:rsidRDefault="001B589C" w:rsidP="001B589C">
      <w:pPr>
        <w:pStyle w:val="Bibliography"/>
      </w:pPr>
      <w:r w:rsidRPr="001B589C">
        <w:t xml:space="preserve">Ruggiero, Guido, </w:t>
      </w:r>
      <w:r w:rsidRPr="001B589C">
        <w:rPr>
          <w:i/>
          <w:iCs/>
        </w:rPr>
        <w:t>A Companion to the Worlds of the Renaissance - Google Books</w:t>
      </w:r>
      <w:r w:rsidRPr="001B589C">
        <w:t xml:space="preserve"> (2008; John Wiley &amp; Sons, Ltd, 2019) &lt;https://web.archive.org/web/20190815223158/https://books.google.com/books?dq=Timurid+renaissance&amp;hl=en&amp;id=fx0Dlwb18WYC&amp;lpg=PA59&amp;ots=oRBca6Ril-&amp;pg=PA59&amp;sa=X&amp;sig=91TIV5mBBnYFwGah_7x6b0NP-jA&amp;source=bl&amp;ved=0ahUKEwijusmUk5fQAhVHKsAKHeqdDn8Q6AEITTAI#v=onepage&amp;q=Timurid%20renaissance&amp;f=false&gt; [accessed 21 May 2026]</w:t>
      </w:r>
    </w:p>
    <w:p w14:paraId="2250A159" w14:textId="77777777" w:rsidR="001B589C" w:rsidRPr="001B589C" w:rsidRDefault="001B589C" w:rsidP="001B589C">
      <w:pPr>
        <w:pStyle w:val="Bibliography"/>
      </w:pPr>
      <w:r w:rsidRPr="001B589C">
        <w:t xml:space="preserve">Shaw, Michael, </w:t>
      </w:r>
      <w:r w:rsidRPr="001B589C">
        <w:rPr>
          <w:i/>
          <w:iCs/>
        </w:rPr>
        <w:t>Fin-de-Siecle Scottish Revival: Romance, Decadence and Celtic Identity</w:t>
      </w:r>
      <w:r w:rsidRPr="001B589C">
        <w:t xml:space="preserve"> (Edinburgh University Press, 2019)</w:t>
      </w:r>
    </w:p>
    <w:p w14:paraId="0A4A9100" w14:textId="77777777" w:rsidR="001B589C" w:rsidRPr="001B589C" w:rsidRDefault="001B589C" w:rsidP="001B589C">
      <w:pPr>
        <w:pStyle w:val="Bibliography"/>
      </w:pPr>
      <w:r w:rsidRPr="001B589C">
        <w:t>‘The Battersea Shield Found in the River Thames’, London Museum, n.d. &lt;https://www.londonmuseum.org.uk/blog/battersea-shield-river-thames/&gt; [accessed 21 May 2026]</w:t>
      </w:r>
    </w:p>
    <w:p w14:paraId="69A97348" w14:textId="77777777" w:rsidR="001B589C" w:rsidRPr="001B589C" w:rsidRDefault="001B589C" w:rsidP="001B589C">
      <w:pPr>
        <w:pStyle w:val="Bibliography"/>
      </w:pPr>
      <w:r w:rsidRPr="001B589C">
        <w:t>‘The Girlhood of Mary Virgin’, 23 March 2023 &lt;https://web.archive.org/web/20230323172857/https://www.rossettiarchive.org/docs/s40.rap.html&gt; [accessed 21 May 2026]</w:t>
      </w:r>
    </w:p>
    <w:p w14:paraId="24B87989" w14:textId="77777777" w:rsidR="001B589C" w:rsidRPr="001B589C" w:rsidRDefault="001B589C" w:rsidP="001B589C">
      <w:pPr>
        <w:pStyle w:val="Bibliography"/>
      </w:pPr>
      <w:r w:rsidRPr="001B589C">
        <w:t>Young, Clara, ‘Duncan, John (1866–1945), Painter and Illustrator’, Biographies, Oxford Dictionary of National Biography, Oxford Dictionary of National Biography, 2010, doi:10.1093/</w:t>
      </w:r>
      <w:proofErr w:type="spellStart"/>
      <w:proofErr w:type="gramStart"/>
      <w:r w:rsidRPr="001B589C">
        <w:t>ref:odnb</w:t>
      </w:r>
      <w:proofErr w:type="spellEnd"/>
      <w:proofErr w:type="gramEnd"/>
      <w:r w:rsidRPr="001B589C">
        <w:t>/94434</w:t>
      </w:r>
    </w:p>
    <w:p w14:paraId="2EBE59BD" w14:textId="456051EB" w:rsidR="00234C86" w:rsidRPr="00D87B22" w:rsidRDefault="00234C86" w:rsidP="00D87B22">
      <w:pPr>
        <w:rPr>
          <w:u w:val="single"/>
        </w:rPr>
      </w:pPr>
      <w:r>
        <w:rPr>
          <w:u w:val="single"/>
        </w:rPr>
        <w:fldChar w:fldCharType="end"/>
      </w:r>
    </w:p>
    <w:p w14:paraId="2DCC8C73" w14:textId="77777777" w:rsidR="00D87B22" w:rsidRPr="00D87B22" w:rsidRDefault="00D87B22" w:rsidP="00D87B22"/>
    <w:sectPr w:rsidR="00D87B22" w:rsidRPr="00D87B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49365" w14:textId="77777777" w:rsidR="00987796" w:rsidRDefault="00987796" w:rsidP="00234C86">
      <w:pPr>
        <w:spacing w:after="0" w:line="240" w:lineRule="auto"/>
      </w:pPr>
      <w:r>
        <w:separator/>
      </w:r>
    </w:p>
  </w:endnote>
  <w:endnote w:type="continuationSeparator" w:id="0">
    <w:p w14:paraId="32216115" w14:textId="77777777" w:rsidR="00987796" w:rsidRDefault="00987796" w:rsidP="00234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3C7BD" w14:textId="77777777" w:rsidR="00987796" w:rsidRDefault="00987796" w:rsidP="00234C86">
      <w:pPr>
        <w:spacing w:after="0" w:line="240" w:lineRule="auto"/>
      </w:pPr>
      <w:r>
        <w:separator/>
      </w:r>
    </w:p>
  </w:footnote>
  <w:footnote w:type="continuationSeparator" w:id="0">
    <w:p w14:paraId="508482DC" w14:textId="77777777" w:rsidR="00987796" w:rsidRDefault="00987796" w:rsidP="00234C86">
      <w:pPr>
        <w:spacing w:after="0" w:line="240" w:lineRule="auto"/>
      </w:pPr>
      <w:r>
        <w:continuationSeparator/>
      </w:r>
    </w:p>
  </w:footnote>
  <w:footnote w:id="1">
    <w:p w14:paraId="261794C6" w14:textId="0DF894F6" w:rsidR="00C4494C" w:rsidRDefault="00C4494C">
      <w:pPr>
        <w:pStyle w:val="FootnoteText"/>
      </w:pPr>
      <w:r>
        <w:rPr>
          <w:rStyle w:val="FootnoteReference"/>
        </w:rPr>
        <w:footnoteRef/>
      </w:r>
      <w:r>
        <w:t xml:space="preserve"> </w:t>
      </w:r>
      <w:r>
        <w:fldChar w:fldCharType="begin"/>
      </w:r>
      <w:r>
        <w:instrText xml:space="preserve"> ADDIN ZOTERO_ITEM CSL_CITATION {"citationID":"YXBHQyFn","properties":{"formattedCitation":"Marion Bowman, \\uc0\\u8216{}Contempary Celtic Spirituality\\uc0\\u8217{}, in {\\i{}New Directions in Celtic Studies}, ed. by Amy Hale and Philip Payton (University of Exeter Press, 2000), p. 69.","plainCitation":"Marion Bowman, ‘Contempary Celtic Spirituality’, in New Directions in Celtic Studies, ed. by Amy Hale and Philip Payton (University of Exeter Press, 2000), p. 69.","noteIndex":1},"citationItems":[{"id":524,"uris":["http://zotero.org/users/16334958/items/ZRL4AV7W"],"itemData":{"id":524,"type":"chapter","abstract":"The primary aim of New Directions in Celtic Studies is to focus on contemporary issues and to promote interdisciplinary approaches within the subject. Written by international scholars and practitioners in fields such as folklore, ethnomusicology, art history, religious studies, tourism and education, the book brings together in one volume a wide range of perspectives. It responds to the recent questioning of the viability of the notion of 'Celticity' and the idea of Celtic Studies as a discipline and points to a renewed vitality in the subject. New Directions in Celtic Studies is divided into four sections: popular culture and representation; commodities and Celtic lifestyles; contemporary Celtic identity and the Celtic diaspora; Celtic praxis.","container-title":"New Directions in Celtic Studies","ISBN":"978-0-85989-587-3","language":"en","note":"Google-Books-ID: SOT12m0UyVwC","publisher":"University of Exeter Press","publisher-place":"Exeter","source":"Google Books","title":"Contempary Celtic Spirituality","editor":[{"family":"Hale","given":"Amy"},{"family":"Payton","given":"Philip"}],"author":[{"family":"Bowman","given":"Marion"}],"issued":{"date-parts":[["2000"]]}},"locator":"69","label":"page"}],"schema":"https://github.com/citation-style-language/schema/raw/master/csl-citation.json"} </w:instrText>
      </w:r>
      <w:r>
        <w:fldChar w:fldCharType="separate"/>
      </w:r>
      <w:r w:rsidRPr="00C4494C">
        <w:rPr>
          <w:rFonts w:ascii="Aptos" w:hAnsi="Aptos" w:cs="Times New Roman"/>
          <w:kern w:val="0"/>
        </w:rPr>
        <w:t>Marion Bowman, ‘</w:t>
      </w:r>
      <w:proofErr w:type="spellStart"/>
      <w:r w:rsidRPr="00C4494C">
        <w:rPr>
          <w:rFonts w:ascii="Aptos" w:hAnsi="Aptos" w:cs="Times New Roman"/>
          <w:kern w:val="0"/>
        </w:rPr>
        <w:t>Contempary</w:t>
      </w:r>
      <w:proofErr w:type="spellEnd"/>
      <w:r w:rsidRPr="00C4494C">
        <w:rPr>
          <w:rFonts w:ascii="Aptos" w:hAnsi="Aptos" w:cs="Times New Roman"/>
          <w:kern w:val="0"/>
        </w:rPr>
        <w:t xml:space="preserve"> Celtic Spirituality’, in </w:t>
      </w:r>
      <w:r w:rsidRPr="00C4494C">
        <w:rPr>
          <w:rFonts w:ascii="Aptos" w:hAnsi="Aptos" w:cs="Times New Roman"/>
          <w:i/>
          <w:iCs/>
          <w:kern w:val="0"/>
        </w:rPr>
        <w:t>New Directions in Celtic Studies</w:t>
      </w:r>
      <w:r w:rsidRPr="00C4494C">
        <w:rPr>
          <w:rFonts w:ascii="Aptos" w:hAnsi="Aptos" w:cs="Times New Roman"/>
          <w:kern w:val="0"/>
        </w:rPr>
        <w:t>, ed. by Amy Hale and Philip Payton (University of Exeter Press, 2000), p. 69.</w:t>
      </w:r>
      <w:r>
        <w:fldChar w:fldCharType="end"/>
      </w:r>
    </w:p>
  </w:footnote>
  <w:footnote w:id="2">
    <w:p w14:paraId="37993C03" w14:textId="72602259" w:rsidR="00101EEC" w:rsidRDefault="00101EEC">
      <w:pPr>
        <w:pStyle w:val="FootnoteText"/>
      </w:pPr>
      <w:r>
        <w:rPr>
          <w:rStyle w:val="FootnoteReference"/>
        </w:rPr>
        <w:footnoteRef/>
      </w:r>
      <w:r>
        <w:t xml:space="preserve"> </w:t>
      </w:r>
      <w:r>
        <w:fldChar w:fldCharType="begin"/>
      </w:r>
      <w:r>
        <w:instrText xml:space="preserve"> ADDIN ZOTERO_ITEM CSL_CITATION {"citationID":"usP5bJxe","properties":{"formattedCitation":"Michelle Facos, {\\i{}Symbolist Art in Context} (Univ of California Press, 2009), pp. 1\\uc0\\u8211{}2.","plainCitation":"Michelle Facos, Symbolist Art in Context (Univ of California Press, 2009), pp. 1–2.","noteIndex":2},"citationItems":[{"id":562,"uris":["http://zotero.org/users/16334958/items/BLWFNE57"],"itemData":{"id":562,"type":"book","abstract":"The Symbolist art movement of the late nineteenth century forms an important bridge between Impressionism and Modernism. But because Symbolism, more than the two movements it links, emphasizes ideas over objects and events, it has suffered from vague and conflicting definitions. In Symbolist Art in Context, Michelle Facos offers a clearly written, comprehensive, and accessible description of this challenging subject. Reaching back into Romanticism for Symbolism's origins, Facos argues that Symbolism enabled artists (including Munch and Gauguin) to confront an increasingly uncertain and complex world—one to which pessimists responded with themes of decadence and degeneration and optimists with idealism and reform.","ISBN":"978-0-520-25582-1","language":"en","note":"Google-Books-ID: eakwDwAAQBAJ","number-of-pages":"296","publisher":"Univ of California Press","source":"Google Books","title":"Symbolist Art in Context","author":[{"family":"Facos","given":"Michelle"}],"issued":{"date-parts":[["2009",3,31]]}},"locator":"1-2","label":"page"}],"schema":"https://github.com/citation-style-language/schema/raw/master/csl-citation.json"} </w:instrText>
      </w:r>
      <w:r>
        <w:fldChar w:fldCharType="separate"/>
      </w:r>
      <w:r w:rsidRPr="00101EEC">
        <w:rPr>
          <w:rFonts w:ascii="Aptos" w:hAnsi="Aptos" w:cs="Times New Roman"/>
          <w:kern w:val="0"/>
        </w:rPr>
        <w:t xml:space="preserve">Michelle Facos, </w:t>
      </w:r>
      <w:r w:rsidRPr="00101EEC">
        <w:rPr>
          <w:rFonts w:ascii="Aptos" w:hAnsi="Aptos" w:cs="Times New Roman"/>
          <w:i/>
          <w:iCs/>
          <w:kern w:val="0"/>
        </w:rPr>
        <w:t>Symbolist Art in Context</w:t>
      </w:r>
      <w:r w:rsidRPr="00101EEC">
        <w:rPr>
          <w:rFonts w:ascii="Aptos" w:hAnsi="Aptos" w:cs="Times New Roman"/>
          <w:kern w:val="0"/>
        </w:rPr>
        <w:t xml:space="preserve"> (</w:t>
      </w:r>
      <w:proofErr w:type="spellStart"/>
      <w:r w:rsidRPr="00101EEC">
        <w:rPr>
          <w:rFonts w:ascii="Aptos" w:hAnsi="Aptos" w:cs="Times New Roman"/>
          <w:kern w:val="0"/>
        </w:rPr>
        <w:t>Univ</w:t>
      </w:r>
      <w:proofErr w:type="spellEnd"/>
      <w:r w:rsidRPr="00101EEC">
        <w:rPr>
          <w:rFonts w:ascii="Aptos" w:hAnsi="Aptos" w:cs="Times New Roman"/>
          <w:kern w:val="0"/>
        </w:rPr>
        <w:t xml:space="preserve"> of California Press, 2009), pp. 1–2.</w:t>
      </w:r>
      <w:r>
        <w:fldChar w:fldCharType="end"/>
      </w:r>
    </w:p>
  </w:footnote>
  <w:footnote w:id="3">
    <w:p w14:paraId="7BB1743A" w14:textId="40E6F091" w:rsidR="00101EEC" w:rsidRDefault="00101EEC">
      <w:pPr>
        <w:pStyle w:val="FootnoteText"/>
      </w:pPr>
      <w:r>
        <w:rPr>
          <w:rStyle w:val="FootnoteReference"/>
        </w:rPr>
        <w:footnoteRef/>
      </w:r>
      <w:r>
        <w:t xml:space="preserve"> </w:t>
      </w:r>
      <w:r>
        <w:fldChar w:fldCharType="begin"/>
      </w:r>
      <w:r>
        <w:instrText xml:space="preserve"> ADDIN ZOTERO_ITEM CSL_CITATION {"citationID":"RH60aw6s","properties":{"formattedCitation":"John Morrison, {\\i{}John Duncan, Patrick Geddes and the Celtic Revival}, (Aberdeen), 5.1 (2012), pp. 27\\uc0\\u8211{}39 (p. 27).","plainCitation":"John Morrison, John Duncan, Patrick Geddes and the Celtic Revival, (Aberdeen), 5.1 (2012), pp. 27–39 (p. 27).","noteIndex":3},"citationItems":[{"id":523,"uris":["http://zotero.org/users/16334958/items/J35TYVDT"],"itemData":{"id":523,"type":"article-journal","issue":"1","page":"27-39","publisher":"Aberdeen University Press","publisher-place":"Aberdeen","title":"John Duncan, Patrick Geddes and the Celtic Revival","volume":"5","author":[{"family":"Morrison","given":"John"}],"issued":{"date-parts":[["2012"]]}},"locator":"27","label":"page"}],"schema":"https://github.com/citation-style-language/schema/raw/master/csl-citation.json"} </w:instrText>
      </w:r>
      <w:r>
        <w:fldChar w:fldCharType="separate"/>
      </w:r>
      <w:r w:rsidRPr="00101EEC">
        <w:rPr>
          <w:rFonts w:ascii="Aptos" w:hAnsi="Aptos" w:cs="Times New Roman"/>
          <w:kern w:val="0"/>
        </w:rPr>
        <w:t xml:space="preserve">John Morrison, </w:t>
      </w:r>
      <w:r w:rsidRPr="00101EEC">
        <w:rPr>
          <w:rFonts w:ascii="Aptos" w:hAnsi="Aptos" w:cs="Times New Roman"/>
          <w:i/>
          <w:iCs/>
          <w:kern w:val="0"/>
        </w:rPr>
        <w:t>John Duncan, Patrick Geddes and the Celtic Revival</w:t>
      </w:r>
      <w:r w:rsidRPr="00101EEC">
        <w:rPr>
          <w:rFonts w:ascii="Aptos" w:hAnsi="Aptos" w:cs="Times New Roman"/>
          <w:kern w:val="0"/>
        </w:rPr>
        <w:t>, (Aberdeen), 5.1 (2012), pp. 27–39 (p. 27).</w:t>
      </w:r>
      <w:r>
        <w:fldChar w:fldCharType="end"/>
      </w:r>
    </w:p>
  </w:footnote>
  <w:footnote w:id="4">
    <w:p w14:paraId="70B42F0A" w14:textId="438C0F6A" w:rsidR="00234C86" w:rsidRDefault="00234C86">
      <w:pPr>
        <w:pStyle w:val="FootnoteText"/>
      </w:pPr>
      <w:r>
        <w:rPr>
          <w:rStyle w:val="FootnoteReference"/>
        </w:rPr>
        <w:footnoteRef/>
      </w:r>
      <w:r>
        <w:t xml:space="preserve"> </w:t>
      </w:r>
      <w:r>
        <w:fldChar w:fldCharType="begin"/>
      </w:r>
      <w:r w:rsidR="005F7153">
        <w:instrText xml:space="preserve"> ADDIN ZOTERO_ITEM CSL_CITATION {"citationID":"7xrznPM8","properties":{"formattedCitation":"National Galleries of Scotland, \\uc0\\u8216{}John Duncan | National Galleries of Scotland\\uc0\\u8217{}, Museum Archive, National Galleries of Scotland, n.d. &lt;https://www.nationalgalleries.org/art-and-artists/artists/john-duncan&gt; [accessed 15 May 2026].","plainCitation":"National Galleries of Scotland, ‘John Duncan | National Galleries of Scotland’, Museum Archive, National Galleries of Scotland, n.d. &lt;https://www.nationalgalleries.org/art-and-artists/artists/john-duncan&gt; [accessed 15 May 2026].","noteIndex":2},"citationItems":[{"id":513,"uris":["http://zotero.org/users/16334958/items/AVGWZBC3"],"itemData":{"id":513,"type":"webpage","abstract":"One of the leading representatives of the Celtic Revival in Scottish art, John Duncan first trained as an illustrator in his native city, Dundee. After…","container-title":"National Galleries of Scotland","genre":"Museum Archive","language":"en","publisher":"National Galleries of Scotland","publisher-place":"Online","title":"John Duncan | National Galleries of Scotland","URL":"https://www.nationalgalleries.org/art-and-artists/artists/john-duncan","accessed":{"date-parts":[["2026",5,15]]}}}],"schema":"https://github.com/citation-style-language/schema/raw/master/csl-citation.json"} </w:instrText>
      </w:r>
      <w:r>
        <w:fldChar w:fldCharType="separate"/>
      </w:r>
      <w:r w:rsidRPr="00234C86">
        <w:rPr>
          <w:rFonts w:ascii="Aptos" w:hAnsi="Aptos" w:cs="Times New Roman"/>
          <w:kern w:val="0"/>
        </w:rPr>
        <w:t>National Galleries of Scotland, ‘John Duncan | National Galleries of Scotland’, Museum Archive, National Galleries of Scotland, n.d. &lt;https://www.nationalgalleries.org/art-and-artists/artists/john-duncan&gt; [accessed 15 May 2026].</w:t>
      </w:r>
      <w:r>
        <w:fldChar w:fldCharType="end"/>
      </w:r>
    </w:p>
  </w:footnote>
  <w:footnote w:id="5">
    <w:p w14:paraId="7D8754AC" w14:textId="63DCD584" w:rsidR="00BC0CA7" w:rsidRDefault="00BC0CA7">
      <w:pPr>
        <w:pStyle w:val="FootnoteText"/>
      </w:pPr>
      <w:r>
        <w:rPr>
          <w:rStyle w:val="FootnoteReference"/>
        </w:rPr>
        <w:footnoteRef/>
      </w:r>
      <w:r>
        <w:t xml:space="preserve"> </w:t>
      </w:r>
      <w:r>
        <w:fldChar w:fldCharType="begin"/>
      </w:r>
      <w:r w:rsidR="00101EEC">
        <w:instrText xml:space="preserve"> ADDIN ZOTERO_ITEM CSL_CITATION {"citationID":"6IhJ05sl","properties":{"formattedCitation":"Clara Young, \\uc0\\u8216{}Duncan, John (1866\\uc0\\u8211{}1945), Painter and Illustrator\\uc0\\u8217{}, Biographies, Oxford Dictionary of National Biography, Oxford Dictionary of National Biography, 2010, doi:10.1093/ref:odnb/94434.","plainCitation":"Clara Young, ‘Duncan, John (1866–1945), Painter and Illustrator’, Biographies, Oxford Dictionary of National Biography, Oxford Dictionary of National Biography, 2010, doi:10.1093/ref:odnb/94434.","noteIndex":5},"citationItems":[{"id":515,"uris":["http://zotero.org/users/16334958/items/3PZA4IWY"],"itemData":{"id":515,"type":"webpage","abstract":"\"Duncan, John (1866–1945), painter and illustrator\" published on  by Oxford University Press.","container-title":"Oxford Dictionary of National Biography","DOI":"10.1093/ref:odnb/94434","genre":"Biographies","language":"en","note":"DOI: 10.1093/ref:odnb/94434","publisher":"Oxford Dictionary of National Biography","publisher-place":"Online","title":"Duncan, John (1866–1945), painter and illustrator","URL":"https://www.oxforddnb.com/display/10.1093/ref:odnb/9780198614128.001.0001/odnb-9780198614128-e-94434","author":[{"family":"Young","given":"Clara"}],"accessed":{"date-parts":[["2026",5,15]]},"issued":{"date-parts":[["2010"]]}}}],"schema":"https://github.com/citation-style-language/schema/raw/master/csl-citation.json"} </w:instrText>
      </w:r>
      <w:r>
        <w:fldChar w:fldCharType="separate"/>
      </w:r>
      <w:r w:rsidRPr="00BC0CA7">
        <w:rPr>
          <w:rFonts w:ascii="Aptos" w:hAnsi="Aptos" w:cs="Times New Roman"/>
          <w:kern w:val="0"/>
        </w:rPr>
        <w:t>Clara Young, ‘Duncan, John (1866–1945), Painter and Illustrator’, Biographies, Oxford Dictionary of National Biography, Oxford Dictionary of National Biography, 2010, doi:10.1093/</w:t>
      </w:r>
      <w:proofErr w:type="gramStart"/>
      <w:r w:rsidRPr="00BC0CA7">
        <w:rPr>
          <w:rFonts w:ascii="Aptos" w:hAnsi="Aptos" w:cs="Times New Roman"/>
          <w:kern w:val="0"/>
        </w:rPr>
        <w:t>ref:odnb</w:t>
      </w:r>
      <w:proofErr w:type="gramEnd"/>
      <w:r w:rsidRPr="00BC0CA7">
        <w:rPr>
          <w:rFonts w:ascii="Aptos" w:hAnsi="Aptos" w:cs="Times New Roman"/>
          <w:kern w:val="0"/>
        </w:rPr>
        <w:t>/94434.</w:t>
      </w:r>
      <w:r>
        <w:fldChar w:fldCharType="end"/>
      </w:r>
    </w:p>
  </w:footnote>
  <w:footnote w:id="6">
    <w:p w14:paraId="164F4514" w14:textId="4C287241" w:rsidR="003716EE" w:rsidRDefault="003716EE">
      <w:pPr>
        <w:pStyle w:val="FootnoteText"/>
      </w:pPr>
      <w:r>
        <w:rPr>
          <w:rStyle w:val="FootnoteReference"/>
        </w:rPr>
        <w:footnoteRef/>
      </w:r>
      <w:r>
        <w:t xml:space="preserve"> </w:t>
      </w:r>
      <w:r>
        <w:fldChar w:fldCharType="begin"/>
      </w:r>
      <w:r w:rsidR="00101EEC">
        <w:instrText xml:space="preserve"> ADDIN ZOTERO_ITEM CSL_CITATION {"citationID":"2rvW2CPu","properties":{"formattedCitation":"Morrison, {\\i{}John Duncan, Patrick Geddes and the Celtic Revival}, p. p.27.","plainCitation":"Morrison, John Duncan, Patrick Geddes and the Celtic Revival, p. p.27.","noteIndex":6},"citationItems":[{"id":523,"uris":["http://zotero.org/users/16334958/items/J35TYVDT"],"itemData":{"id":523,"type":"article-journal","issue":"1","page":"27-39","publisher":"Aberdeen University Press","publisher-place":"Aberdeen","title":"John Duncan, Patrick Geddes and the Celtic Revival","volume":"5","author":[{"family":"Morrison","given":"John"}],"issued":{"date-parts":[["2012"]]}},"locator":"p.27","label":"page"}],"schema":"https://github.com/citation-style-language/schema/raw/master/csl-citation.json"} </w:instrText>
      </w:r>
      <w:r>
        <w:fldChar w:fldCharType="separate"/>
      </w:r>
      <w:r w:rsidR="00101EEC" w:rsidRPr="00101EEC">
        <w:rPr>
          <w:rFonts w:ascii="Aptos" w:hAnsi="Aptos" w:cs="Times New Roman"/>
          <w:kern w:val="0"/>
        </w:rPr>
        <w:t xml:space="preserve">Morrison, </w:t>
      </w:r>
      <w:r w:rsidR="00101EEC" w:rsidRPr="00101EEC">
        <w:rPr>
          <w:rFonts w:ascii="Aptos" w:hAnsi="Aptos" w:cs="Times New Roman"/>
          <w:i/>
          <w:iCs/>
          <w:kern w:val="0"/>
        </w:rPr>
        <w:t>John Duncan, Patrick Geddes and the Celtic Revival</w:t>
      </w:r>
      <w:r w:rsidR="00101EEC" w:rsidRPr="00101EEC">
        <w:rPr>
          <w:rFonts w:ascii="Aptos" w:hAnsi="Aptos" w:cs="Times New Roman"/>
          <w:kern w:val="0"/>
        </w:rPr>
        <w:t>, p. p.27.</w:t>
      </w:r>
      <w:r>
        <w:fldChar w:fldCharType="end"/>
      </w:r>
    </w:p>
  </w:footnote>
  <w:footnote w:id="7">
    <w:p w14:paraId="3C0980E6" w14:textId="5AF9160F" w:rsidR="00101EEC" w:rsidRDefault="00101EEC">
      <w:pPr>
        <w:pStyle w:val="FootnoteText"/>
      </w:pPr>
      <w:r>
        <w:rPr>
          <w:rStyle w:val="FootnoteReference"/>
        </w:rPr>
        <w:footnoteRef/>
      </w:r>
      <w:r>
        <w:t xml:space="preserve"> </w:t>
      </w:r>
      <w:r>
        <w:fldChar w:fldCharType="begin"/>
      </w:r>
      <w:r>
        <w:instrText xml:space="preserve"> ADDIN ZOTERO_ITEM CSL_CITATION {"citationID":"HK3PyBgK","properties":{"formattedCitation":"Young, \\uc0\\u8216{}Duncan, John (1866\\uc0\\u8211{}1945), Painter and Illustrator\\uc0\\u8217{}.","plainCitation":"Young, ‘Duncan, John (1866–1945), Painter and Illustrator’.","noteIndex":7},"citationItems":[{"id":515,"uris":["http://zotero.org/users/16334958/items/3PZA4IWY"],"itemData":{"id":515,"type":"webpage","abstract":"\"Duncan, John (1866–1945), painter and illustrator\" published on  by Oxford University Press.","container-title":"Oxford Dictionary of National Biography","DOI":"10.1093/ref:odnb/94434","genre":"Biographies","language":"en","note":"DOI: 10.1093/ref:odnb/94434","publisher":"Oxford Dictionary of National Biography","publisher-place":"Online","title":"Duncan, John (1866–1945), painter and illustrator","URL":"https://www.oxforddnb.com/display/10.1093/ref:odnb/9780198614128.001.0001/odnb-9780198614128-e-94434","author":[{"family":"Young","given":"Clara"}],"accessed":{"date-parts":[["2026",5,15]]},"issued":{"date-parts":[["2010"]]}}}],"schema":"https://github.com/citation-style-language/schema/raw/master/csl-citation.json"} </w:instrText>
      </w:r>
      <w:r>
        <w:fldChar w:fldCharType="separate"/>
      </w:r>
      <w:r w:rsidRPr="00101EEC">
        <w:rPr>
          <w:rFonts w:ascii="Aptos" w:hAnsi="Aptos" w:cs="Times New Roman"/>
          <w:kern w:val="0"/>
        </w:rPr>
        <w:t>Young, ‘Duncan, John (1866–1945), Painter and Illustrator’.</w:t>
      </w:r>
      <w:r>
        <w:fldChar w:fldCharType="end"/>
      </w:r>
    </w:p>
  </w:footnote>
  <w:footnote w:id="8">
    <w:p w14:paraId="664C6925" w14:textId="081AFDE6" w:rsidR="0077613B" w:rsidRDefault="0077613B">
      <w:pPr>
        <w:pStyle w:val="FootnoteText"/>
      </w:pPr>
      <w:r>
        <w:rPr>
          <w:rStyle w:val="FootnoteReference"/>
        </w:rPr>
        <w:footnoteRef/>
      </w:r>
      <w:r>
        <w:t xml:space="preserve"> </w:t>
      </w:r>
      <w:r>
        <w:fldChar w:fldCharType="begin"/>
      </w:r>
      <w:r w:rsidR="00101EEC">
        <w:instrText xml:space="preserve"> ADDIN ZOTERO_ITEM CSL_CITATION {"citationID":"73PRBEv8","properties":{"formattedCitation":"Young, \\uc0\\u8216{}Duncan, John (1866\\uc0\\u8211{}1945), Painter and Illustrator\\uc0\\u8217{}.","plainCitation":"Young, ‘Duncan, John (1866–1945), Painter and Illustrator’.","noteIndex":8},"citationItems":[{"id":515,"uris":["http://zotero.org/users/16334958/items/3PZA4IWY"],"itemData":{"id":515,"type":"webpage","abstract":"\"Duncan, John (1866–1945), painter and illustrator\" published on  by Oxford University Press.","container-title":"Oxford Dictionary of National Biography","DOI":"10.1093/ref:odnb/94434","genre":"Biographies","language":"en","note":"DOI: 10.1093/ref:odnb/94434","publisher":"Oxford Dictionary of National Biography","publisher-place":"Online","title":"Duncan, John (1866–1945), painter and illustrator","URL":"https://www.oxforddnb.com/display/10.1093/ref:odnb/9780198614128.001.0001/odnb-9780198614128-e-94434","author":[{"family":"Young","given":"Clara"}],"accessed":{"date-parts":[["2026",5,15]]},"issued":{"date-parts":[["2010"]]}}}],"schema":"https://github.com/citation-style-language/schema/raw/master/csl-citation.json"} </w:instrText>
      </w:r>
      <w:r>
        <w:fldChar w:fldCharType="separate"/>
      </w:r>
      <w:r w:rsidRPr="0077613B">
        <w:rPr>
          <w:rFonts w:ascii="Aptos" w:hAnsi="Aptos" w:cs="Times New Roman"/>
          <w:kern w:val="0"/>
        </w:rPr>
        <w:t>Young, ‘Duncan, John (1866–1945), Painter and Illustrator’.</w:t>
      </w:r>
      <w:r>
        <w:fldChar w:fldCharType="end"/>
      </w:r>
    </w:p>
  </w:footnote>
  <w:footnote w:id="9">
    <w:p w14:paraId="79ADC7F0" w14:textId="20988839" w:rsidR="00006346" w:rsidRDefault="00006346">
      <w:pPr>
        <w:pStyle w:val="FootnoteText"/>
      </w:pPr>
      <w:r>
        <w:rPr>
          <w:rStyle w:val="FootnoteReference"/>
        </w:rPr>
        <w:footnoteRef/>
      </w:r>
      <w:r>
        <w:t xml:space="preserve"> </w:t>
      </w:r>
      <w:r>
        <w:fldChar w:fldCharType="begin"/>
      </w:r>
      <w:r w:rsidR="005A547A">
        <w:instrText xml:space="preserve"> ADDIN ZOTERO_ITEM CSL_CITATION {"citationID":"3tPdMylr","properties":{"formattedCitation":"Thomas M. Curley, {\\i{}Samuel Johnson, the Ossian Fraud, and the Celtic Revival in Great Britain and Ireland} (Cambridge University Press, 2009), p. 124.","plainCitation":"Thomas M. Curley, Samuel Johnson, the Ossian Fraud, and the Celtic Revival in Great Britain and Ireland (Cambridge University Press, 2009), p. 124.","noteIndex":9},"citationItems":[{"id":566,"uris":["http://zotero.org/users/16334958/items/SDJ2A3ZC"],"itemData":{"id":566,"type":"book","abstract":"James Macpherson's famous hoax, publishing his own poems as the writings of the ancient Scots bard Ossian in the 1760s, remains fascinating to scholars as the most successful literary fraud in history. This study presents the fullest investigation of his deception to date, by looking at the controversy from the point of view of Samuel Johnson. Johnson's dispute with Macpherson was an argument with wide implications not only for literature, but for the emerging national identities of the British nations during the Celtic revival. Thomas M. Curley offers a wealth of genuinely new information, detailing as never before Johnson's involvement in the Ossian controversy, his insistence on truth-telling, and his interaction with others in the debate. The appendix reproduces a rare pamphlet against Ossian written with the assistance of Johnson himself. This book will be an important addition to knowledge about both the Ossian controversy and Samuel Johnson.  Watch Dr. Curley discuss his latest book:","ISBN":"978-0-521-40747-2","language":"en","note":"Google-Books-ID: QoFlDwi99wcC","number-of-pages":"349","publisher":"Cambridge University Press","publisher-place":"Cambridge","source":"Google Books","title":"Samuel Johnson, the Ossian Fraud, and the Celtic Revival in Great Britain and Ireland","author":[{"family":"Curley","given":"Thomas M."}],"issued":{"date-parts":[["2009",4,16]]}},"locator":"124","label":"page"}],"schema":"https://github.com/citation-style-language/schema/raw/master/csl-citation.json"} </w:instrText>
      </w:r>
      <w:r>
        <w:fldChar w:fldCharType="separate"/>
      </w:r>
      <w:r w:rsidR="005A547A" w:rsidRPr="005A547A">
        <w:rPr>
          <w:rFonts w:ascii="Aptos" w:hAnsi="Aptos" w:cs="Times New Roman"/>
          <w:kern w:val="0"/>
        </w:rPr>
        <w:t xml:space="preserve">Thomas M. Curley, </w:t>
      </w:r>
      <w:r w:rsidR="005A547A" w:rsidRPr="005A547A">
        <w:rPr>
          <w:rFonts w:ascii="Aptos" w:hAnsi="Aptos" w:cs="Times New Roman"/>
          <w:i/>
          <w:iCs/>
          <w:kern w:val="0"/>
        </w:rPr>
        <w:t>Samuel Johnson, the Ossian Fraud, and the Celtic Revival in Great Britain and Ireland</w:t>
      </w:r>
      <w:r w:rsidR="005A547A" w:rsidRPr="005A547A">
        <w:rPr>
          <w:rFonts w:ascii="Aptos" w:hAnsi="Aptos" w:cs="Times New Roman"/>
          <w:kern w:val="0"/>
        </w:rPr>
        <w:t xml:space="preserve"> (Cambridge University Press, 2009), p. 124.</w:t>
      </w:r>
      <w:r>
        <w:fldChar w:fldCharType="end"/>
      </w:r>
    </w:p>
  </w:footnote>
  <w:footnote w:id="10">
    <w:p w14:paraId="3997D22C" w14:textId="7051266A" w:rsidR="00006346" w:rsidRDefault="00006346">
      <w:pPr>
        <w:pStyle w:val="FootnoteText"/>
      </w:pPr>
      <w:r>
        <w:rPr>
          <w:rStyle w:val="FootnoteReference"/>
        </w:rPr>
        <w:footnoteRef/>
      </w:r>
      <w:r>
        <w:t xml:space="preserve"> </w:t>
      </w:r>
      <w:r>
        <w:fldChar w:fldCharType="begin"/>
      </w:r>
      <w:r>
        <w:instrText xml:space="preserve"> ADDIN ZOTERO_ITEM CSL_CITATION {"citationID":"shvNCdJh","properties":{"formattedCitation":"Michael Shaw, {\\i{}Fin-de-Siecle Scottish Revival: Romance, Decadence and Celtic Identity} (Edinburgh University Press, 2019), p. 3.","plainCitation":"Michael Shaw, Fin-de-Siecle Scottish Revival: Romance, Decadence and Celtic Identity (Edinburgh University Press, 2019), p. 3.","noteIndex":9},"citationItems":[{"id":564,"uris":["http://zotero.org/users/16334958/items/XEJXAWTN"],"itemData":{"id":564,"type":"book","abstract":"Explores cultural defence and revivalism in Scottish literature and artThe first book-length, interdisciplinary study on fin-de-sicle ScotlandUnlocks Scottish writers' and artists' participation in neo-paganism, the occult revival, neo-Catholicism and japonismeInformed by extensive analysis of under-explored archival materials, such as the Papers of Patrick GeddesRichly illustrated with artworks, photographs and ephemera As the Irish Revival took shape and the Home Rule debate dominated UK politics, what was happening in Scotland? This book reveals distinct but comparable concerns with cultural defence and revivalism in fin-de-sieI cle Scotland, evident in the work of a number of writers and artists including Robert Louis Stevenson, Patrick Geddes, Fiona Macleod, Charles Rennie Mackintosh, Mona Caird, Arthur Conan Doyle, John Duncan and various contributors to The Evergreen. Situating Scottish literature and art alongside international developments in culture, especially the rise of decadence, symbolism and Celticism, Michael Shaw demonstrates the ways in which dissident fin-de-sieI cle styles and ideas supported and defined the Scottish Revival.","ISBN":"978-1-4744-3398-3","language":"en","note":"Google-Books-ID: QnoxEAAAQBAJ","number-of-pages":"321","publisher":"Edinburgh University Press","source":"Google Books","title":"Fin-de-Siecle Scottish Revival: Romance, Decadence and Celtic Identity","title-short":"Fin-de-Siecle Scottish Revival","author":[{"family":"Shaw","given":"Michael"}],"issued":{"date-parts":[["2019",9,27]]}},"locator":"3","label":"page"}],"schema":"https://github.com/citation-style-language/schema/raw/master/csl-citation.json"} </w:instrText>
      </w:r>
      <w:r>
        <w:fldChar w:fldCharType="separate"/>
      </w:r>
      <w:r w:rsidRPr="00006346">
        <w:rPr>
          <w:rFonts w:ascii="Aptos" w:hAnsi="Aptos" w:cs="Times New Roman"/>
          <w:kern w:val="0"/>
        </w:rPr>
        <w:t xml:space="preserve">Michael Shaw, </w:t>
      </w:r>
      <w:r w:rsidRPr="00006346">
        <w:rPr>
          <w:rFonts w:ascii="Aptos" w:hAnsi="Aptos" w:cs="Times New Roman"/>
          <w:i/>
          <w:iCs/>
          <w:kern w:val="0"/>
        </w:rPr>
        <w:t>Fin-de-Siecle Scottish Revival: Romance, Decadence and Celtic Identity</w:t>
      </w:r>
      <w:r w:rsidRPr="00006346">
        <w:rPr>
          <w:rFonts w:ascii="Aptos" w:hAnsi="Aptos" w:cs="Times New Roman"/>
          <w:kern w:val="0"/>
        </w:rPr>
        <w:t xml:space="preserve"> (Edinburgh University Press, 2019), p. 3.</w:t>
      </w:r>
      <w:r>
        <w:fldChar w:fldCharType="end"/>
      </w:r>
    </w:p>
  </w:footnote>
  <w:footnote w:id="11">
    <w:p w14:paraId="2FAE8586" w14:textId="76A336A8" w:rsidR="005F7153" w:rsidRDefault="005F7153">
      <w:pPr>
        <w:pStyle w:val="FootnoteText"/>
      </w:pPr>
      <w:r>
        <w:rPr>
          <w:rStyle w:val="FootnoteReference"/>
        </w:rPr>
        <w:footnoteRef/>
      </w:r>
      <w:r>
        <w:t xml:space="preserve"> </w:t>
      </w:r>
      <w:r>
        <w:fldChar w:fldCharType="begin"/>
      </w:r>
      <w:r w:rsidR="00101EEC">
        <w:instrText xml:space="preserve"> ADDIN ZOTERO_ITEM CSL_CITATION {"citationID":"vjj4hmdD","properties":{"formattedCitation":"Morrison, {\\i{}John Duncan, Patrick Geddes and the Celtic Revival}, p. 28.","plainCitation":"Morrison, John Duncan, Patrick Geddes and the Celtic Revival, p. 28.","noteIndex":8},"citationItems":[{"id":523,"uris":["http://zotero.org/users/16334958/items/J35TYVDT"],"itemData":{"id":523,"type":"article-journal","issue":"1","page":"27-39","publisher":"Aberdeen University Press","publisher-place":"Aberdeen","title":"John Duncan, Patrick Geddes and the Celtic Revival","volume":"5","author":[{"family":"Morrison","given":"John"}],"issued":{"date-parts":[["2012"]]}},"locator":"28","label":"page"}],"schema":"https://github.com/citation-style-language/schema/raw/master/csl-citation.json"} </w:instrText>
      </w:r>
      <w:r>
        <w:fldChar w:fldCharType="separate"/>
      </w:r>
      <w:r w:rsidRPr="005F7153">
        <w:rPr>
          <w:rFonts w:ascii="Aptos" w:hAnsi="Aptos" w:cs="Times New Roman"/>
          <w:kern w:val="0"/>
        </w:rPr>
        <w:t xml:space="preserve">Morrison, </w:t>
      </w:r>
      <w:r w:rsidRPr="005F7153">
        <w:rPr>
          <w:rFonts w:ascii="Aptos" w:hAnsi="Aptos" w:cs="Times New Roman"/>
          <w:i/>
          <w:iCs/>
          <w:kern w:val="0"/>
        </w:rPr>
        <w:t>John Duncan, Patrick Geddes and the Celtic Revival</w:t>
      </w:r>
      <w:r w:rsidRPr="005F7153">
        <w:rPr>
          <w:rFonts w:ascii="Aptos" w:hAnsi="Aptos" w:cs="Times New Roman"/>
          <w:kern w:val="0"/>
        </w:rPr>
        <w:t>, p. 28.</w:t>
      </w:r>
      <w:r>
        <w:fldChar w:fldCharType="end"/>
      </w:r>
    </w:p>
  </w:footnote>
  <w:footnote w:id="12">
    <w:p w14:paraId="123F68E0" w14:textId="7F741803" w:rsidR="00636AA8" w:rsidRDefault="00636AA8">
      <w:pPr>
        <w:pStyle w:val="FootnoteText"/>
      </w:pPr>
      <w:r>
        <w:rPr>
          <w:rStyle w:val="FootnoteReference"/>
        </w:rPr>
        <w:footnoteRef/>
      </w:r>
      <w:r>
        <w:t xml:space="preserve"> </w:t>
      </w:r>
      <w:r>
        <w:fldChar w:fldCharType="begin"/>
      </w:r>
      <w:r>
        <w:instrText xml:space="preserve"> ADDIN ZOTERO_ITEM CSL_CITATION {"citationID":"fDyHzXI2","properties":{"formattedCitation":"\\uc0\\u8216{}Botticelli, Sandro\\uc0\\u8217{}, Grove Art Online, n.d. &lt;https://www.oxfordartonline.com/groveart/display/10.1093/gao/9781884446054.001.0001/oao-9781884446054-e-7000010385&gt; [accessed 21 May 2026].","plainCitation":"‘Botticelli, Sandro’, Grove Art Online, n.d. &lt;https://www.oxfordartonline.com/groveart/display/10.1093/gao/9781884446054.001.0001/oao-9781884446054-e-7000010385&gt; [accessed 21 May 2026].","noteIndex":12},"citationItems":[{"id":575,"uris":["http://zotero.org/users/16334958/items/BT72V8U5"],"itemData":{"id":575,"type":"webpage","abstract":"\"Botticelli, Sandro\" published on  by Oxford University Press.","container-title":"Grove Art Online","language":"en","note":"ISBN: 9781884446054","title":"Botticelli, Sandro","URL":"https://www.oxfordartonline.com/groveart/display/10.1093/gao/9781884446054.001.0001/oao-9781884446054-e-7000010385","accessed":{"date-parts":[["2026",5,21]]}}}],"schema":"https://github.com/citation-style-language/schema/raw/master/csl-citation.json"} </w:instrText>
      </w:r>
      <w:r>
        <w:fldChar w:fldCharType="separate"/>
      </w:r>
      <w:r w:rsidRPr="00636AA8">
        <w:rPr>
          <w:rFonts w:ascii="Aptos" w:hAnsi="Aptos" w:cs="Times New Roman"/>
          <w:kern w:val="0"/>
        </w:rPr>
        <w:t>‘Botticelli, Sandro’, Grove Art Online, n.d. &lt;https://www.oxfordartonline.com/groveart/display/10.1093/gao/9781884446054.001.0001/oao-9781884446054-e-7000010385&gt; [accessed 21 May 2026].</w:t>
      </w:r>
      <w:r>
        <w:fldChar w:fldCharType="end"/>
      </w:r>
    </w:p>
  </w:footnote>
  <w:footnote w:id="13">
    <w:p w14:paraId="6B6626DB" w14:textId="79863C57" w:rsidR="00C5556F" w:rsidRDefault="00C5556F">
      <w:pPr>
        <w:pStyle w:val="FootnoteText"/>
      </w:pPr>
      <w:r>
        <w:rPr>
          <w:rStyle w:val="FootnoteReference"/>
        </w:rPr>
        <w:footnoteRef/>
      </w:r>
      <w:r>
        <w:t xml:space="preserve"> </w:t>
      </w:r>
      <w:r>
        <w:fldChar w:fldCharType="begin"/>
      </w:r>
      <w:r>
        <w:instrText xml:space="preserve"> ADDIN ZOTERO_ITEM CSL_CITATION {"citationID":"kRDkbFjM","properties":{"formattedCitation":"\\uc0\\u8216{}The Girlhood of Mary Virgin\\uc0\\u8217{}, 23 March 2023 &lt;https://web.archive.org/web/20230323172857/https://www.rossettiarchive.org/docs/s40.rap.html&gt; [accessed 21 May 2026].","plainCitation":"‘The Girlhood of Mary Virgin’, 23 March 2023 &lt;https://web.archive.org/web/20230323172857/https://www.rossettiarchive.org/docs/s40.rap.html&gt; [accessed 21 May 2026].","noteIndex":13},"citationItems":[{"id":580,"uris":["http://zotero.org/users/16334958/items/XU2MU92L"],"itemData":{"id":580,"type":"webpage","title":"The Girlhood of Mary Virgin","URL":"https://web.archive.org/web/20230323172857/https://www.rossettiarchive.org/docs/s40.rap.html","accessed":{"date-parts":[["2026",5,21]]},"issued":{"date-parts":[["2023",3,23]]}}}],"schema":"https://github.com/citation-style-language/schema/raw/master/csl-citation.json"} </w:instrText>
      </w:r>
      <w:r>
        <w:fldChar w:fldCharType="separate"/>
      </w:r>
      <w:r w:rsidRPr="00C5556F">
        <w:rPr>
          <w:rFonts w:ascii="Aptos" w:hAnsi="Aptos" w:cs="Times New Roman"/>
          <w:kern w:val="0"/>
        </w:rPr>
        <w:t>‘The Girlhood of Mary Virgin’, 23 March 2023 &lt;https://web.archive.org/web/20230323172857/https://www.rossettiarchive.org/docs/s40.rap.html&gt; [accessed 21 May 2026].</w:t>
      </w:r>
      <w:r>
        <w:fldChar w:fldCharType="end"/>
      </w:r>
    </w:p>
  </w:footnote>
  <w:footnote w:id="14">
    <w:p w14:paraId="415D41F5" w14:textId="13B192E1" w:rsidR="00C5556F" w:rsidRDefault="00C5556F">
      <w:pPr>
        <w:pStyle w:val="FootnoteText"/>
      </w:pPr>
      <w:r>
        <w:rPr>
          <w:rStyle w:val="FootnoteReference"/>
        </w:rPr>
        <w:footnoteRef/>
      </w:r>
      <w:r>
        <w:t xml:space="preserve"> </w:t>
      </w:r>
      <w:r>
        <w:fldChar w:fldCharType="begin"/>
      </w:r>
      <w:r>
        <w:instrText xml:space="preserve"> ADDIN ZOTERO_ITEM CSL_CITATION {"citationID":"wqHfHO7U","properties":{"formattedCitation":"Guido Ruggiero, {\\i{}A Companion to the Worlds of the Renaissance - Google Books} (2008; John Wiley &amp; Sons, Ltd, 2019), p. 59 &lt;https://web.archive.org/web/20190815223158/https://books.google.com/books?dq=Timurid+renaissance&amp;hl=en&amp;id=fx0Dlwb18WYC&amp;lpg=PA59&amp;ots=oRBca6Ril-&amp;pg=PA59&amp;sa=X&amp;sig=91TIV5mBBnYFwGah_7x6b0NP-jA&amp;source=bl&amp;ved=0ahUKEwijusmUk5fQAhVHKsAKHeqdDn8Q6AEITTAI#v=onepage&amp;q=Timurid%20renaissance&amp;f=false&gt; [accessed 21 May 2026].","plainCitation":"Guido Ruggiero, A Companion to the Worlds of the Renaissance - Google Books (2008; John Wiley &amp; Sons, Ltd, 2019), p. 59 &lt;https://web.archive.org/web/20190815223158/https://books.google.com/books?dq=Timurid+renaissance&amp;hl=en&amp;id=fx0Dlwb18WYC&amp;lpg=PA59&amp;ots=oRBca6Ril-&amp;pg=PA59&amp;sa=X&amp;sig=91TIV5mBBnYFwGah_7x6b0NP-jA&amp;source=bl&amp;ved=0ahUKEwijusmUk5fQAhVHKsAKHeqdDn8Q6AEITTAI#v=onepage&amp;q=Timurid%20renaissance&amp;f=false&gt; [accessed 21 May 2026].","noteIndex":14},"citationItems":[{"id":582,"uris":["http://zotero.org/users/16334958/items/8ZUIYT6N"],"itemData":{"id":582,"type":"book","number-of-pages":"576","publisher":"John Wiley &amp; Sons, Ltd","title":"A Companion to the Worlds of the Renaissance - Google Books","URL":"https://web.archive.org/web/20190815223158/https://books.google.com/books?dq=Timurid+renaissance&amp;hl=en&amp;id=fx0Dlwb18WYC&amp;lpg=PA59&amp;ots=oRBca6Ril-&amp;pg=PA59&amp;sa=X&amp;sig=91TIV5mBBnYFwGah_7x6b0NP-jA&amp;source=bl&amp;ved=0ahUKEwijusmUk5fQAhVHKsAKHeqdDn8Q6AEITTAI#v=onepage&amp;q=Timurid%20renaissance&amp;f=false","author":[{"family":"Ruggiero","given":"Guido"}],"accessed":{"date-parts":[["2026",5,21]]},"issued":{"date-parts":[["2019",8,15]]},"original-date":{"date-parts":[["2008"]]}},"locator":"59","label":"page"}],"schema":"https://github.com/citation-style-language/schema/raw/master/csl-citation.json"} </w:instrText>
      </w:r>
      <w:r>
        <w:fldChar w:fldCharType="separate"/>
      </w:r>
      <w:r w:rsidRPr="00C5556F">
        <w:rPr>
          <w:rFonts w:ascii="Aptos" w:hAnsi="Aptos" w:cs="Times New Roman"/>
          <w:kern w:val="0"/>
        </w:rPr>
        <w:t xml:space="preserve">Guido Ruggiero, </w:t>
      </w:r>
      <w:r w:rsidRPr="00C5556F">
        <w:rPr>
          <w:rFonts w:ascii="Aptos" w:hAnsi="Aptos" w:cs="Times New Roman"/>
          <w:i/>
          <w:iCs/>
          <w:kern w:val="0"/>
        </w:rPr>
        <w:t>A Companion to the Worlds of the Renaissance - Google Books</w:t>
      </w:r>
      <w:r w:rsidRPr="00C5556F">
        <w:rPr>
          <w:rFonts w:ascii="Aptos" w:hAnsi="Aptos" w:cs="Times New Roman"/>
          <w:kern w:val="0"/>
        </w:rPr>
        <w:t xml:space="preserve"> (2008; John Wiley &amp; Sons, Ltd, 2019), p. 59 &lt;https://web.archive.org/web/20190815223158/https://books.google.com/books?dq=Timurid+renaissance&amp;hl=en&amp;id=fx0Dlwb18WYC&amp;lpg=PA59&amp;ots=oRBca6Ril-&amp;pg=PA59&amp;sa=X&amp;sig=91TIV5mBBnYFwGah_7x6b0NP-jA&amp;source=bl&amp;ved=0ahUKEwijusmUk5fQAhVHKsAKHeqdDn8Q6AEITTAI#v=onepage&amp;q=Timurid%20renaissance&amp;f=false&gt; [accessed 21 May 2026].</w:t>
      </w:r>
      <w:r>
        <w:fldChar w:fldCharType="end"/>
      </w:r>
    </w:p>
  </w:footnote>
  <w:footnote w:id="15">
    <w:p w14:paraId="590576EB" w14:textId="0499A11E" w:rsidR="00C5556F" w:rsidRDefault="00C5556F">
      <w:pPr>
        <w:pStyle w:val="FootnoteText"/>
      </w:pPr>
      <w:r>
        <w:rPr>
          <w:rStyle w:val="FootnoteReference"/>
        </w:rPr>
        <w:footnoteRef/>
      </w:r>
      <w:r>
        <w:t xml:space="preserve"> </w:t>
      </w:r>
      <w:r>
        <w:fldChar w:fldCharType="begin"/>
      </w:r>
      <w:r>
        <w:instrText xml:space="preserve"> ADDIN ZOTERO_ITEM CSL_CITATION {"citationID":"TJs7WfEQ","properties":{"formattedCitation":"Ralph Mayer, {\\i{}Artists Handbook Of Materials And Techniques} (Online, 1930), p. 228 &lt;http://archive.org/details/in.ernet.dli.2015.70073&gt; [accessed 21 May 2026].","plainCitation":"Ralph Mayer, Artists Handbook Of Materials And Techniques (Online, 1930), p. 228 &lt;http://archive.org/details/in.ernet.dli.2015.70073&gt; [accessed 21 May 2026].","noteIndex":13},"citationItems":[{"id":577,"uris":["http://zotero.org/users/16334958/items/PJKRAKWT"],"itemData":{"id":577,"type":"book","abstract":"Book Source: Digital Library of India Item 2015.70073\n\ndc.contributor.author: Mayer, Ralph\ndc.date.accessioned: 2015-06-30T02:03:57Z\ndc.date.available: 2015-06-30T02:03:57Z\ndc.date.copyrightexpirydate: 0000-00-00\ndc.date.digitalpublicationdate: 0000-00-00\ndc.date.citation: 1930\ndc.identifier.barcode: 99999990008640\ndc.identifier.origpath: /data6/upload/0142/799\ndc.identifier.copyno: 1\ndc.identifier.uri: http://www.new.dli.ernet.in/handle/2015/70073\ndc.description.scanningcentre: IGNCA, Delhi\ndc.description.main: 1\ndc.description.tagged: 0\ndc.description.totalpages: 492\ndc.format.mimetype: application/pdf\ndc.language.iso: English\ndc.publisher: Faber And Faber\ndc.rights: Out_of_copyright\ndc.source.library: Central Archaeological Library,  Asi\ndc.subject.classification: Art\ndc.subject.classification: Art, History\ndc.subject.classification: Ancient Art\ndc.title: Artists Handbook Of Materials And Techniques","language":"eng","publisher-place":"Online","source":"Internet Archive","title":"Artists Handbook Of Materials And Techniques","URL":"http://archive.org/details/in.ernet.dli.2015.70073","author":[{"family":"Mayer","given":"Ralph"}],"accessed":{"date-parts":[["2026",5,21]]},"issued":{"date-parts":[["1930"]]}},"locator":"228","label":"page"}],"schema":"https://github.com/citation-style-language/schema/raw/master/csl-citation.json"} </w:instrText>
      </w:r>
      <w:r>
        <w:fldChar w:fldCharType="separate"/>
      </w:r>
      <w:r w:rsidRPr="00C5556F">
        <w:rPr>
          <w:rFonts w:ascii="Aptos" w:hAnsi="Aptos" w:cs="Times New Roman"/>
          <w:kern w:val="0"/>
        </w:rPr>
        <w:t xml:space="preserve">Ralph Mayer, </w:t>
      </w:r>
      <w:r w:rsidRPr="00C5556F">
        <w:rPr>
          <w:rFonts w:ascii="Aptos" w:hAnsi="Aptos" w:cs="Times New Roman"/>
          <w:i/>
          <w:iCs/>
          <w:kern w:val="0"/>
        </w:rPr>
        <w:t>Artists Handbook Of Materials And Techniques</w:t>
      </w:r>
      <w:r w:rsidRPr="00C5556F">
        <w:rPr>
          <w:rFonts w:ascii="Aptos" w:hAnsi="Aptos" w:cs="Times New Roman"/>
          <w:kern w:val="0"/>
        </w:rPr>
        <w:t xml:space="preserve"> (Online, 1930), p. 228 &lt;http://archive.org/details/in.ernet.dli.2015.70073&gt; [accessed 21 May 2026].</w:t>
      </w:r>
      <w:r>
        <w:fldChar w:fldCharType="end"/>
      </w:r>
    </w:p>
  </w:footnote>
  <w:footnote w:id="16">
    <w:p w14:paraId="51985291" w14:textId="1BBF7554" w:rsidR="005D64A6" w:rsidRDefault="005D64A6">
      <w:pPr>
        <w:pStyle w:val="FootnoteText"/>
      </w:pPr>
      <w:r>
        <w:rPr>
          <w:rStyle w:val="FootnoteReference"/>
        </w:rPr>
        <w:footnoteRef/>
      </w:r>
      <w:r>
        <w:t xml:space="preserve"> </w:t>
      </w:r>
      <w:r>
        <w:fldChar w:fldCharType="begin"/>
      </w:r>
      <w:r>
        <w:instrText xml:space="preserve"> ADDIN ZOTERO_ITEM CSL_CITATION {"citationID":"MwNuFfZ3","properties":{"formattedCitation":"Miranda Green, {\\i{}Symbol and Image in Celtic Religous Art} (Routledge, 1989), pp. 24\\uc0\\u8211{}25.","plainCitation":"Miranda Green, Symbol and Image in Celtic Religous Art (Routledge, 1989), pp. 24–25.","noteIndex":16},"citationItems":[{"id":584,"uris":["http://zotero.org/users/16334958/items/PK9Q8YV9"],"itemData":{"id":584,"type":"book","publisher":"Routledge","publisher-place":"London","title":"Symbol and Image in Celtic Religous Art","author":[{"family":"Green","given":"Miranda"}],"issued":{"date-parts":[["1989"]]}},"locator":"24-25","label":"page"}],"schema":"https://github.com/citation-style-language/schema/raw/master/csl-citation.json"} </w:instrText>
      </w:r>
      <w:r>
        <w:fldChar w:fldCharType="separate"/>
      </w:r>
      <w:r w:rsidRPr="005D64A6">
        <w:rPr>
          <w:rFonts w:ascii="Aptos" w:hAnsi="Aptos" w:cs="Times New Roman"/>
          <w:kern w:val="0"/>
        </w:rPr>
        <w:t xml:space="preserve">Miranda Green, </w:t>
      </w:r>
      <w:r w:rsidRPr="005D64A6">
        <w:rPr>
          <w:rFonts w:ascii="Aptos" w:hAnsi="Aptos" w:cs="Times New Roman"/>
          <w:i/>
          <w:iCs/>
          <w:kern w:val="0"/>
        </w:rPr>
        <w:t xml:space="preserve">Symbol and Image in Celtic </w:t>
      </w:r>
      <w:proofErr w:type="spellStart"/>
      <w:r w:rsidRPr="005D64A6">
        <w:rPr>
          <w:rFonts w:ascii="Aptos" w:hAnsi="Aptos" w:cs="Times New Roman"/>
          <w:i/>
          <w:iCs/>
          <w:kern w:val="0"/>
        </w:rPr>
        <w:t>Religous</w:t>
      </w:r>
      <w:proofErr w:type="spellEnd"/>
      <w:r w:rsidRPr="005D64A6">
        <w:rPr>
          <w:rFonts w:ascii="Aptos" w:hAnsi="Aptos" w:cs="Times New Roman"/>
          <w:i/>
          <w:iCs/>
          <w:kern w:val="0"/>
        </w:rPr>
        <w:t xml:space="preserve"> Art</w:t>
      </w:r>
      <w:r w:rsidRPr="005D64A6">
        <w:rPr>
          <w:rFonts w:ascii="Aptos" w:hAnsi="Aptos" w:cs="Times New Roman"/>
          <w:kern w:val="0"/>
        </w:rPr>
        <w:t xml:space="preserve"> (Routledge, 1989), pp. 24–25.</w:t>
      </w:r>
      <w:r>
        <w:fldChar w:fldCharType="end"/>
      </w:r>
    </w:p>
  </w:footnote>
  <w:footnote w:id="17">
    <w:p w14:paraId="7D7D51C3" w14:textId="21CAB813" w:rsidR="001B589C" w:rsidRDefault="001B589C">
      <w:pPr>
        <w:pStyle w:val="FootnoteText"/>
      </w:pPr>
      <w:r>
        <w:rPr>
          <w:rStyle w:val="FootnoteReference"/>
        </w:rPr>
        <w:footnoteRef/>
      </w:r>
      <w:r>
        <w:t xml:space="preserve"> </w:t>
      </w:r>
      <w:r>
        <w:fldChar w:fldCharType="begin"/>
      </w:r>
      <w:r>
        <w:instrText xml:space="preserve"> ADDIN ZOTERO_ITEM CSL_CITATION {"citationID":"K9v8W4f2","properties":{"formattedCitation":"\\uc0\\u8216{}Cornelius Tacitus, The Life of Cn\\uc0\\u230{}us Julius Agricola, Chapter 18\\uc0\\u8217{}, n.d. &lt;https://www.perseus.tufts.edu/hopper/text?doc=Perseus:text:1999.02.0081:chapter=18&gt; [accessed 21 May 2026].","plainCitation":"‘Cornelius Tacitus, The Life of Cnæus Julius Agricola, Chapter 18’, n.d. &lt;https://www.perseus.tufts.edu/hopper/text?doc=Perseus:text:1999.02.0081:chapter=18&gt; [accessed 21 May 2026].","noteIndex":17},"citationItems":[{"id":587,"uris":["http://zotero.org/users/16334958/items/6JM2XIML"],"itemData":{"id":587,"type":"webpage","title":"Cornelius Tacitus, The Life of Cnæus Julius Agricola, chapter 18","URL":"https://www.perseus.tufts.edu/hopper/text?doc=Perseus:text:1999.02.0081:chapter=18","accessed":{"date-parts":[["2026",5,21]]}}}],"schema":"https://github.com/citation-style-language/schema/raw/master/csl-citation.json"} </w:instrText>
      </w:r>
      <w:r>
        <w:fldChar w:fldCharType="separate"/>
      </w:r>
      <w:r w:rsidRPr="001B589C">
        <w:rPr>
          <w:rFonts w:ascii="Aptos" w:hAnsi="Aptos" w:cs="Times New Roman"/>
          <w:kern w:val="0"/>
        </w:rPr>
        <w:t xml:space="preserve">‘Cornelius Tacitus, The Life of </w:t>
      </w:r>
      <w:proofErr w:type="spellStart"/>
      <w:r w:rsidRPr="001B589C">
        <w:rPr>
          <w:rFonts w:ascii="Aptos" w:hAnsi="Aptos" w:cs="Times New Roman"/>
          <w:kern w:val="0"/>
        </w:rPr>
        <w:t>Cnæus</w:t>
      </w:r>
      <w:proofErr w:type="spellEnd"/>
      <w:r w:rsidRPr="001B589C">
        <w:rPr>
          <w:rFonts w:ascii="Aptos" w:hAnsi="Aptos" w:cs="Times New Roman"/>
          <w:kern w:val="0"/>
        </w:rPr>
        <w:t xml:space="preserve"> Julius Agricola, Chapter 18’, n.d. &lt;https://www.perseus.tufts.edu/hopper/text?doc=Perseus:text:1999.02.0081:chapter=18&gt; [accessed 21 May 2026].</w:t>
      </w:r>
      <w:r>
        <w:fldChar w:fldCharType="end"/>
      </w:r>
    </w:p>
  </w:footnote>
  <w:footnote w:id="18">
    <w:p w14:paraId="2941E467" w14:textId="0B41D57A" w:rsidR="00C5556F" w:rsidRDefault="00C5556F">
      <w:pPr>
        <w:pStyle w:val="FootnoteText"/>
      </w:pPr>
      <w:r>
        <w:rPr>
          <w:rStyle w:val="FootnoteReference"/>
        </w:rPr>
        <w:footnoteRef/>
      </w:r>
      <w:r>
        <w:t xml:space="preserve"> </w:t>
      </w:r>
      <w:r>
        <w:fldChar w:fldCharType="begin"/>
      </w:r>
      <w:r>
        <w:instrText xml:space="preserve"> ADDIN ZOTERO_ITEM CSL_CITATION {"citationID":"3viVlKzn","properties":{"formattedCitation":"\\uc0\\u8216{}Definition of HOLY GRAIL\\uc0\\u8217{}, 29 April 2026 &lt;https://www.merriam-webster.com/dictionary/Holy+Grail&gt; [accessed 21 May 2026].","plainCitation":"‘Definition of HOLY GRAIL’, 29 April 2026 &lt;https://www.merriam-webster.com/dictionary/Holy+Grail&gt; [accessed 21 May 2026].","noteIndex":14},"citationItems":[{"id":578,"uris":["http://zotero.org/users/16334958/items/B3SHCYGE"],"itemData":{"id":578,"type":"webpage","abstract":"grail; an object or goal that is sought after for its great significance… See the full definition","language":"en","title":"Definition of HOLY GRAIL","URL":"https://www.merriam-webster.com/dictionary/Holy+Grail","accessed":{"date-parts":[["2026",5,21]]},"issued":{"date-parts":[["2026",4,29]]}}}],"schema":"https://github.com/citation-style-language/schema/raw/master/csl-citation.json"} </w:instrText>
      </w:r>
      <w:r>
        <w:fldChar w:fldCharType="separate"/>
      </w:r>
      <w:r w:rsidRPr="00C5556F">
        <w:rPr>
          <w:rFonts w:ascii="Aptos" w:hAnsi="Aptos" w:cs="Times New Roman"/>
          <w:kern w:val="0"/>
        </w:rPr>
        <w:t>‘Definition of HOLY GRAIL’, 29 April 2026 &lt;https://www.merriam-webster.com/dictionary/Holy+Grail&gt; [accessed 21 May 2026].</w:t>
      </w:r>
      <w:r>
        <w:fldChar w:fldCharType="end"/>
      </w:r>
    </w:p>
  </w:footnote>
  <w:footnote w:id="19">
    <w:p w14:paraId="7800417D" w14:textId="42E97317" w:rsidR="002019E3" w:rsidRDefault="002019E3">
      <w:pPr>
        <w:pStyle w:val="FootnoteText"/>
      </w:pPr>
      <w:r>
        <w:rPr>
          <w:rStyle w:val="FootnoteReference"/>
        </w:rPr>
        <w:footnoteRef/>
      </w:r>
      <w:r>
        <w:t xml:space="preserve"> </w:t>
      </w:r>
      <w:r>
        <w:fldChar w:fldCharType="begin"/>
      </w:r>
      <w:r>
        <w:instrText xml:space="preserve"> ADDIN ZOTERO_ITEM CSL_CITATION {"citationID":"9gEJG4V2","properties":{"formattedCitation":"National Museum of Ireland, \\uc0\\u8216{}The Ardagh Chalice\\uc0\\u8217{}, Museum Archive, National Museum of Ireland, n.d. &lt;https://www.museum.ie/en-IE/Collections-Research/Collection/The-Treasury/Artefact/The-Ardagh-Chalice/ac53e68e-76a4-4560-a624-c87647c57a00&gt; [accessed 21 May 2026].","plainCitation":"National Museum of Ireland, ‘The Ardagh Chalice’, Museum Archive, National Museum of Ireland, n.d. &lt;https://www.museum.ie/en-IE/Collections-Research/Collection/The-Treasury/Artefact/The-Ardagh-Chalice/ac53e68e-76a4-4560-a624-c87647c57a00&gt; [accessed 21 May 2026].","noteIndex":12},"citationItems":[{"id":572,"uris":["http://zotero.org/users/16334958/items/XGMYYFT2"],"itemData":{"id":572,"type":"webpage","abstract":"This silver chalice, originally found at Reerasta, Ardagh, Co. Limerick was used for dispensing Eucharistic wine during the celebration of Mass.&amp;#13;&amp;#10;&amp;#13;&amp;#10;","container-title":"National Museum of Ireland","genre":"Museum Archive","language":"en","publisher":"National Museum of Ireland","title":"The Ardagh Chalice","URL":"https://www.museum.ie/en-IE/Collections-Research/Collection/The-Treasury/Artefact/The-Ardagh-Chalice/ac53e68e-76a4-4560-a624-c87647c57a00","accessed":{"date-parts":[["2026",5,21]]}}}],"schema":"https://github.com/citation-style-language/schema/raw/master/csl-citation.json"} </w:instrText>
      </w:r>
      <w:r>
        <w:fldChar w:fldCharType="separate"/>
      </w:r>
      <w:r w:rsidRPr="002019E3">
        <w:rPr>
          <w:rFonts w:ascii="Aptos" w:hAnsi="Aptos" w:cs="Times New Roman"/>
          <w:kern w:val="0"/>
        </w:rPr>
        <w:t>National Museum of Ireland, ‘The Ardagh Chalice’, Museum Archive, National Museum of Ireland, n.d. &lt;https://www.museum.ie/en-IE/Collections-Research/Collection/The-Treasury/Artefact/The-Ardagh-Chalice/ac53e68e-76a4-4560-a624-c87647c57a00&gt; [accessed 21 May 2026].</w:t>
      </w:r>
      <w:r>
        <w:fldChar w:fldCharType="end"/>
      </w:r>
    </w:p>
  </w:footnote>
  <w:footnote w:id="20">
    <w:p w14:paraId="503870F8" w14:textId="4154B258" w:rsidR="002019E3" w:rsidRDefault="002019E3">
      <w:pPr>
        <w:pStyle w:val="FootnoteText"/>
      </w:pPr>
      <w:r>
        <w:rPr>
          <w:rStyle w:val="FootnoteReference"/>
        </w:rPr>
        <w:footnoteRef/>
      </w:r>
      <w:r>
        <w:t xml:space="preserve"> </w:t>
      </w:r>
      <w:r>
        <w:fldChar w:fldCharType="begin"/>
      </w:r>
      <w:r>
        <w:instrText xml:space="preserve"> ADDIN ZOTERO_ITEM CSL_CITATION {"citationID":"79AqUy27","properties":{"formattedCitation":"John Evans, {\\i{}The Ancient Bronze Implements, Weapons, and Ornaments of Great Britain and Ireland} (Library of Alexandria, 2020), p. 344.","plainCitation":"John Evans, The Ancient Bronze Implements, Weapons, and Ornaments of Great Britain and Ireland (Library of Alexandria, 2020), p. 344.","noteIndex":12},"citationItems":[{"id":570,"uris":["http://zotero.org/users/16334958/items/BKJWUZHR"],"itemData":{"id":570,"type":"book","abstract":"Having already in a former work attempted the arrangement and description of the Ancient Stone Implements and Ornaments of Great Britain, I am induced to undertake a similar task in connection with those Bronze Antiquities which belong to the period when Stone was gradually falling into disuse for cutting purposes, and Iron was either practically unknown in this country, or had been but partially adopted for tools and weapons. The duration and chronological position of this bronze-using period will have to be discussed hereafter, but I must at the outset reiterate what I said some eight or ten years ago, that in this county, at all events, it is impossible to fix any hard and fast limits for the close of the Stone Period, or for the beginning or end of the Bronze Period, or for the commencement of that of Iron. Though the succession of these three stages of civilisation may here be regarded as certain, the transition from one to the other in a country of such an extent as BritainÑoccupied, moreover, as it probably was, by several tribes of different descent, manners, and customsÑmust have required a long course of years to become general; and even in any particular district the change cannot have been sudden. There must of necessity have been a time when in each district the new phase of civilisation was being introduced, and the old conditions had not been entirely changed. So that, as I have elsewhere pointed out, the three stages of progress represented by the Stone, Bronze, and Iron Periods, like the three principal colours of the rainbow, overlap, intermingle, and shade off the one into the other, though their succession, so far as Britain and Western Europe are concerned, appears to be equally well defined with that of the prismatic colours.","ISBN":"978-1-4656-1153-6","language":"en","note":"Google-Books-ID: DmeWDQAAQBAJ","number-of-pages":"721","publisher":"Library of Alexandria","source":"Google Books","title":"The Ancient Bronze Implements, Weapons, and Ornaments of Great Britain and Ireland","author":[{"family":"Evans","given":"John"}],"issued":{"date-parts":[["2020",9,28]]}},"locator":"344","label":"page"}],"schema":"https://github.com/citation-style-language/schema/raw/master/csl-citation.json"} </w:instrText>
      </w:r>
      <w:r>
        <w:fldChar w:fldCharType="separate"/>
      </w:r>
      <w:r w:rsidRPr="002019E3">
        <w:rPr>
          <w:rFonts w:ascii="Aptos" w:hAnsi="Aptos" w:cs="Times New Roman"/>
          <w:kern w:val="0"/>
        </w:rPr>
        <w:t xml:space="preserve">John Evans, </w:t>
      </w:r>
      <w:r w:rsidRPr="002019E3">
        <w:rPr>
          <w:rFonts w:ascii="Aptos" w:hAnsi="Aptos" w:cs="Times New Roman"/>
          <w:i/>
          <w:iCs/>
          <w:kern w:val="0"/>
        </w:rPr>
        <w:t>The Ancient Bronze Implements, Weapons, and Ornaments of Great Britain and Ireland</w:t>
      </w:r>
      <w:r w:rsidRPr="002019E3">
        <w:rPr>
          <w:rFonts w:ascii="Aptos" w:hAnsi="Aptos" w:cs="Times New Roman"/>
          <w:kern w:val="0"/>
        </w:rPr>
        <w:t xml:space="preserve"> (Library of Alexandria, 2020), p. 344.</w:t>
      </w:r>
      <w:r>
        <w:fldChar w:fldCharType="end"/>
      </w:r>
    </w:p>
  </w:footnote>
  <w:footnote w:id="21">
    <w:p w14:paraId="53380910" w14:textId="55A4E111" w:rsidR="002019E3" w:rsidRDefault="002019E3">
      <w:pPr>
        <w:pStyle w:val="FootnoteText"/>
      </w:pPr>
      <w:r>
        <w:rPr>
          <w:rStyle w:val="FootnoteReference"/>
        </w:rPr>
        <w:footnoteRef/>
      </w:r>
      <w:r>
        <w:t xml:space="preserve"> </w:t>
      </w:r>
      <w:r>
        <w:fldChar w:fldCharType="begin"/>
      </w:r>
      <w:r>
        <w:instrText xml:space="preserve"> ADDIN ZOTERO_ITEM CSL_CITATION {"citationID":"OLY5dEyy","properties":{"formattedCitation":"\\uc0\\u8216{}The Battersea Shield Found in the River Thames\\uc0\\u8217{}, London Museum, n.d. &lt;https://www.londonmuseum.org.uk/blog/battersea-shield-river-thames/&gt; [accessed 21 May 2026].","plainCitation":"‘The Battersea Shield Found in the River Thames’, London Museum, n.d. &lt;https://www.londonmuseum.org.uk/blog/battersea-shield-river-thames/&gt; [accessed 21 May 2026].","noteIndex":12},"citationItems":[{"id":568,"uris":["http://zotero.org/users/16334958/items/WTL4DVUK"],"itemData":{"id":568,"type":"webpage","abstract":"What was the Battersea Shield, an Iron Age artefact doing in the river Thames? Discovered by a labourer in 1857, we find out more.","container-title":"London Museum","language":"en-gb","title":"The Battersea Shield found in the River Thames","URL":"https://www.londonmuseum.org.uk/blog/battersea-shield-river-thames/","accessed":{"date-parts":[["2026",5,21]]}}}],"schema":"https://github.com/citation-style-language/schema/raw/master/csl-citation.json"} </w:instrText>
      </w:r>
      <w:r>
        <w:fldChar w:fldCharType="separate"/>
      </w:r>
      <w:r w:rsidRPr="002019E3">
        <w:rPr>
          <w:rFonts w:ascii="Aptos" w:hAnsi="Aptos" w:cs="Times New Roman"/>
          <w:kern w:val="0"/>
        </w:rPr>
        <w:t>‘The Battersea Shield Found in the River Thames’, London Museum, n.d. &lt;https://www.londonmuseum.org.uk/blog/battersea-shield-river-thames/&gt; [accessed 21 May 2026].</w:t>
      </w:r>
      <w:r>
        <w:fldChar w:fldCharType="end"/>
      </w:r>
    </w:p>
  </w:footnote>
  <w:footnote w:id="22">
    <w:p w14:paraId="0623328F" w14:textId="0B9451B1" w:rsidR="00A63365" w:rsidRDefault="00A63365">
      <w:pPr>
        <w:pStyle w:val="FootnoteText"/>
      </w:pPr>
      <w:r>
        <w:rPr>
          <w:rStyle w:val="FootnoteReference"/>
        </w:rPr>
        <w:footnoteRef/>
      </w:r>
      <w:r>
        <w:t xml:space="preserve"> </w:t>
      </w:r>
      <w:r>
        <w:fldChar w:fldCharType="begin"/>
      </w:r>
      <w:r w:rsidR="005F7153">
        <w:instrText xml:space="preserve"> ADDIN ZOTERO_ITEM CSL_CITATION {"citationID":"pzWfVGt5","properties":{"formattedCitation":"Anna Robertson, \\uc0\\u8216{}John Duncan\\uc0\\u8217{}s \\uc0\\u8220{}The Riders of the Sidhe\\uc0\\u8221{}\\uc0\\u8217{}, Archive, Art UK, 1 December 2022 &lt;https://artuk.org/discover/stories/john-duncans-the-riders-of-the-sidhe&gt; [accessed 18 May 2026].","plainCitation":"Anna Robertson, ‘John Duncan’s “The Riders of the Sidhe”’, Archive, Art UK, 1 December 2022 &lt;https://artuk.org/discover/stories/john-duncans-the-riders-of-the-sidhe&gt; [accessed 18 May 2026].","noteIndex":7},"citationItems":[{"id":517,"uris":["http://zotero.org/users/16334958/items/8EURSIZ9"],"itemData":{"id":517,"type":"webpage","abstract":"Explore 1 million artworks from 70,000 artists and 3,500 places for free. Art UK is the leading digital space to discover the UK’s public art collections.","container-title":"Art UK","genre":"Archive","language":"en","title":"John Duncan's 'The Riders of the Sidhe'","URL":"https://artuk.org/discover/stories/john-duncans-the-riders-of-the-sidhe","author":[{"family":"Robertson","given":"Anna"}],"accessed":{"date-parts":[["2026",5,18]]},"issued":{"date-parts":[["2022",12,1]]}}}],"schema":"https://github.com/citation-style-language/schema/raw/master/csl-citation.json"} </w:instrText>
      </w:r>
      <w:r>
        <w:fldChar w:fldCharType="separate"/>
      </w:r>
      <w:r w:rsidRPr="00A63365">
        <w:rPr>
          <w:rFonts w:ascii="Aptos" w:hAnsi="Aptos" w:cs="Times New Roman"/>
          <w:kern w:val="0"/>
        </w:rPr>
        <w:t>Anna Robertson, ‘John Duncan’s “The Riders of the Sidhe”’, Archive, Art UK, 1 December 2022 &lt;https://artuk.org/discover/stories/john-duncans-the-riders-of-the-sidhe&gt; [accessed 18 May 2026].</w:t>
      </w:r>
      <w:r>
        <w:fldChar w:fldCharType="end"/>
      </w:r>
    </w:p>
  </w:footnote>
  <w:footnote w:id="23">
    <w:p w14:paraId="2C579553" w14:textId="3656FE5E" w:rsidR="00CF0208" w:rsidRDefault="00CF0208">
      <w:pPr>
        <w:pStyle w:val="FootnoteText"/>
      </w:pPr>
      <w:r>
        <w:rPr>
          <w:rStyle w:val="FootnoteReference"/>
        </w:rPr>
        <w:footnoteRef/>
      </w:r>
      <w:r>
        <w:t xml:space="preserve"> </w:t>
      </w:r>
      <w:r>
        <w:fldChar w:fldCharType="begin"/>
      </w:r>
      <w:r w:rsidR="00C13EB3">
        <w:instrText xml:space="preserve"> ADDIN ZOTERO_ITEM CSL_CITATION {"citationID":"iPbBKGN8","properties":{"formattedCitation":"George Bain, {\\i{}Celtic Art: The Methods of Construction} (Courier Corporation, 1973), p. 16.","plainCitation":"George Bain, Celtic Art: The Methods of Construction (Courier Corporation, 1973), p. 16.","noteIndex":22},"citationItems":[{"id":585,"uris":["http://zotero.org/users/16334958/items/XFZ83LJJ"],"itemData":{"id":585,"type":"book","abstract":"The construction principles of Celtic art were re-discovered in the middle of the 20th century by George Bain. Until his writing, the intricate knots, interlacings, and spirals used in illuminating The Book of Kells and in decorating craftwork and jewelry seemed almost impossible, &amp;quot;the work of angels.&amp;quot; In this pioneering work, George Bain shows how simple principles, no more difficult than those used in needlecraft, were used to create some of the finest artistic works ever seen. He also explains how you can use these principles in re-creating artifacts and in creating your own Celtic designs for art and craft work or even for recreational use. Step-by-step procedures carefully introduce the simple rules and methods of Celtic knot work and the well-known designs from the great manuscripts and stone work. Later chapters build up to complex knot work, spiral work, and key pattern designs, with special coverage of alphabets and the stylized use of animals, humans, and plants. Altogether over 225 different patterns are presented for your use, with hundreds of modification suggestions, 110 historical and modern artifacts showing designs in use, a great number of letters including six complete alphabets and 25 decorative initials, and a number of animal and human figures used in the original Celtic works. Artists, students, craftspeople, even children can work with these patterns and instructions for creating dynamic designs for use in leather work, in embroidery and other needle work, in metalwork, jewelry making, card design, borders, panels, illuminations, and in countless other ways. Mathematicians will find a great deal of pleasure in the geometric principles on which the patterns are based. Art historians and others interested in studying Celtic art will find a great number of outstanding art works and the best presentation in English for understanding Celtic design.","ISBN":"978-0-486-22923-2","language":"en","note":"Google-Books-ID: tSRgDwAAQBAJ","number-of-pages":"162","publisher":"Courier Corporation","source":"Google Books","title":"Celtic Art: The Methods of Construction","title-short":"Celtic Art","author":[{"family":"Bain","given":"George"}],"issued":{"date-parts":[["1973",6,1]]}},"locator":"16","label":"page"}],"schema":"https://github.com/citation-style-language/schema/raw/master/csl-citation.json"} </w:instrText>
      </w:r>
      <w:r>
        <w:fldChar w:fldCharType="separate"/>
      </w:r>
      <w:r w:rsidR="00C13EB3" w:rsidRPr="00C13EB3">
        <w:rPr>
          <w:rFonts w:ascii="Aptos" w:hAnsi="Aptos" w:cs="Times New Roman"/>
          <w:kern w:val="0"/>
        </w:rPr>
        <w:t xml:space="preserve">George Bain, </w:t>
      </w:r>
      <w:r w:rsidR="00C13EB3" w:rsidRPr="00C13EB3">
        <w:rPr>
          <w:rFonts w:ascii="Aptos" w:hAnsi="Aptos" w:cs="Times New Roman"/>
          <w:i/>
          <w:iCs/>
          <w:kern w:val="0"/>
        </w:rPr>
        <w:t>Celtic Art: The Methods of Construction</w:t>
      </w:r>
      <w:r w:rsidR="00C13EB3" w:rsidRPr="00C13EB3">
        <w:rPr>
          <w:rFonts w:ascii="Aptos" w:hAnsi="Aptos" w:cs="Times New Roman"/>
          <w:kern w:val="0"/>
        </w:rPr>
        <w:t xml:space="preserve"> (Courier Corporation, 1973), p. 16.</w:t>
      </w:r>
      <w:r>
        <w:fldChar w:fldCharType="end"/>
      </w:r>
    </w:p>
  </w:footnote>
  <w:footnote w:id="24">
    <w:p w14:paraId="26E075C7" w14:textId="0FC6532A" w:rsidR="008A118C" w:rsidRDefault="008A118C">
      <w:pPr>
        <w:pStyle w:val="FootnoteText"/>
      </w:pPr>
      <w:r>
        <w:rPr>
          <w:rStyle w:val="FootnoteReference"/>
        </w:rPr>
        <w:footnoteRef/>
      </w:r>
      <w:r>
        <w:t xml:space="preserve"> </w:t>
      </w:r>
      <w:r>
        <w:fldChar w:fldCharType="begin"/>
      </w:r>
      <w:r>
        <w:instrText xml:space="preserve"> ADDIN ZOTERO_ITEM CSL_CITATION {"citationID":"XhbBhuh0","properties":{"formattedCitation":"Anne Berthelot, \\uc0\\u8216{}Merlin and the Ladies of the Lake\\uc0\\u8217{}, {\\i{}Arthuriana}, 10.1 (2000), pp. 55\\uc0\\u8211{}81 (p. 57).","plainCitation":"Anne Berthelot, ‘Merlin and the Ladies of the Lake’, Arthuriana, 10.1 (2000), pp. 55–81 (p. 57).","noteIndex":16},"citationItems":[{"id":574,"uris":["http://zotero.org/users/16334958/items/8ZMPHNR9"],"itemData":{"id":574,"type":"article-journal","abstract":"The figure of Merlin has in most texts a close relationship with a feminine character, either Morgue or the Lady of the Lake. While Morgue is often depicted as a negative figure, the Lady of the Lake is described as a positive force in the Arthurian world. Technically, however, both characters tend to replace Merlin as the embodiment of magic and wisdom in the 13th century romances.","container-title":"Arthuriana","ISSN":"1078-6279","issue":"1","page":"55-81","publisher":"Scriptorium Press","source":"JSTOR","title":"Merlin and the Ladies of the Lake","volume":"10","author":[{"family":"Berthelot","given":"Anne"}],"issued":{"date-parts":[["2000"]]}},"locator":"57","label":"page"}],"schema":"https://github.com/citation-style-language/schema/raw/master/csl-citation.json"} </w:instrText>
      </w:r>
      <w:r>
        <w:fldChar w:fldCharType="separate"/>
      </w:r>
      <w:r w:rsidRPr="008A118C">
        <w:rPr>
          <w:rFonts w:ascii="Aptos" w:hAnsi="Aptos" w:cs="Times New Roman"/>
          <w:kern w:val="0"/>
        </w:rPr>
        <w:t xml:space="preserve">Anne Berthelot, ‘Merlin and the Ladies of the Lake’, </w:t>
      </w:r>
      <w:r w:rsidRPr="008A118C">
        <w:rPr>
          <w:rFonts w:ascii="Aptos" w:hAnsi="Aptos" w:cs="Times New Roman"/>
          <w:i/>
          <w:iCs/>
          <w:kern w:val="0"/>
        </w:rPr>
        <w:t>Arthuriana</w:t>
      </w:r>
      <w:r w:rsidRPr="008A118C">
        <w:rPr>
          <w:rFonts w:ascii="Aptos" w:hAnsi="Aptos" w:cs="Times New Roman"/>
          <w:kern w:val="0"/>
        </w:rPr>
        <w:t>, 10.1 (2000), pp. 55–81 (p. 57).</w:t>
      </w:r>
      <w:r>
        <w:fldChar w:fldCharType="end"/>
      </w:r>
    </w:p>
  </w:footnote>
  <w:footnote w:id="25">
    <w:p w14:paraId="03989FFD" w14:textId="77777777" w:rsidR="008A118C" w:rsidRDefault="008A118C" w:rsidP="008A118C">
      <w:pPr>
        <w:pStyle w:val="FootnoteText"/>
      </w:pPr>
      <w:r>
        <w:rPr>
          <w:rStyle w:val="FootnoteReference"/>
        </w:rPr>
        <w:footnoteRef/>
      </w:r>
      <w:r>
        <w:t xml:space="preserve"> </w:t>
      </w:r>
      <w:r>
        <w:fldChar w:fldCharType="begin"/>
      </w:r>
      <w:r>
        <w:instrText xml:space="preserve"> ADDIN ZOTERO_ITEM CSL_CITATION {"citationID":"pV37vI8M","properties":{"formattedCitation":"Geoffrey of Monmouth and Lewis Thorpe (introduction and translation)., with Internet Archive, {\\i{}Geoffrey of Monmouth The History of the KIngs of Britain} (Penguin Books Ltd., 1968), p. 20 &lt;http://archive.org/details/geoffreyofmonmou0000geof&gt; [accessed 20 May 2026].","plainCitation":"Geoffrey of Monmouth and Lewis Thorpe (introduction and translation)., with Internet Archive, Geoffrey of Monmouth The History of the KIngs of Britain (Penguin Books Ltd., 1968), p. 20 &lt;http://archive.org/details/geoffreyofmonmou0000geof&gt; [accessed 20 May 2026].","noteIndex":16},"citationItems":[{"id":557,"uris":["http://zotero.org/users/16334958/items/3ZF62GXI"],"itemData":{"id":557,"type":"book","language":"eng","number-of-pages":"394","publisher":"Penguin Books Ltd.","source":"Internet Archive","title":"Geoffrey of Monmouth The History of the KIngs of Britain","URL":"http://archive.org/details/geoffreyofmonmou0000geof","author":[{"literal":"Geoffrey of Monmouth"},{"literal":"Lewis Thorpe (introduction and translation)."}],"contributor":[{"literal":"Internet Archive"}],"accessed":{"date-parts":[["2026",5,20]]},"issued":{"date-parts":[["1968",1,1]]}},"locator":"20","label":"page"}],"schema":"https://github.com/citation-style-language/schema/raw/master/csl-citation.json"} </w:instrText>
      </w:r>
      <w:r>
        <w:fldChar w:fldCharType="separate"/>
      </w:r>
      <w:r w:rsidRPr="008A118C">
        <w:rPr>
          <w:rFonts w:ascii="Aptos" w:hAnsi="Aptos" w:cs="Times New Roman"/>
          <w:kern w:val="0"/>
        </w:rPr>
        <w:t xml:space="preserve">Geoffrey of Monmouth and Lewis Thorpe (introduction and translation)., with Internet Archive, </w:t>
      </w:r>
      <w:r w:rsidRPr="008A118C">
        <w:rPr>
          <w:rFonts w:ascii="Aptos" w:hAnsi="Aptos" w:cs="Times New Roman"/>
          <w:i/>
          <w:iCs/>
          <w:kern w:val="0"/>
        </w:rPr>
        <w:t xml:space="preserve">Geoffrey of Monmouth The History of the </w:t>
      </w:r>
      <w:proofErr w:type="spellStart"/>
      <w:r w:rsidRPr="008A118C">
        <w:rPr>
          <w:rFonts w:ascii="Aptos" w:hAnsi="Aptos" w:cs="Times New Roman"/>
          <w:i/>
          <w:iCs/>
          <w:kern w:val="0"/>
        </w:rPr>
        <w:t>KIngs</w:t>
      </w:r>
      <w:proofErr w:type="spellEnd"/>
      <w:r w:rsidRPr="008A118C">
        <w:rPr>
          <w:rFonts w:ascii="Aptos" w:hAnsi="Aptos" w:cs="Times New Roman"/>
          <w:i/>
          <w:iCs/>
          <w:kern w:val="0"/>
        </w:rPr>
        <w:t xml:space="preserve"> of Britain</w:t>
      </w:r>
      <w:r w:rsidRPr="008A118C">
        <w:rPr>
          <w:rFonts w:ascii="Aptos" w:hAnsi="Aptos" w:cs="Times New Roman"/>
          <w:kern w:val="0"/>
        </w:rPr>
        <w:t xml:space="preserve"> (Penguin Books Ltd., 1968), p. 20 &lt;http://archive.org/details/geoffreyofmonmou0000geof&gt; [accessed 20 May 2026].</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B78D2"/>
    <w:multiLevelType w:val="multilevel"/>
    <w:tmpl w:val="BCEA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B859B4"/>
    <w:multiLevelType w:val="hybridMultilevel"/>
    <w:tmpl w:val="3CB0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C0F31"/>
    <w:multiLevelType w:val="hybridMultilevel"/>
    <w:tmpl w:val="E46E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253477">
    <w:abstractNumId w:val="0"/>
  </w:num>
  <w:num w:numId="2" w16cid:durableId="820466747">
    <w:abstractNumId w:val="1"/>
  </w:num>
  <w:num w:numId="3" w16cid:durableId="556162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B22"/>
    <w:rsid w:val="00004DF7"/>
    <w:rsid w:val="00006346"/>
    <w:rsid w:val="000153AA"/>
    <w:rsid w:val="00031D77"/>
    <w:rsid w:val="0005780B"/>
    <w:rsid w:val="00070BDD"/>
    <w:rsid w:val="00085E38"/>
    <w:rsid w:val="00092B6D"/>
    <w:rsid w:val="000B5964"/>
    <w:rsid w:val="00101EEC"/>
    <w:rsid w:val="00123D1B"/>
    <w:rsid w:val="00156A8A"/>
    <w:rsid w:val="001A6B86"/>
    <w:rsid w:val="001B589C"/>
    <w:rsid w:val="001C02B8"/>
    <w:rsid w:val="002019E3"/>
    <w:rsid w:val="00202D3F"/>
    <w:rsid w:val="002178F7"/>
    <w:rsid w:val="00234C86"/>
    <w:rsid w:val="002D054F"/>
    <w:rsid w:val="002D3FE1"/>
    <w:rsid w:val="002E3D45"/>
    <w:rsid w:val="002F24F1"/>
    <w:rsid w:val="003544A8"/>
    <w:rsid w:val="003716EE"/>
    <w:rsid w:val="003D7408"/>
    <w:rsid w:val="003E56C8"/>
    <w:rsid w:val="004349C3"/>
    <w:rsid w:val="00486266"/>
    <w:rsid w:val="004A6964"/>
    <w:rsid w:val="004B50E4"/>
    <w:rsid w:val="005129DD"/>
    <w:rsid w:val="00514A36"/>
    <w:rsid w:val="00520CA4"/>
    <w:rsid w:val="005263F3"/>
    <w:rsid w:val="005A547A"/>
    <w:rsid w:val="005D64A6"/>
    <w:rsid w:val="005F7153"/>
    <w:rsid w:val="00636AA8"/>
    <w:rsid w:val="00650E63"/>
    <w:rsid w:val="00684C37"/>
    <w:rsid w:val="006F45FA"/>
    <w:rsid w:val="00713D19"/>
    <w:rsid w:val="00715FF2"/>
    <w:rsid w:val="00737D57"/>
    <w:rsid w:val="00755A98"/>
    <w:rsid w:val="0077613B"/>
    <w:rsid w:val="00821556"/>
    <w:rsid w:val="00841329"/>
    <w:rsid w:val="008A118C"/>
    <w:rsid w:val="008B316A"/>
    <w:rsid w:val="008F6CC7"/>
    <w:rsid w:val="00921DF4"/>
    <w:rsid w:val="00987796"/>
    <w:rsid w:val="009C5BAF"/>
    <w:rsid w:val="00A00F26"/>
    <w:rsid w:val="00A021B5"/>
    <w:rsid w:val="00A078C1"/>
    <w:rsid w:val="00A63365"/>
    <w:rsid w:val="00AA14DE"/>
    <w:rsid w:val="00AA1A08"/>
    <w:rsid w:val="00AE6926"/>
    <w:rsid w:val="00B03BED"/>
    <w:rsid w:val="00B803CE"/>
    <w:rsid w:val="00BA5894"/>
    <w:rsid w:val="00BC0CA7"/>
    <w:rsid w:val="00BF1761"/>
    <w:rsid w:val="00C12C21"/>
    <w:rsid w:val="00C13EB3"/>
    <w:rsid w:val="00C35204"/>
    <w:rsid w:val="00C4494C"/>
    <w:rsid w:val="00C5556F"/>
    <w:rsid w:val="00C5685F"/>
    <w:rsid w:val="00CA0A02"/>
    <w:rsid w:val="00CB110F"/>
    <w:rsid w:val="00CF0208"/>
    <w:rsid w:val="00D87B22"/>
    <w:rsid w:val="00DA0B21"/>
    <w:rsid w:val="00DA0C47"/>
    <w:rsid w:val="00E81F9D"/>
    <w:rsid w:val="00EA7215"/>
    <w:rsid w:val="00F16ABB"/>
    <w:rsid w:val="00F24B77"/>
    <w:rsid w:val="00F311FD"/>
    <w:rsid w:val="00F3374C"/>
    <w:rsid w:val="00F85670"/>
    <w:rsid w:val="00F92988"/>
    <w:rsid w:val="00F9471A"/>
    <w:rsid w:val="00FC62FD"/>
    <w:rsid w:val="00FF4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2D0C9"/>
  <w15:chartTrackingRefBased/>
  <w15:docId w15:val="{02C1495B-1DD8-4AC1-9DDD-5B5F298C8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7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B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7B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B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B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B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B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B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B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B22"/>
    <w:rPr>
      <w:rFonts w:eastAsiaTheme="majorEastAsia" w:cstheme="majorBidi"/>
      <w:color w:val="272727" w:themeColor="text1" w:themeTint="D8"/>
    </w:rPr>
  </w:style>
  <w:style w:type="paragraph" w:styleId="Title">
    <w:name w:val="Title"/>
    <w:basedOn w:val="Normal"/>
    <w:next w:val="Normal"/>
    <w:link w:val="TitleChar"/>
    <w:uiPriority w:val="10"/>
    <w:qFormat/>
    <w:rsid w:val="00D87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B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B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B22"/>
    <w:pPr>
      <w:spacing w:before="160"/>
      <w:jc w:val="center"/>
    </w:pPr>
    <w:rPr>
      <w:i/>
      <w:iCs/>
      <w:color w:val="404040" w:themeColor="text1" w:themeTint="BF"/>
    </w:rPr>
  </w:style>
  <w:style w:type="character" w:customStyle="1" w:styleId="QuoteChar">
    <w:name w:val="Quote Char"/>
    <w:basedOn w:val="DefaultParagraphFont"/>
    <w:link w:val="Quote"/>
    <w:uiPriority w:val="29"/>
    <w:rsid w:val="00D87B22"/>
    <w:rPr>
      <w:i/>
      <w:iCs/>
      <w:color w:val="404040" w:themeColor="text1" w:themeTint="BF"/>
    </w:rPr>
  </w:style>
  <w:style w:type="paragraph" w:styleId="ListParagraph">
    <w:name w:val="List Paragraph"/>
    <w:basedOn w:val="Normal"/>
    <w:uiPriority w:val="34"/>
    <w:qFormat/>
    <w:rsid w:val="00D87B22"/>
    <w:pPr>
      <w:ind w:left="720"/>
      <w:contextualSpacing/>
    </w:pPr>
  </w:style>
  <w:style w:type="character" w:styleId="IntenseEmphasis">
    <w:name w:val="Intense Emphasis"/>
    <w:basedOn w:val="DefaultParagraphFont"/>
    <w:uiPriority w:val="21"/>
    <w:qFormat/>
    <w:rsid w:val="00D87B22"/>
    <w:rPr>
      <w:i/>
      <w:iCs/>
      <w:color w:val="0F4761" w:themeColor="accent1" w:themeShade="BF"/>
    </w:rPr>
  </w:style>
  <w:style w:type="paragraph" w:styleId="IntenseQuote">
    <w:name w:val="Intense Quote"/>
    <w:basedOn w:val="Normal"/>
    <w:next w:val="Normal"/>
    <w:link w:val="IntenseQuoteChar"/>
    <w:uiPriority w:val="30"/>
    <w:qFormat/>
    <w:rsid w:val="00D87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B22"/>
    <w:rPr>
      <w:i/>
      <w:iCs/>
      <w:color w:val="0F4761" w:themeColor="accent1" w:themeShade="BF"/>
    </w:rPr>
  </w:style>
  <w:style w:type="character" w:styleId="IntenseReference">
    <w:name w:val="Intense Reference"/>
    <w:basedOn w:val="DefaultParagraphFont"/>
    <w:uiPriority w:val="32"/>
    <w:qFormat/>
    <w:rsid w:val="00D87B22"/>
    <w:rPr>
      <w:b/>
      <w:bCs/>
      <w:smallCaps/>
      <w:color w:val="0F4761" w:themeColor="accent1" w:themeShade="BF"/>
      <w:spacing w:val="5"/>
    </w:rPr>
  </w:style>
  <w:style w:type="paragraph" w:styleId="FootnoteText">
    <w:name w:val="footnote text"/>
    <w:basedOn w:val="Normal"/>
    <w:link w:val="FootnoteTextChar"/>
    <w:uiPriority w:val="99"/>
    <w:semiHidden/>
    <w:unhideWhenUsed/>
    <w:rsid w:val="00234C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4C86"/>
    <w:rPr>
      <w:sz w:val="20"/>
      <w:szCs w:val="20"/>
    </w:rPr>
  </w:style>
  <w:style w:type="character" w:styleId="FootnoteReference">
    <w:name w:val="footnote reference"/>
    <w:basedOn w:val="DefaultParagraphFont"/>
    <w:uiPriority w:val="99"/>
    <w:semiHidden/>
    <w:unhideWhenUsed/>
    <w:rsid w:val="00234C86"/>
    <w:rPr>
      <w:vertAlign w:val="superscript"/>
    </w:rPr>
  </w:style>
  <w:style w:type="paragraph" w:styleId="Bibliography">
    <w:name w:val="Bibliography"/>
    <w:basedOn w:val="Normal"/>
    <w:next w:val="Normal"/>
    <w:uiPriority w:val="37"/>
    <w:unhideWhenUsed/>
    <w:rsid w:val="00234C86"/>
    <w:pPr>
      <w:spacing w:after="240" w:line="240" w:lineRule="auto"/>
      <w:ind w:left="720" w:hanging="720"/>
    </w:pPr>
  </w:style>
  <w:style w:type="paragraph" w:styleId="Caption">
    <w:name w:val="caption"/>
    <w:basedOn w:val="Normal"/>
    <w:next w:val="Normal"/>
    <w:uiPriority w:val="35"/>
    <w:unhideWhenUsed/>
    <w:qFormat/>
    <w:rsid w:val="00713D19"/>
    <w:pPr>
      <w:spacing w:after="200" w:line="240" w:lineRule="auto"/>
    </w:pPr>
    <w:rPr>
      <w:i/>
      <w:iCs/>
      <w:color w:val="0E2841" w:themeColor="text2"/>
      <w:sz w:val="18"/>
      <w:szCs w:val="18"/>
    </w:rPr>
  </w:style>
  <w:style w:type="character" w:styleId="Hyperlink">
    <w:name w:val="Hyperlink"/>
    <w:basedOn w:val="DefaultParagraphFont"/>
    <w:uiPriority w:val="99"/>
    <w:unhideWhenUsed/>
    <w:rsid w:val="008F6CC7"/>
    <w:rPr>
      <w:color w:val="467886" w:themeColor="hyperlink"/>
      <w:u w:val="single"/>
    </w:rPr>
  </w:style>
  <w:style w:type="character" w:styleId="UnresolvedMention">
    <w:name w:val="Unresolved Mention"/>
    <w:basedOn w:val="DefaultParagraphFont"/>
    <w:uiPriority w:val="99"/>
    <w:semiHidden/>
    <w:unhideWhenUsed/>
    <w:rsid w:val="008F6C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ndonmuseum.org.uk/blog/battersea-shield-river-tham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trofella.wordpress.com/wp-content/uploads/2015/10/riders-of-sidhe.jp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artuk.org/discover/artworks/the-taking-of-excalibur-93240"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useum.ie/en-IE/Collections-Research/Collection/The-Treasury/Artefact/The-Ardagh-Chalice/ac53e68e-76a4-4560-a624-c87647c57a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C3F6D-39B0-459C-AA31-7CF4F62E4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10</Pages>
  <Words>2429</Words>
  <Characters>13849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Rykus Llewellyn-Jones</dc:creator>
  <cp:keywords/>
  <dc:description/>
  <cp:lastModifiedBy>Rykus Llewellyn-Jones</cp:lastModifiedBy>
  <cp:revision>8</cp:revision>
  <dcterms:created xsi:type="dcterms:W3CDTF">2026-05-21T18:08:00Z</dcterms:created>
  <dcterms:modified xsi:type="dcterms:W3CDTF">2026-05-21T20:09:00Z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zotero-version="9.0.3"&gt;&lt;session id="X7BNbBbu"/&gt;&lt;style id="http://www.zotero.org/styles/mhra-notes" hasBibliography="1" bibliographyStyleHasBeenSet="1"/&gt;&lt;prefs&gt;&lt;pref name="fieldType" value="Field"/&gt;&lt;pref name="automaticJournalAbbrevi</vt:lpwstr>
  </property>
  <property fmtid="{D5CDD505-2E9C-101B-9397-08002B2CF9AE}" pid="3" name="ZOTERO_PREF_2">
    <vt:lpwstr>ations" value="true"/&gt;&lt;pref name="noteType" value="1"/&gt;&lt;/prefs&gt;&lt;/data&gt;</vt:lpwstr>
  </property>
</Properties>
</file>