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84B59" w14:textId="57A41426" w:rsidR="00D91AEA" w:rsidRDefault="002050AD" w:rsidP="005E3045">
      <w:pPr>
        <w:spacing w:line="480" w:lineRule="auto"/>
        <w:jc w:val="center"/>
        <w:rPr>
          <w:u w:val="single"/>
        </w:rPr>
      </w:pPr>
      <w:r>
        <w:rPr>
          <w:u w:val="single"/>
        </w:rPr>
        <w:t>Commentary</w:t>
      </w:r>
      <w:r w:rsidR="00F6777D">
        <w:rPr>
          <w:u w:val="single"/>
        </w:rPr>
        <w:t xml:space="preserve">: </w:t>
      </w:r>
      <w:r w:rsidR="00F6777D">
        <w:rPr>
          <w:i/>
          <w:iCs/>
          <w:u w:val="single"/>
        </w:rPr>
        <w:t xml:space="preserve">Deidamia </w:t>
      </w:r>
      <w:proofErr w:type="spellStart"/>
      <w:r w:rsidR="00F6777D">
        <w:rPr>
          <w:i/>
          <w:iCs/>
          <w:u w:val="single"/>
        </w:rPr>
        <w:t>Achilli</w:t>
      </w:r>
      <w:proofErr w:type="spellEnd"/>
      <w:r w:rsidR="00F6777D">
        <w:rPr>
          <w:i/>
          <w:iCs/>
          <w:u w:val="single"/>
        </w:rPr>
        <w:t xml:space="preserve"> </w:t>
      </w:r>
      <w:r w:rsidR="00F6777D">
        <w:rPr>
          <w:u w:val="single"/>
        </w:rPr>
        <w:t>51-94</w:t>
      </w:r>
      <w:bookmarkStart w:id="0" w:name="_GoBack"/>
      <w:bookmarkEnd w:id="0"/>
    </w:p>
    <w:p w14:paraId="1882438B" w14:textId="72300C9F" w:rsidR="00F6777D" w:rsidRDefault="00F6777D" w:rsidP="005E3045">
      <w:pPr>
        <w:spacing w:line="480" w:lineRule="auto"/>
      </w:pPr>
      <w:r>
        <w:t xml:space="preserve">The Deidamia is an anonymous eleventh century elegiac epistle, in the form of a letter written by Deidamia to Achilles, four years after his departure to the Trojan War (D.A. 9), in which she confronts Achilles on rumours of his romantic involvement with Briseis. The piece acts as an Ovidian response to Statius’ </w:t>
      </w:r>
      <w:proofErr w:type="spellStart"/>
      <w:r>
        <w:rPr>
          <w:i/>
          <w:iCs/>
        </w:rPr>
        <w:t>Achilleid</w:t>
      </w:r>
      <w:proofErr w:type="spellEnd"/>
      <w:r>
        <w:t xml:space="preserve">, following the Ovidian tradition of filling gaps in perspective from prior literature, through creating a female voice for the </w:t>
      </w:r>
      <w:proofErr w:type="spellStart"/>
      <w:r>
        <w:rPr>
          <w:i/>
          <w:iCs/>
        </w:rPr>
        <w:t>Achilleid</w:t>
      </w:r>
      <w:proofErr w:type="spellEnd"/>
      <w:r>
        <w:rPr>
          <w:i/>
          <w:iCs/>
        </w:rPr>
        <w:t>.</w:t>
      </w:r>
      <w:r>
        <w:rPr>
          <w:rStyle w:val="FootnoteReference"/>
          <w:i/>
          <w:iCs/>
        </w:rPr>
        <w:footnoteReference w:id="1"/>
      </w:r>
      <w:r>
        <w:t xml:space="preserve"> </w:t>
      </w:r>
      <w:r w:rsidR="002050AD">
        <w:t xml:space="preserve">It also functions as a counterpart to Ovid’s </w:t>
      </w:r>
      <w:proofErr w:type="spellStart"/>
      <w:r w:rsidR="002050AD">
        <w:rPr>
          <w:i/>
          <w:iCs/>
        </w:rPr>
        <w:t>Heroides</w:t>
      </w:r>
      <w:proofErr w:type="spellEnd"/>
      <w:r w:rsidR="002050AD">
        <w:rPr>
          <w:i/>
          <w:iCs/>
        </w:rPr>
        <w:t xml:space="preserve"> </w:t>
      </w:r>
      <w:r w:rsidR="002050AD">
        <w:t xml:space="preserve">3, in the same vein as </w:t>
      </w:r>
      <w:r w:rsidR="002050AD">
        <w:rPr>
          <w:i/>
          <w:iCs/>
        </w:rPr>
        <w:t xml:space="preserve">Her. </w:t>
      </w:r>
      <w:r w:rsidR="002050AD">
        <w:t>6/12 and 5/17.</w:t>
      </w:r>
      <w:r w:rsidR="002050AD">
        <w:rPr>
          <w:rStyle w:val="FootnoteReference"/>
        </w:rPr>
        <w:footnoteReference w:id="2"/>
      </w:r>
      <w:r w:rsidR="002050AD">
        <w:t xml:space="preserve"> </w:t>
      </w:r>
      <w:r w:rsidR="00A23788">
        <w:t>The poem also contains a moral message for the contemporary reader, promoting faithfulness and resistance to temptation, while warning of the dangers of failing to live up to this.</w:t>
      </w:r>
    </w:p>
    <w:p w14:paraId="2E5F50B3" w14:textId="6DBA564B" w:rsidR="002050AD" w:rsidRPr="0053372C" w:rsidRDefault="00041549" w:rsidP="005E3045">
      <w:pPr>
        <w:spacing w:line="480" w:lineRule="auto"/>
      </w:pPr>
      <w:r>
        <w:t>The first section of the passage in question (51</w:t>
      </w:r>
      <w:r w:rsidR="003A0F1A">
        <w:t xml:space="preserve">-60), recalls the </w:t>
      </w:r>
      <w:proofErr w:type="spellStart"/>
      <w:r w:rsidR="003A0F1A">
        <w:rPr>
          <w:i/>
          <w:iCs/>
        </w:rPr>
        <w:t>Achilleid</w:t>
      </w:r>
      <w:proofErr w:type="spellEnd"/>
      <w:r w:rsidR="003A0F1A">
        <w:t xml:space="preserve">, using the same similes. The first example of this is the use of the “cow” and the “bull” (D.A. 52), evoking </w:t>
      </w:r>
      <w:proofErr w:type="spellStart"/>
      <w:r w:rsidR="003A0F1A">
        <w:rPr>
          <w:i/>
          <w:iCs/>
        </w:rPr>
        <w:t>Achilleid</w:t>
      </w:r>
      <w:proofErr w:type="spellEnd"/>
      <w:r w:rsidR="003A0F1A">
        <w:rPr>
          <w:i/>
          <w:iCs/>
        </w:rPr>
        <w:t xml:space="preserve"> </w:t>
      </w:r>
      <w:r w:rsidR="003A0F1A">
        <w:t xml:space="preserve">1.313-7, which described Achilles’ initial attraction to Deidamia in the same way. The next line is also a reference to the </w:t>
      </w:r>
      <w:proofErr w:type="spellStart"/>
      <w:r w:rsidR="003A0F1A">
        <w:rPr>
          <w:i/>
          <w:iCs/>
        </w:rPr>
        <w:t>Achilleid</w:t>
      </w:r>
      <w:proofErr w:type="spellEnd"/>
      <w:r w:rsidR="003A0F1A">
        <w:rPr>
          <w:i/>
          <w:iCs/>
        </w:rPr>
        <w:t xml:space="preserve"> </w:t>
      </w:r>
      <w:r w:rsidR="003A0F1A">
        <w:t>(1.960), using the same metaphor of the wind taking away promises. According to Hagedorn, this develops Statius’ words into a motif representing Deidamia’s woe.</w:t>
      </w:r>
      <w:r w:rsidR="003A0F1A">
        <w:rPr>
          <w:rStyle w:val="FootnoteReference"/>
        </w:rPr>
        <w:footnoteReference w:id="3"/>
      </w:r>
      <w:r w:rsidR="003A0F1A">
        <w:t xml:space="preserve"> Therefore, this section places the words of Statius into the hand of Deidamia. This </w:t>
      </w:r>
      <w:r w:rsidR="00AD5F3D">
        <w:t xml:space="preserve">gives us Deidamia’s perspective of the very same words as the </w:t>
      </w:r>
      <w:proofErr w:type="spellStart"/>
      <w:r w:rsidR="00AD5F3D">
        <w:rPr>
          <w:i/>
          <w:iCs/>
        </w:rPr>
        <w:t>Achilleid</w:t>
      </w:r>
      <w:proofErr w:type="spellEnd"/>
      <w:r w:rsidR="00AD5F3D">
        <w:rPr>
          <w:i/>
          <w:iCs/>
        </w:rPr>
        <w:t xml:space="preserve">, </w:t>
      </w:r>
      <w:r w:rsidR="003C7F77">
        <w:t xml:space="preserve">which could be argued </w:t>
      </w:r>
      <w:r w:rsidR="0053372C">
        <w:t xml:space="preserve">to represent what the ending of </w:t>
      </w:r>
      <w:proofErr w:type="spellStart"/>
      <w:r w:rsidR="0053372C">
        <w:rPr>
          <w:i/>
          <w:iCs/>
        </w:rPr>
        <w:t>Achilleid</w:t>
      </w:r>
      <w:proofErr w:type="spellEnd"/>
      <w:r w:rsidR="0053372C">
        <w:rPr>
          <w:i/>
          <w:iCs/>
        </w:rPr>
        <w:t xml:space="preserve"> </w:t>
      </w:r>
      <w:r w:rsidR="0053372C">
        <w:t xml:space="preserve">1 would have been, were it written by Deidamia herself. Therefore, this follows with the Ovidian tradition of writing female characters into prior literature, particularly reminiscent of </w:t>
      </w:r>
      <w:r w:rsidR="0053372C">
        <w:rPr>
          <w:i/>
          <w:iCs/>
        </w:rPr>
        <w:t xml:space="preserve">Her. </w:t>
      </w:r>
      <w:r w:rsidR="0053372C">
        <w:t>3.</w:t>
      </w:r>
    </w:p>
    <w:p w14:paraId="5BED19FA" w14:textId="77777777" w:rsidR="001313FE" w:rsidRDefault="0053372C" w:rsidP="005E3045">
      <w:pPr>
        <w:spacing w:line="480" w:lineRule="auto"/>
      </w:pPr>
      <w:r>
        <w:t xml:space="preserve">The next sections continue with this reminiscence of the events of the end of </w:t>
      </w:r>
      <w:proofErr w:type="spellStart"/>
      <w:r>
        <w:rPr>
          <w:i/>
          <w:iCs/>
        </w:rPr>
        <w:t>Achilleid</w:t>
      </w:r>
      <w:proofErr w:type="spellEnd"/>
      <w:r>
        <w:rPr>
          <w:i/>
          <w:iCs/>
        </w:rPr>
        <w:t xml:space="preserve"> </w:t>
      </w:r>
      <w:r>
        <w:t xml:space="preserve">1, remembering the moment of Achilles’ departure. It also makes another use of the wind motif (D.A 63), when remembering the moment of </w:t>
      </w:r>
      <w:r w:rsidR="00C63A31">
        <w:t xml:space="preserve">the departure of the ships. Using Hagedorn’s </w:t>
      </w:r>
      <w:r w:rsidR="00C63A31">
        <w:lastRenderedPageBreak/>
        <w:t>interpretation of this motif, this could be interpreted as the winds carrying away her husband, while also bringing forth her sorrow. This passage also acts as a transition from the context preceding her woes, to the reason the letter was written (D.A. 65-68), with the wind recalling Achilles’ promise of faithfulness a final time (</w:t>
      </w:r>
      <w:r w:rsidR="00C63A31">
        <w:rPr>
          <w:i/>
          <w:iCs/>
        </w:rPr>
        <w:t xml:space="preserve">Achill. </w:t>
      </w:r>
      <w:r w:rsidR="00C63A31">
        <w:t>1.956-960), before revealing the predicted breaking of said promise (D.A. 62-</w:t>
      </w:r>
      <w:r w:rsidR="001313FE">
        <w:t xml:space="preserve">65). </w:t>
      </w:r>
    </w:p>
    <w:p w14:paraId="519DC4DA" w14:textId="16C4112A" w:rsidR="0053372C" w:rsidRDefault="001313FE" w:rsidP="005E3045">
      <w:pPr>
        <w:spacing w:line="480" w:lineRule="auto"/>
      </w:pPr>
      <w:r>
        <w:t xml:space="preserve">The revealing of the rumours of the breaking of the promise comes in the phrase “saying that you, the master, have submitted to your slave/ </w:t>
      </w:r>
      <w:proofErr w:type="spellStart"/>
      <w:r w:rsidRPr="001313FE">
        <w:rPr>
          <w:i/>
          <w:iCs/>
        </w:rPr>
        <w:t>Te</w:t>
      </w:r>
      <w:proofErr w:type="spellEnd"/>
      <w:r w:rsidRPr="001313FE">
        <w:rPr>
          <w:i/>
          <w:iCs/>
        </w:rPr>
        <w:t xml:space="preserve"> </w:t>
      </w:r>
      <w:proofErr w:type="spellStart"/>
      <w:r w:rsidRPr="001313FE">
        <w:rPr>
          <w:i/>
          <w:iCs/>
        </w:rPr>
        <w:t>dominum</w:t>
      </w:r>
      <w:proofErr w:type="spellEnd"/>
      <w:r w:rsidRPr="001313FE">
        <w:rPr>
          <w:i/>
          <w:iCs/>
        </w:rPr>
        <w:t xml:space="preserve"> </w:t>
      </w:r>
      <w:proofErr w:type="spellStart"/>
      <w:r w:rsidRPr="001313FE">
        <w:rPr>
          <w:i/>
          <w:iCs/>
        </w:rPr>
        <w:t>servae</w:t>
      </w:r>
      <w:proofErr w:type="spellEnd"/>
      <w:r w:rsidRPr="001313FE">
        <w:rPr>
          <w:i/>
          <w:iCs/>
        </w:rPr>
        <w:t xml:space="preserve"> </w:t>
      </w:r>
      <w:proofErr w:type="spellStart"/>
      <w:r w:rsidRPr="001313FE">
        <w:rPr>
          <w:i/>
          <w:iCs/>
        </w:rPr>
        <w:t>succubuisse</w:t>
      </w:r>
      <w:proofErr w:type="spellEnd"/>
      <w:r w:rsidRPr="001313FE">
        <w:rPr>
          <w:i/>
          <w:iCs/>
        </w:rPr>
        <w:t xml:space="preserve"> </w:t>
      </w:r>
      <w:proofErr w:type="spellStart"/>
      <w:r w:rsidRPr="001313FE">
        <w:rPr>
          <w:i/>
          <w:iCs/>
        </w:rPr>
        <w:t>tuae</w:t>
      </w:r>
      <w:proofErr w:type="spellEnd"/>
      <w:r>
        <w:rPr>
          <w:i/>
          <w:iCs/>
        </w:rPr>
        <w:t>.</w:t>
      </w:r>
      <w:r>
        <w:t xml:space="preserve">” (D.A. 66). The use of the word “slave” </w:t>
      </w:r>
      <w:r w:rsidRPr="001313FE">
        <w:rPr>
          <w:i/>
          <w:iCs/>
        </w:rPr>
        <w:t>(</w:t>
      </w:r>
      <w:proofErr w:type="spellStart"/>
      <w:r w:rsidRPr="001313FE">
        <w:rPr>
          <w:i/>
          <w:iCs/>
        </w:rPr>
        <w:t>servae</w:t>
      </w:r>
      <w:proofErr w:type="spellEnd"/>
      <w:r w:rsidRPr="001313FE">
        <w:rPr>
          <w:i/>
          <w:iCs/>
        </w:rPr>
        <w:t>)</w:t>
      </w:r>
      <w:r>
        <w:t xml:space="preserve"> contrasts with Deidamia’s description of herself as “wife” </w:t>
      </w:r>
      <w:r w:rsidRPr="001313FE">
        <w:rPr>
          <w:i/>
          <w:iCs/>
        </w:rPr>
        <w:t>(</w:t>
      </w:r>
      <w:proofErr w:type="spellStart"/>
      <w:r w:rsidRPr="001313FE">
        <w:rPr>
          <w:i/>
          <w:iCs/>
        </w:rPr>
        <w:t>nuptam</w:t>
      </w:r>
      <w:proofErr w:type="spellEnd"/>
      <w:r>
        <w:rPr>
          <w:i/>
          <w:iCs/>
        </w:rPr>
        <w:t xml:space="preserve"> </w:t>
      </w:r>
      <w:r>
        <w:t>(1)</w:t>
      </w:r>
      <w:r w:rsidRPr="001313FE">
        <w:rPr>
          <w:i/>
          <w:iCs/>
        </w:rPr>
        <w:t>/ uxor</w:t>
      </w:r>
      <w:r>
        <w:rPr>
          <w:i/>
          <w:iCs/>
        </w:rPr>
        <w:t xml:space="preserve"> </w:t>
      </w:r>
      <w:r>
        <w:t>(41)</w:t>
      </w:r>
      <w:r w:rsidRPr="001313FE">
        <w:rPr>
          <w:i/>
          <w:iCs/>
        </w:rPr>
        <w:t>)</w:t>
      </w:r>
      <w:r>
        <w:rPr>
          <w:i/>
          <w:iCs/>
        </w:rPr>
        <w:t>.</w:t>
      </w:r>
      <w:r>
        <w:t xml:space="preserve"> In doing this, she is establishing her own perception of her superior status to Briseis.</w:t>
      </w:r>
      <w:r>
        <w:rPr>
          <w:rStyle w:val="FootnoteReference"/>
        </w:rPr>
        <w:footnoteReference w:id="4"/>
      </w:r>
      <w:r>
        <w:t xml:space="preserve"> </w:t>
      </w:r>
      <w:r w:rsidR="002B1761">
        <w:t>This same description of Briseis is later used (69), as well as the word “mistress” (</w:t>
      </w:r>
      <w:proofErr w:type="spellStart"/>
      <w:r w:rsidR="002B1761">
        <w:rPr>
          <w:i/>
          <w:iCs/>
        </w:rPr>
        <w:t>amica</w:t>
      </w:r>
      <w:proofErr w:type="spellEnd"/>
      <w:r w:rsidR="002B1761">
        <w:t xml:space="preserve">) (70, 81) in much the same way. This is also contrasted with the passage from 75-80, reminding Achilles of his promise, and Deidamia’s own faithfulness. This mimics Penelope’s concerns for Ulysses in </w:t>
      </w:r>
      <w:proofErr w:type="spellStart"/>
      <w:r w:rsidR="002B1761">
        <w:t>Ov</w:t>
      </w:r>
      <w:proofErr w:type="spellEnd"/>
      <w:r w:rsidR="002B1761">
        <w:t xml:space="preserve">. </w:t>
      </w:r>
      <w:r w:rsidR="002B1761">
        <w:rPr>
          <w:i/>
          <w:iCs/>
        </w:rPr>
        <w:t xml:space="preserve">Her. </w:t>
      </w:r>
      <w:r w:rsidR="002B1761">
        <w:t>1.75-80, indicating that they have become victim to the same situation.</w:t>
      </w:r>
      <w:r w:rsidR="002B1761">
        <w:rPr>
          <w:rStyle w:val="FootnoteReference"/>
        </w:rPr>
        <w:footnoteReference w:id="5"/>
      </w:r>
      <w:r w:rsidR="002B1761">
        <w:t xml:space="preserve"> </w:t>
      </w:r>
      <w:r w:rsidR="002F7495">
        <w:t>This direct comparison could be interpreted as the poet presenting marital love as superior to extra-marital love, with Deidamia and Penelope representing the ideal of faithful love, in contrast to the lower status love of Briseis.</w:t>
      </w:r>
      <w:r w:rsidR="002F7495">
        <w:rPr>
          <w:rStyle w:val="FootnoteReference"/>
        </w:rPr>
        <w:footnoteReference w:id="6"/>
      </w:r>
      <w:r w:rsidR="002F7495">
        <w:t xml:space="preserve"> However, Parkes argues that, as Deidamia and Achilles were only married for one night, with her acting as mistress and mother of an illegitimate child prior to this, it instead acts as a display of the fragility of this distinction, marrying “</w:t>
      </w:r>
      <w:r w:rsidR="002F7495" w:rsidRPr="002F7495">
        <w:t xml:space="preserve">this </w:t>
      </w:r>
      <w:proofErr w:type="spellStart"/>
      <w:r w:rsidR="002F7495" w:rsidRPr="002F7495">
        <w:t>Statian</w:t>
      </w:r>
      <w:proofErr w:type="spellEnd"/>
      <w:r w:rsidR="002F7495" w:rsidRPr="002F7495">
        <w:t xml:space="preserve"> tension between Deidamia's past and present with the Ovidian interest in subjective viewpoint and selective detail.</w:t>
      </w:r>
      <w:r w:rsidR="002F7495">
        <w:t>”</w:t>
      </w:r>
      <w:r w:rsidR="002F7495">
        <w:rPr>
          <w:rStyle w:val="FootnoteReference"/>
        </w:rPr>
        <w:footnoteReference w:id="7"/>
      </w:r>
      <w:r w:rsidR="002F7495">
        <w:t xml:space="preserve"> </w:t>
      </w:r>
    </w:p>
    <w:p w14:paraId="7AD33B51" w14:textId="0E0DF81C" w:rsidR="002F7495" w:rsidRDefault="005D6B4B" w:rsidP="005E3045">
      <w:pPr>
        <w:spacing w:line="480" w:lineRule="auto"/>
      </w:pPr>
      <w:r>
        <w:t xml:space="preserve">Another interesting part of line 66 is the choice of the phrase “the master… submitted to your slave”. This phrase places the agency for initiating the romantic encounter onto Briseis, with </w:t>
      </w:r>
      <w:r>
        <w:lastRenderedPageBreak/>
        <w:t>Achilles’ failure presented as submitting to the temptation offered by Briseis. This is followed by the idea of Achilles being “captured/ defeated” (</w:t>
      </w:r>
      <w:proofErr w:type="spellStart"/>
      <w:r>
        <w:rPr>
          <w:i/>
          <w:iCs/>
        </w:rPr>
        <w:t>victus</w:t>
      </w:r>
      <w:proofErr w:type="spellEnd"/>
      <w:r>
        <w:t xml:space="preserve">), (68). This use of military-style language alludes to Achilles’ reputation as a great warrior, while representing the resistance of temptation as a “battle” that Achilles has lost. This </w:t>
      </w:r>
      <w:r w:rsidR="00E04C15">
        <w:t>corresponds with the Christian idea of battling against temptation, as well as perhaps eluding to the increasing prominence of the idea of “holy war”.</w:t>
      </w:r>
      <w:r w:rsidR="006D1BD9">
        <w:t xml:space="preserve"> Therefore, losing the battle against the temptation of Briseis undermines his military victories, explaining the meaning of the phrase “Briseis tarnishes the distinctions of Achilles” (69).</w:t>
      </w:r>
    </w:p>
    <w:p w14:paraId="48F41447" w14:textId="0FEF0259" w:rsidR="006D1BD9" w:rsidRDefault="006D1BD9" w:rsidP="005E3045">
      <w:pPr>
        <w:spacing w:line="480" w:lineRule="auto"/>
      </w:pPr>
      <w:r>
        <w:t>Following this, Deidamia brings up the dispute between Achilles and Agamemnon over Briseis, then further reminding him of his promise to be faithful (71-76). In this passage, Deidamia is</w:t>
      </w:r>
      <w:r w:rsidR="00BA087B">
        <w:t xml:space="preserve"> accusing Achilles of thinking of her as less worthy than another woman of supposedly lower status, by fighting over Briseis and not her. This further emphasises the prior line of Briseis tarnishing Achilles’ distinctions. It also transforms the metaphorical “battle” over temptation in the previous lines, into a real, physical conflict, furthering the message of the battle over temptation.</w:t>
      </w:r>
    </w:p>
    <w:p w14:paraId="535F396F" w14:textId="61FDBA90" w:rsidR="00E04C15" w:rsidRDefault="00BA087B" w:rsidP="005E3045">
      <w:pPr>
        <w:spacing w:before="240" w:line="480" w:lineRule="auto"/>
      </w:pPr>
      <w:r>
        <w:t>The poem then goes on to compare Deidamia’s own faithfulness (78-9), to Achilles</w:t>
      </w:r>
      <w:r w:rsidR="00D770CC">
        <w:t xml:space="preserve"> being “joined to me first, not to me only, Achilles/ </w:t>
      </w:r>
      <w:r w:rsidR="00D770CC" w:rsidRPr="00D770CC">
        <w:rPr>
          <w:i/>
          <w:iCs/>
        </w:rPr>
        <w:t xml:space="preserve">Cum </w:t>
      </w:r>
      <w:proofErr w:type="spellStart"/>
      <w:r w:rsidR="00D770CC" w:rsidRPr="00D770CC">
        <w:rPr>
          <w:i/>
          <w:iCs/>
        </w:rPr>
        <w:t>michi</w:t>
      </w:r>
      <w:proofErr w:type="spellEnd"/>
      <w:r w:rsidR="00D770CC" w:rsidRPr="00D770CC">
        <w:rPr>
          <w:i/>
          <w:iCs/>
        </w:rPr>
        <w:t xml:space="preserve"> sis </w:t>
      </w:r>
      <w:proofErr w:type="spellStart"/>
      <w:r w:rsidR="00D770CC" w:rsidRPr="00D770CC">
        <w:rPr>
          <w:i/>
          <w:iCs/>
        </w:rPr>
        <w:t>primae</w:t>
      </w:r>
      <w:proofErr w:type="spellEnd"/>
      <w:r w:rsidR="00D770CC" w:rsidRPr="00D770CC">
        <w:rPr>
          <w:i/>
          <w:iCs/>
        </w:rPr>
        <w:t xml:space="preserve">, non soli, </w:t>
      </w:r>
      <w:proofErr w:type="spellStart"/>
      <w:r w:rsidR="00D770CC" w:rsidRPr="00D770CC">
        <w:rPr>
          <w:i/>
          <w:iCs/>
        </w:rPr>
        <w:t>iunctus</w:t>
      </w:r>
      <w:proofErr w:type="spellEnd"/>
      <w:r w:rsidR="00D770CC" w:rsidRPr="00D770CC">
        <w:rPr>
          <w:i/>
          <w:iCs/>
        </w:rPr>
        <w:t>, Achille</w:t>
      </w:r>
      <w:r w:rsidR="00D770CC">
        <w:t>” (77), f</w:t>
      </w:r>
      <w:r w:rsidR="00646DA3">
        <w:t xml:space="preserve">ollowed by her stating that she held onto her promises, whereas “your deeds are worth less than your words/ </w:t>
      </w:r>
      <w:r w:rsidR="00646DA3" w:rsidRPr="00646DA3">
        <w:rPr>
          <w:i/>
          <w:iCs/>
        </w:rPr>
        <w:t xml:space="preserve">At </w:t>
      </w:r>
      <w:proofErr w:type="spellStart"/>
      <w:r w:rsidR="00646DA3" w:rsidRPr="00646DA3">
        <w:rPr>
          <w:i/>
          <w:iCs/>
        </w:rPr>
        <w:t>tua</w:t>
      </w:r>
      <w:proofErr w:type="spellEnd"/>
      <w:r w:rsidR="00646DA3" w:rsidRPr="00646DA3">
        <w:rPr>
          <w:i/>
          <w:iCs/>
        </w:rPr>
        <w:t xml:space="preserve"> sunt </w:t>
      </w:r>
      <w:proofErr w:type="spellStart"/>
      <w:r w:rsidR="00646DA3" w:rsidRPr="00646DA3">
        <w:rPr>
          <w:i/>
          <w:iCs/>
        </w:rPr>
        <w:t>verbis</w:t>
      </w:r>
      <w:proofErr w:type="spellEnd"/>
      <w:r w:rsidR="00646DA3" w:rsidRPr="00646DA3">
        <w:rPr>
          <w:i/>
          <w:iCs/>
        </w:rPr>
        <w:t xml:space="preserve"> </w:t>
      </w:r>
      <w:proofErr w:type="spellStart"/>
      <w:r w:rsidR="00646DA3" w:rsidRPr="00646DA3">
        <w:rPr>
          <w:i/>
          <w:iCs/>
        </w:rPr>
        <w:t>facta</w:t>
      </w:r>
      <w:proofErr w:type="spellEnd"/>
      <w:r w:rsidR="00646DA3">
        <w:t>” (80). This is followed by a description of Briseis as a “captive mistress” (</w:t>
      </w:r>
      <w:proofErr w:type="spellStart"/>
      <w:r w:rsidR="00646DA3" w:rsidRPr="00646DA3">
        <w:rPr>
          <w:i/>
          <w:iCs/>
        </w:rPr>
        <w:t>captus</w:t>
      </w:r>
      <w:proofErr w:type="spellEnd"/>
      <w:r w:rsidR="00646DA3" w:rsidRPr="00646DA3">
        <w:rPr>
          <w:i/>
          <w:iCs/>
        </w:rPr>
        <w:t xml:space="preserve"> arnica</w:t>
      </w:r>
      <w:r w:rsidR="00646DA3">
        <w:t xml:space="preserve">) (81). Together, these lines demonstrate that Deidamia made a vow of faithfulness towards Achilles out of genuine love through her own choice. In contrast, Briseis’ status as “captive” implies a degree of coercion, lowering the </w:t>
      </w:r>
      <w:r w:rsidR="00791876">
        <w:t>significance of Achilles’ and Briseis’ relationship in relation to Achilles’ and Deidamia’s. Therefore, Achilles is presented as having given up a genuine relationship formed through mutual consent, for an easily obtained, one-sided relationship of coercion.</w:t>
      </w:r>
    </w:p>
    <w:p w14:paraId="5DEB065E" w14:textId="2874DEEB" w:rsidR="00791876" w:rsidRDefault="00833872" w:rsidP="005E3045">
      <w:pPr>
        <w:spacing w:before="240" w:line="480" w:lineRule="auto"/>
      </w:pPr>
      <w:r>
        <w:lastRenderedPageBreak/>
        <w:t xml:space="preserve">The next line is of </w:t>
      </w:r>
      <w:proofErr w:type="gramStart"/>
      <w:r>
        <w:t>particular importance</w:t>
      </w:r>
      <w:proofErr w:type="gramEnd"/>
      <w:r>
        <w:t xml:space="preserve">: “and Deidamia lies in a widowed bed/ </w:t>
      </w:r>
      <w:r w:rsidRPr="00833872">
        <w:rPr>
          <w:i/>
          <w:iCs/>
        </w:rPr>
        <w:t xml:space="preserve">Et </w:t>
      </w:r>
      <w:proofErr w:type="spellStart"/>
      <w:r w:rsidRPr="00833872">
        <w:rPr>
          <w:i/>
          <w:iCs/>
        </w:rPr>
        <w:t>iacet</w:t>
      </w:r>
      <w:proofErr w:type="spellEnd"/>
      <w:r w:rsidRPr="00833872">
        <w:rPr>
          <w:i/>
          <w:iCs/>
        </w:rPr>
        <w:t xml:space="preserve"> in </w:t>
      </w:r>
      <w:proofErr w:type="spellStart"/>
      <w:r w:rsidRPr="00833872">
        <w:rPr>
          <w:i/>
          <w:iCs/>
        </w:rPr>
        <w:t>viduo</w:t>
      </w:r>
      <w:proofErr w:type="spellEnd"/>
      <w:r w:rsidRPr="00833872">
        <w:rPr>
          <w:i/>
          <w:iCs/>
        </w:rPr>
        <w:t xml:space="preserve"> Deidamia </w:t>
      </w:r>
      <w:proofErr w:type="spellStart"/>
      <w:r w:rsidRPr="00833872">
        <w:rPr>
          <w:i/>
          <w:iCs/>
        </w:rPr>
        <w:t>thoro</w:t>
      </w:r>
      <w:proofErr w:type="spellEnd"/>
      <w:r>
        <w:t xml:space="preserve">” (82). This line is a reference to Ovid’s </w:t>
      </w:r>
      <w:proofErr w:type="spellStart"/>
      <w:r>
        <w:rPr>
          <w:i/>
          <w:iCs/>
        </w:rPr>
        <w:t>Heroides</w:t>
      </w:r>
      <w:proofErr w:type="spellEnd"/>
      <w:r>
        <w:rPr>
          <w:i/>
          <w:iCs/>
        </w:rPr>
        <w:t xml:space="preserve"> </w:t>
      </w:r>
      <w:r>
        <w:t>1.81, with Penelope also lying in a “widowed bed” (</w:t>
      </w:r>
      <w:proofErr w:type="spellStart"/>
      <w:r>
        <w:t>viduo</w:t>
      </w:r>
      <w:proofErr w:type="spellEnd"/>
      <w:r>
        <w:t xml:space="preserve"> </w:t>
      </w:r>
      <w:proofErr w:type="spellStart"/>
      <w:r>
        <w:t>lecto</w:t>
      </w:r>
      <w:proofErr w:type="spellEnd"/>
      <w:r>
        <w:t>), with them sharing the same fate of abandonment.</w:t>
      </w:r>
      <w:r>
        <w:rPr>
          <w:rStyle w:val="FootnoteReference"/>
        </w:rPr>
        <w:footnoteReference w:id="8"/>
      </w:r>
      <w:r>
        <w:t xml:space="preserve"> However, these two scenarios differ in that, while Penelope will eventually be reunited with Ulysses, Deidamia will not. Therefore, th</w:t>
      </w:r>
      <w:r w:rsidR="009053A5">
        <w:t>is line acts as a form of tragic irony, with the bed destined to remain widowed.</w:t>
      </w:r>
      <w:r w:rsidR="009053A5">
        <w:rPr>
          <w:rStyle w:val="FootnoteReference"/>
        </w:rPr>
        <w:footnoteReference w:id="9"/>
      </w:r>
      <w:r w:rsidR="009053A5">
        <w:t xml:space="preserve"> This is also particularly ironic when paired with the last line of the poem: “so may the spear of Mount Pelion pierce the side of Hector/ </w:t>
      </w:r>
      <w:r w:rsidR="009053A5" w:rsidRPr="009053A5">
        <w:rPr>
          <w:i/>
          <w:iCs/>
        </w:rPr>
        <w:t xml:space="preserve">Sic </w:t>
      </w:r>
      <w:proofErr w:type="spellStart"/>
      <w:r w:rsidR="009053A5" w:rsidRPr="009053A5">
        <w:rPr>
          <w:i/>
          <w:iCs/>
        </w:rPr>
        <w:t>foret</w:t>
      </w:r>
      <w:proofErr w:type="spellEnd"/>
      <w:r w:rsidR="009053A5" w:rsidRPr="009053A5">
        <w:rPr>
          <w:i/>
          <w:iCs/>
        </w:rPr>
        <w:t xml:space="preserve"> </w:t>
      </w:r>
      <w:proofErr w:type="spellStart"/>
      <w:r w:rsidR="009053A5" w:rsidRPr="009053A5">
        <w:rPr>
          <w:i/>
          <w:iCs/>
        </w:rPr>
        <w:t>Hectoreum</w:t>
      </w:r>
      <w:proofErr w:type="spellEnd"/>
      <w:r w:rsidR="009053A5" w:rsidRPr="009053A5">
        <w:rPr>
          <w:i/>
          <w:iCs/>
        </w:rPr>
        <w:t xml:space="preserve"> Pelias</w:t>
      </w:r>
      <w:r w:rsidR="009053A5">
        <w:t>”, with the latter playing a key role in the eventual death of Achilles. Therefore, what Deidamia wishes for is also makes her fear come to pass.</w:t>
      </w:r>
    </w:p>
    <w:p w14:paraId="2698B0C5" w14:textId="5F6BFE42" w:rsidR="005B3C47" w:rsidRDefault="005B3C47" w:rsidP="005E3045">
      <w:pPr>
        <w:spacing w:before="240" w:line="480" w:lineRule="auto"/>
      </w:pPr>
      <w:r>
        <w:t>The next section</w:t>
      </w:r>
      <w:r w:rsidR="009C1D9C">
        <w:t xml:space="preserve"> (83-86)</w:t>
      </w:r>
      <w:r>
        <w:t xml:space="preserve"> is perhaps the biggest piece of evidence for the moral message of resisting temptation mentioned previously. </w:t>
      </w:r>
      <w:r w:rsidR="009C1D9C">
        <w:t xml:space="preserve">This section introduces God into the poem. It is interesting that God is presented in the singular form in this section, which implies that it is meant to serve as a message to the presumably monotheistic reader, as opposed to the polytheistic Achilles. The message that “mortal matters are of concern to God” (83), and that he “sees wicked deeds” (84), could be a message to the reader that God is watching their actions and, if they should lose their battle with temptation, as Achilles did, God will judge them for it. This acts as a warning for the consequences for being unfaithful </w:t>
      </w:r>
      <w:r w:rsidR="005C6816">
        <w:t xml:space="preserve">and breaking promises. </w:t>
      </w:r>
    </w:p>
    <w:p w14:paraId="4D060850" w14:textId="1CA13C62" w:rsidR="00A23788" w:rsidRDefault="00364C50" w:rsidP="005E3045">
      <w:pPr>
        <w:spacing w:before="240" w:line="480" w:lineRule="auto"/>
      </w:pPr>
      <w:r>
        <w:t>This section is then followed by another use of the wind motif, stating that Achilles is lighter than a falling leaf, the wind and the swelling sea</w:t>
      </w:r>
      <w:r w:rsidR="00973B92">
        <w:t xml:space="preserve"> (89-90). This acts as another way of saying that Achilles’ actions are less than his words, recalling line 80.</w:t>
      </w:r>
      <w:r w:rsidR="009D2993">
        <w:t xml:space="preserve"> </w:t>
      </w:r>
      <w:r w:rsidR="00E41130">
        <w:t>In the final lines of the section in question (91-94), Deidamia wonders where the love that Achilles reported to feel for Deidamia disappeared to, which he was supposedly unwilling to liken to goddesses. This is</w:t>
      </w:r>
      <w:r w:rsidR="0008415C">
        <w:t xml:space="preserve"> </w:t>
      </w:r>
      <w:r w:rsidR="0008415C">
        <w:lastRenderedPageBreak/>
        <w:t xml:space="preserve">followed by Deidamia stating that Briseis is not a goddess, imploring him to free himself of the “shameful yoke” (93-94). </w:t>
      </w:r>
      <w:r w:rsidR="00115CC9">
        <w:t xml:space="preserve">This reference to goddesses could be a reference to Ulysses’ affair with Circe, daughter of Helios, another comparison between Deidamia and Penelope. Whereas Penelope’s husband was unfaithful with a half-goddess, Deidamia’s was unfaithful with a mere spoil of war. </w:t>
      </w:r>
      <w:r w:rsidR="00BC5172">
        <w:t>This, therefore, means that Ulysses’ affair was with a woman of higher birth-status than his wife, but Achilles’ was with a lower status woman, making his more shameful.</w:t>
      </w:r>
    </w:p>
    <w:p w14:paraId="5EA4C552" w14:textId="5CDBBFA4" w:rsidR="00BC5172" w:rsidRDefault="00C6231C" w:rsidP="005E3045">
      <w:pPr>
        <w:spacing w:before="240" w:line="480" w:lineRule="auto"/>
      </w:pPr>
      <w:r>
        <w:t xml:space="preserve">Overall, this poem is an example of an Ovidian response to Statius’ </w:t>
      </w:r>
      <w:proofErr w:type="spellStart"/>
      <w:r>
        <w:rPr>
          <w:i/>
          <w:iCs/>
        </w:rPr>
        <w:t>Achilleid</w:t>
      </w:r>
      <w:proofErr w:type="spellEnd"/>
      <w:r>
        <w:t xml:space="preserve">, placing Deidamia’s perspective into the story. It is also used to promote a contemporary moral message promoting faithfulness and resisting temptation. </w:t>
      </w:r>
    </w:p>
    <w:p w14:paraId="7553DDD4" w14:textId="2D71F365" w:rsidR="0054374A" w:rsidRDefault="0054374A" w:rsidP="005E3045">
      <w:pPr>
        <w:spacing w:before="240" w:line="480" w:lineRule="auto"/>
      </w:pPr>
    </w:p>
    <w:p w14:paraId="5436AE00" w14:textId="61977F4F" w:rsidR="00187117" w:rsidRDefault="0054374A" w:rsidP="005E3045">
      <w:pPr>
        <w:spacing w:before="240" w:line="480" w:lineRule="auto"/>
        <w:rPr>
          <w:b/>
          <w:bCs/>
        </w:rPr>
      </w:pPr>
      <w:r>
        <w:rPr>
          <w:b/>
          <w:bCs/>
        </w:rPr>
        <w:t>Word Count: 1429</w:t>
      </w:r>
    </w:p>
    <w:p w14:paraId="0BFBF2C9" w14:textId="77777777" w:rsidR="00187117" w:rsidRDefault="00187117" w:rsidP="005E3045">
      <w:pPr>
        <w:spacing w:line="480" w:lineRule="auto"/>
        <w:rPr>
          <w:b/>
          <w:bCs/>
        </w:rPr>
      </w:pPr>
      <w:r>
        <w:rPr>
          <w:b/>
          <w:bCs/>
        </w:rPr>
        <w:br w:type="page"/>
      </w:r>
    </w:p>
    <w:sdt>
      <w:sdtPr>
        <w:id w:val="-491413350"/>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63EC640F" w14:textId="77777777" w:rsidR="00187117" w:rsidRDefault="00187117" w:rsidP="005E3045">
          <w:pPr>
            <w:pStyle w:val="Heading1"/>
            <w:spacing w:line="480" w:lineRule="auto"/>
          </w:pPr>
          <w:r>
            <w:t>Bibliography</w:t>
          </w:r>
        </w:p>
        <w:sdt>
          <w:sdtPr>
            <w:id w:val="-1727364847"/>
            <w:bibliography/>
          </w:sdtPr>
          <w:sdtContent>
            <w:p w14:paraId="4E4B2406" w14:textId="09C86208" w:rsidR="00187117" w:rsidRDefault="00187117" w:rsidP="005E3045">
              <w:pPr>
                <w:pStyle w:val="Bibliography"/>
                <w:spacing w:line="480" w:lineRule="auto"/>
                <w:rPr>
                  <w:noProof/>
                  <w:lang w:val="en-US"/>
                </w:rPr>
              </w:pPr>
              <w:r>
                <w:rPr>
                  <w:i/>
                  <w:iCs/>
                </w:rPr>
                <w:t xml:space="preserve">Deidamia </w:t>
              </w:r>
              <w:proofErr w:type="spellStart"/>
              <w:r>
                <w:rPr>
                  <w:i/>
                  <w:iCs/>
                </w:rPr>
                <w:t>Achilli</w:t>
              </w:r>
              <w:proofErr w:type="spellEnd"/>
              <w:r>
                <w:rPr>
                  <w:i/>
                  <w:iCs/>
                </w:rPr>
                <w:t xml:space="preserve">. </w:t>
              </w:r>
              <w:r>
                <w:t xml:space="preserve">R. Parkes (trans.). 2011. In: </w:t>
              </w:r>
              <w:r>
                <w:rPr>
                  <w:noProof/>
                  <w:lang w:val="en-US"/>
                </w:rPr>
                <w:t xml:space="preserve">Parkes, R., 2011. The "Deidamia Achilli": An Eleventh Century Statian-Ovidian Epistle. </w:t>
              </w:r>
              <w:r>
                <w:rPr>
                  <w:i/>
                  <w:iCs/>
                  <w:noProof/>
                  <w:lang w:val="en-US"/>
                </w:rPr>
                <w:t xml:space="preserve">International Journal of the Classical Tradition, </w:t>
              </w:r>
              <w:r>
                <w:rPr>
                  <w:noProof/>
                  <w:lang w:val="en-US"/>
                </w:rPr>
                <w:t xml:space="preserve">18(1), pp. </w:t>
              </w:r>
              <w:r>
                <w:rPr>
                  <w:noProof/>
                  <w:lang w:val="en-US"/>
                </w:rPr>
                <w:t>28-33.</w:t>
              </w:r>
            </w:p>
            <w:p w14:paraId="7EC77527" w14:textId="2D731288" w:rsidR="00187117" w:rsidRDefault="00187117" w:rsidP="005E3045">
              <w:pPr>
                <w:pStyle w:val="Bibliography"/>
                <w:spacing w:line="480" w:lineRule="auto"/>
              </w:pPr>
              <w:r>
                <w:t xml:space="preserve">Ovid. </w:t>
              </w:r>
              <w:proofErr w:type="spellStart"/>
              <w:r>
                <w:rPr>
                  <w:i/>
                  <w:iCs/>
                </w:rPr>
                <w:t>Heroides</w:t>
              </w:r>
              <w:proofErr w:type="spellEnd"/>
              <w:r>
                <w:rPr>
                  <w:i/>
                  <w:iCs/>
                </w:rPr>
                <w:t xml:space="preserve">, </w:t>
              </w:r>
              <w:proofErr w:type="spellStart"/>
              <w:r>
                <w:rPr>
                  <w:i/>
                  <w:iCs/>
                </w:rPr>
                <w:t>Amores</w:t>
              </w:r>
              <w:proofErr w:type="spellEnd"/>
              <w:r>
                <w:rPr>
                  <w:i/>
                  <w:iCs/>
                </w:rPr>
                <w:t xml:space="preserve">. </w:t>
              </w:r>
              <w:r>
                <w:t>G. Showerman (trans.). 1977. Cambridge, MA; London: Harvard University Press.</w:t>
              </w:r>
            </w:p>
            <w:p w14:paraId="586C8F1A" w14:textId="1047D967" w:rsidR="00187117" w:rsidRPr="00187117" w:rsidRDefault="006C0E9F" w:rsidP="005E3045">
              <w:pPr>
                <w:pStyle w:val="Bibliography"/>
                <w:spacing w:line="480" w:lineRule="auto"/>
              </w:pPr>
              <w:r>
                <w:t xml:space="preserve">Statius. </w:t>
              </w:r>
              <w:proofErr w:type="spellStart"/>
              <w:r w:rsidRPr="006C0E9F">
                <w:rPr>
                  <w:i/>
                  <w:iCs/>
                </w:rPr>
                <w:t>Achilleid</w:t>
              </w:r>
              <w:proofErr w:type="spellEnd"/>
              <w:r>
                <w:rPr>
                  <w:i/>
                  <w:iCs/>
                </w:rPr>
                <w:t xml:space="preserve">. </w:t>
              </w:r>
              <w:r>
                <w:t>D. R. Shackleton Bailey</w:t>
              </w:r>
              <w:r w:rsidR="008C7019">
                <w:t xml:space="preserve"> (trans.). 2004. </w:t>
              </w:r>
              <w:r w:rsidR="008C7019">
                <w:t>Cambridge, MA; London: Harvard University Press.</w:t>
              </w:r>
            </w:p>
          </w:sdtContent>
        </w:sdt>
      </w:sdtContent>
    </w:sdt>
    <w:sdt>
      <w:sdtPr>
        <w:id w:val="127126910"/>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04361963" w14:textId="05AB8412" w:rsidR="00187117" w:rsidRDefault="00187117" w:rsidP="005E3045">
          <w:pPr>
            <w:pStyle w:val="Heading1"/>
            <w:spacing w:line="480" w:lineRule="auto"/>
          </w:pPr>
          <w:r>
            <w:t>Modern Scholarship</w:t>
          </w:r>
        </w:p>
        <w:sdt>
          <w:sdtPr>
            <w:id w:val="111145805"/>
            <w:bibliography/>
          </w:sdtPr>
          <w:sdtContent>
            <w:p w14:paraId="2697D235" w14:textId="77777777" w:rsidR="00187117" w:rsidRDefault="00187117" w:rsidP="005E3045">
              <w:pPr>
                <w:pStyle w:val="Bibliography"/>
                <w:spacing w:line="480" w:lineRule="auto"/>
                <w:rPr>
                  <w:noProof/>
                  <w:szCs w:val="24"/>
                  <w:lang w:val="en-US"/>
                </w:rPr>
              </w:pPr>
              <w:r>
                <w:fldChar w:fldCharType="begin"/>
              </w:r>
              <w:r>
                <w:instrText xml:space="preserve"> BIBLIOGRAPHY </w:instrText>
              </w:r>
              <w:r>
                <w:fldChar w:fldCharType="separate"/>
              </w:r>
              <w:r>
                <w:rPr>
                  <w:noProof/>
                  <w:lang w:val="en-US"/>
                </w:rPr>
                <w:t xml:space="preserve">Hagedorn, S., 2004. </w:t>
              </w:r>
              <w:r>
                <w:rPr>
                  <w:i/>
                  <w:iCs/>
                  <w:noProof/>
                  <w:lang w:val="en-US"/>
                </w:rPr>
                <w:t xml:space="preserve">Abandoned Women: Rewriting the Classics in Dante, Boccaccio, &amp; Chaucer. </w:t>
              </w:r>
              <w:r>
                <w:rPr>
                  <w:noProof/>
                  <w:lang w:val="en-US"/>
                </w:rPr>
                <w:t>Ann Arbour: University of Michigan Press.</w:t>
              </w:r>
            </w:p>
            <w:p w14:paraId="296807E8" w14:textId="77777777" w:rsidR="00187117" w:rsidRDefault="00187117" w:rsidP="005E3045">
              <w:pPr>
                <w:pStyle w:val="Bibliography"/>
                <w:spacing w:line="480" w:lineRule="auto"/>
                <w:rPr>
                  <w:noProof/>
                  <w:lang w:val="en-US"/>
                </w:rPr>
              </w:pPr>
              <w:r>
                <w:rPr>
                  <w:noProof/>
                  <w:lang w:val="en-US"/>
                </w:rPr>
                <w:t xml:space="preserve">Parkes, R., 2011. The "Deidamia Achilli": An Eleventh Century Statian-Ovidian Epistle. </w:t>
              </w:r>
              <w:r>
                <w:rPr>
                  <w:i/>
                  <w:iCs/>
                  <w:noProof/>
                  <w:lang w:val="en-US"/>
                </w:rPr>
                <w:t xml:space="preserve">International Journal of the Classical Tradition, </w:t>
              </w:r>
              <w:r>
                <w:rPr>
                  <w:noProof/>
                  <w:lang w:val="en-US"/>
                </w:rPr>
                <w:t>18(1), pp. 19-35.</w:t>
              </w:r>
            </w:p>
            <w:p w14:paraId="2A7894ED" w14:textId="34014162" w:rsidR="00187117" w:rsidRDefault="00187117" w:rsidP="005E3045">
              <w:pPr>
                <w:spacing w:line="480" w:lineRule="auto"/>
              </w:pPr>
              <w:r>
                <w:rPr>
                  <w:b/>
                  <w:bCs/>
                  <w:noProof/>
                </w:rPr>
                <w:fldChar w:fldCharType="end"/>
              </w:r>
            </w:p>
          </w:sdtContent>
        </w:sdt>
      </w:sdtContent>
    </w:sdt>
    <w:p w14:paraId="318CDE3A" w14:textId="77777777" w:rsidR="00187117" w:rsidRPr="00187117" w:rsidRDefault="00187117" w:rsidP="005E3045">
      <w:pPr>
        <w:spacing w:before="240" w:line="480" w:lineRule="auto"/>
        <w:rPr>
          <w:b/>
          <w:bCs/>
        </w:rPr>
      </w:pPr>
    </w:p>
    <w:sectPr w:rsidR="00187117" w:rsidRPr="0018711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567AB" w14:textId="77777777" w:rsidR="003C4F75" w:rsidRDefault="003C4F75" w:rsidP="00F6777D">
      <w:pPr>
        <w:spacing w:after="0" w:line="240" w:lineRule="auto"/>
      </w:pPr>
      <w:r>
        <w:separator/>
      </w:r>
    </w:p>
  </w:endnote>
  <w:endnote w:type="continuationSeparator" w:id="0">
    <w:p w14:paraId="721B2AED" w14:textId="77777777" w:rsidR="003C4F75" w:rsidRDefault="003C4F75" w:rsidP="00F6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2E97E" w14:textId="77777777" w:rsidR="003C4F75" w:rsidRDefault="003C4F75" w:rsidP="00F6777D">
      <w:pPr>
        <w:spacing w:after="0" w:line="240" w:lineRule="auto"/>
      </w:pPr>
      <w:r>
        <w:separator/>
      </w:r>
    </w:p>
  </w:footnote>
  <w:footnote w:type="continuationSeparator" w:id="0">
    <w:p w14:paraId="6B029D7E" w14:textId="77777777" w:rsidR="003C4F75" w:rsidRDefault="003C4F75" w:rsidP="00F6777D">
      <w:pPr>
        <w:spacing w:after="0" w:line="240" w:lineRule="auto"/>
      </w:pPr>
      <w:r>
        <w:continuationSeparator/>
      </w:r>
    </w:p>
  </w:footnote>
  <w:footnote w:id="1">
    <w:p w14:paraId="0174A089" w14:textId="65376C05" w:rsidR="00F6777D" w:rsidRDefault="00F6777D">
      <w:pPr>
        <w:pStyle w:val="FootnoteText"/>
      </w:pPr>
      <w:r>
        <w:rPr>
          <w:rStyle w:val="FootnoteReference"/>
        </w:rPr>
        <w:footnoteRef/>
      </w:r>
      <w:r>
        <w:t xml:space="preserve"> Hagedorn 2004: 38.</w:t>
      </w:r>
    </w:p>
  </w:footnote>
  <w:footnote w:id="2">
    <w:p w14:paraId="45F904BB" w14:textId="2E98EADA" w:rsidR="002050AD" w:rsidRDefault="002050AD">
      <w:pPr>
        <w:pStyle w:val="FootnoteText"/>
      </w:pPr>
      <w:r>
        <w:rPr>
          <w:rStyle w:val="FootnoteReference"/>
        </w:rPr>
        <w:footnoteRef/>
      </w:r>
      <w:r>
        <w:t xml:space="preserve"> Parkes 2011: 23.</w:t>
      </w:r>
    </w:p>
  </w:footnote>
  <w:footnote w:id="3">
    <w:p w14:paraId="5D09CCED" w14:textId="34A493CC" w:rsidR="003A0F1A" w:rsidRDefault="003A0F1A">
      <w:pPr>
        <w:pStyle w:val="FootnoteText"/>
      </w:pPr>
      <w:r>
        <w:rPr>
          <w:rStyle w:val="FootnoteReference"/>
        </w:rPr>
        <w:footnoteRef/>
      </w:r>
      <w:r>
        <w:t xml:space="preserve"> Hagedorn 2004: 42.</w:t>
      </w:r>
    </w:p>
  </w:footnote>
  <w:footnote w:id="4">
    <w:p w14:paraId="30B602A2" w14:textId="609BA4B4" w:rsidR="001313FE" w:rsidRDefault="001313FE">
      <w:pPr>
        <w:pStyle w:val="FootnoteText"/>
      </w:pPr>
      <w:r>
        <w:rPr>
          <w:rStyle w:val="FootnoteReference"/>
        </w:rPr>
        <w:footnoteRef/>
      </w:r>
      <w:r>
        <w:t xml:space="preserve"> Parkes 2011: 26.</w:t>
      </w:r>
    </w:p>
  </w:footnote>
  <w:footnote w:id="5">
    <w:p w14:paraId="6D6805E0" w14:textId="59BA1913" w:rsidR="002B1761" w:rsidRDefault="002B1761">
      <w:pPr>
        <w:pStyle w:val="FootnoteText"/>
      </w:pPr>
      <w:r>
        <w:rPr>
          <w:rStyle w:val="FootnoteReference"/>
        </w:rPr>
        <w:footnoteRef/>
      </w:r>
      <w:r>
        <w:t xml:space="preserve"> Hagedorn 2004: 40, 44.</w:t>
      </w:r>
    </w:p>
  </w:footnote>
  <w:footnote w:id="6">
    <w:p w14:paraId="2EAF3DA3" w14:textId="3BF9FE67" w:rsidR="002F7495" w:rsidRDefault="002F7495">
      <w:pPr>
        <w:pStyle w:val="FootnoteText"/>
      </w:pPr>
      <w:r>
        <w:rPr>
          <w:rStyle w:val="FootnoteReference"/>
        </w:rPr>
        <w:footnoteRef/>
      </w:r>
      <w:r>
        <w:t xml:space="preserve"> Hagedorn 2004: 44.</w:t>
      </w:r>
    </w:p>
  </w:footnote>
  <w:footnote w:id="7">
    <w:p w14:paraId="2EDE6400" w14:textId="511B1366" w:rsidR="002F7495" w:rsidRDefault="002F7495">
      <w:pPr>
        <w:pStyle w:val="FootnoteText"/>
      </w:pPr>
      <w:r>
        <w:rPr>
          <w:rStyle w:val="FootnoteReference"/>
        </w:rPr>
        <w:footnoteRef/>
      </w:r>
      <w:r>
        <w:t xml:space="preserve"> Parkes 2011: 26-7. Quotation on 26.</w:t>
      </w:r>
    </w:p>
  </w:footnote>
  <w:footnote w:id="8">
    <w:p w14:paraId="7BD91880" w14:textId="6FFA12BF" w:rsidR="00833872" w:rsidRDefault="00833872">
      <w:pPr>
        <w:pStyle w:val="FootnoteText"/>
      </w:pPr>
      <w:r>
        <w:rPr>
          <w:rStyle w:val="FootnoteReference"/>
        </w:rPr>
        <w:footnoteRef/>
      </w:r>
      <w:r>
        <w:t xml:space="preserve"> Hagedorn 2004: 44.</w:t>
      </w:r>
    </w:p>
  </w:footnote>
  <w:footnote w:id="9">
    <w:p w14:paraId="0F94A92B" w14:textId="734E56D9" w:rsidR="009053A5" w:rsidRDefault="009053A5">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E5BCC" w14:textId="3AD79A46" w:rsidR="00F6777D" w:rsidRDefault="00F6777D">
    <w:pPr>
      <w:pStyle w:val="Header"/>
    </w:pPr>
    <w:r>
      <w:t>James Forder</w:t>
    </w:r>
    <w:r>
      <w:tab/>
      <w:t>1701007</w:t>
    </w:r>
    <w:r>
      <w:tab/>
      <w:t>HPAH6058: Assignment 2</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77D"/>
    <w:rsid w:val="00041549"/>
    <w:rsid w:val="0006248A"/>
    <w:rsid w:val="0008415C"/>
    <w:rsid w:val="00115CC9"/>
    <w:rsid w:val="001313FE"/>
    <w:rsid w:val="00187117"/>
    <w:rsid w:val="002050AD"/>
    <w:rsid w:val="00286039"/>
    <w:rsid w:val="002B1761"/>
    <w:rsid w:val="002F7495"/>
    <w:rsid w:val="00364C50"/>
    <w:rsid w:val="003A0F1A"/>
    <w:rsid w:val="003C4F75"/>
    <w:rsid w:val="003C7F77"/>
    <w:rsid w:val="004B7F52"/>
    <w:rsid w:val="0053372C"/>
    <w:rsid w:val="0054374A"/>
    <w:rsid w:val="005B3C47"/>
    <w:rsid w:val="005C6816"/>
    <w:rsid w:val="005D6B4B"/>
    <w:rsid w:val="005E3045"/>
    <w:rsid w:val="00613143"/>
    <w:rsid w:val="00646DA3"/>
    <w:rsid w:val="006C0E9F"/>
    <w:rsid w:val="006D1BD9"/>
    <w:rsid w:val="00791876"/>
    <w:rsid w:val="00833872"/>
    <w:rsid w:val="00860198"/>
    <w:rsid w:val="008704D0"/>
    <w:rsid w:val="00882FE9"/>
    <w:rsid w:val="008C7019"/>
    <w:rsid w:val="009053A5"/>
    <w:rsid w:val="00973B92"/>
    <w:rsid w:val="009C1D9C"/>
    <w:rsid w:val="009D2993"/>
    <w:rsid w:val="00A23788"/>
    <w:rsid w:val="00AD5F3D"/>
    <w:rsid w:val="00BA087B"/>
    <w:rsid w:val="00BC5172"/>
    <w:rsid w:val="00C35D03"/>
    <w:rsid w:val="00C57FA2"/>
    <w:rsid w:val="00C6231C"/>
    <w:rsid w:val="00C63A31"/>
    <w:rsid w:val="00C724B3"/>
    <w:rsid w:val="00D770CC"/>
    <w:rsid w:val="00DE5461"/>
    <w:rsid w:val="00E04C15"/>
    <w:rsid w:val="00E41130"/>
    <w:rsid w:val="00F6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DEF77"/>
  <w15:chartTrackingRefBased/>
  <w15:docId w15:val="{9AE7BA8F-CBD8-445B-BF1B-A419A0E0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1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77D"/>
  </w:style>
  <w:style w:type="paragraph" w:styleId="Footer">
    <w:name w:val="footer"/>
    <w:basedOn w:val="Normal"/>
    <w:link w:val="FooterChar"/>
    <w:uiPriority w:val="99"/>
    <w:unhideWhenUsed/>
    <w:rsid w:val="00F67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77D"/>
  </w:style>
  <w:style w:type="paragraph" w:styleId="FootnoteText">
    <w:name w:val="footnote text"/>
    <w:basedOn w:val="Normal"/>
    <w:link w:val="FootnoteTextChar"/>
    <w:uiPriority w:val="99"/>
    <w:semiHidden/>
    <w:unhideWhenUsed/>
    <w:rsid w:val="00F67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77D"/>
    <w:rPr>
      <w:sz w:val="20"/>
      <w:szCs w:val="20"/>
    </w:rPr>
  </w:style>
  <w:style w:type="character" w:styleId="FootnoteReference">
    <w:name w:val="footnote reference"/>
    <w:basedOn w:val="DefaultParagraphFont"/>
    <w:uiPriority w:val="99"/>
    <w:semiHidden/>
    <w:unhideWhenUsed/>
    <w:rsid w:val="00F6777D"/>
    <w:rPr>
      <w:vertAlign w:val="superscript"/>
    </w:rPr>
  </w:style>
  <w:style w:type="character" w:customStyle="1" w:styleId="Heading1Char">
    <w:name w:val="Heading 1 Char"/>
    <w:basedOn w:val="DefaultParagraphFont"/>
    <w:link w:val="Heading1"/>
    <w:uiPriority w:val="9"/>
    <w:rsid w:val="001871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87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15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Rut11</b:Tag>
    <b:SourceType>JournalArticle</b:SourceType>
    <b:Guid>{B26B8B30-FB81-466F-B1DE-A105F0150E85}</b:Guid>
    <b:Author>
      <b:Author>
        <b:NameList>
          <b:Person>
            <b:Last>Parkes</b:Last>
            <b:First>Ruth</b:First>
          </b:Person>
        </b:NameList>
      </b:Author>
    </b:Author>
    <b:Title>The "Deidamia Achilli": An Eleventh Century Statian-Ovidian Epistle</b:Title>
    <b:JournalName>International Journal of the Classical Tradition</b:JournalName>
    <b:Year>2011</b:Year>
    <b:Pages>19-35</b:Pages>
    <b:Volume>18</b:Volume>
    <b:Issue>1</b:Issue>
    <b:RefOrder>1</b:RefOrder>
  </b:Source>
  <b:Source>
    <b:Tag>SHa04</b:Tag>
    <b:SourceType>Book</b:SourceType>
    <b:Guid>{E4221CA4-EDB1-4EE3-A39B-BC35C7844951}</b:Guid>
    <b:Title>Abandoned Women: Rewriting the Classics in Dante, Boccaccio, &amp; Chaucer</b:Title>
    <b:Year>2004</b:Year>
    <b:City>Ann Arbour</b:City>
    <b:Publisher>University of Michigan Press</b:Publisher>
    <b:Author>
      <b:Author>
        <b:NameList>
          <b:Person>
            <b:Last>Hagedorn</b:Last>
            <b:First>S.</b:First>
          </b:Person>
        </b:NameList>
      </b:Author>
    </b:Author>
    <b:RefOrder>2</b:RefOrder>
  </b:Source>
</b:Sources>
</file>

<file path=customXml/itemProps1.xml><?xml version="1.0" encoding="utf-8"?>
<ds:datastoreItem xmlns:ds="http://schemas.openxmlformats.org/officeDocument/2006/customXml" ds:itemID="{66EBFEFD-493C-4B3C-9940-C099A4517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6</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19</cp:revision>
  <dcterms:created xsi:type="dcterms:W3CDTF">2020-01-20T16:03:00Z</dcterms:created>
  <dcterms:modified xsi:type="dcterms:W3CDTF">2020-01-20T21:27:00Z</dcterms:modified>
</cp:coreProperties>
</file>