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F87CC" w14:textId="650950E2" w:rsidR="002F60F3" w:rsidRPr="00FF1A27" w:rsidRDefault="002F60F3" w:rsidP="008A074A">
      <w:pPr>
        <w:jc w:val="both"/>
        <w:rPr>
          <w:b/>
          <w:u w:val="single"/>
        </w:rPr>
      </w:pPr>
      <w:r>
        <w:rPr>
          <w:b/>
          <w:u w:val="single"/>
        </w:rPr>
        <w:t xml:space="preserve">Law course work </w:t>
      </w:r>
    </w:p>
    <w:p w14:paraId="5BF15017" w14:textId="4F039A04" w:rsidR="00FF1A27" w:rsidRDefault="00FF1A27" w:rsidP="0066074A">
      <w:pPr>
        <w:jc w:val="both"/>
      </w:pPr>
      <w:r>
        <w:t xml:space="preserve">Contract law is developed through case law known as common law in the UK. Through case law, precedent is determined which defines the rules which are used to form a legally binding contract.  </w:t>
      </w:r>
      <w:r w:rsidR="003768D7">
        <w:rPr>
          <w:lang w:val="en-US"/>
        </w:rPr>
        <w:t xml:space="preserve">“A contract is an agreement conferring personal rights and imposing personal obligations, which the law will protect and enforce on the parties to the contract.” </w:t>
      </w:r>
      <w:bookmarkStart w:id="0" w:name="_Hlk534372840"/>
      <w:r w:rsidR="003768D7">
        <w:rPr>
          <w:lang w:val="en-US"/>
        </w:rPr>
        <w:t>(contractual procedures for building studies, Colin Steel MCIOB, 1984, Pg1)</w:t>
      </w:r>
      <w:bookmarkEnd w:id="0"/>
    </w:p>
    <w:p w14:paraId="539A7811" w14:textId="77777777" w:rsidR="00FF1A27" w:rsidRPr="00FF1A27" w:rsidRDefault="00FF1A27" w:rsidP="008A074A">
      <w:pPr>
        <w:jc w:val="both"/>
        <w:rPr>
          <w:b/>
          <w:u w:val="single"/>
        </w:rPr>
      </w:pPr>
      <w:r w:rsidRPr="00FF1A27">
        <w:rPr>
          <w:b/>
          <w:u w:val="single"/>
        </w:rPr>
        <w:t>Case law to determine: consideration</w:t>
      </w:r>
    </w:p>
    <w:p w14:paraId="67FD0BB9" w14:textId="41EC4B94" w:rsidR="00FF1A27" w:rsidRDefault="00FF1A27" w:rsidP="008A074A">
      <w:pPr>
        <w:pStyle w:val="ListParagraph"/>
        <w:numPr>
          <w:ilvl w:val="0"/>
          <w:numId w:val="1"/>
        </w:numPr>
        <w:jc w:val="both"/>
      </w:pPr>
      <w:r>
        <w:t>Currie V Misa [1875]</w:t>
      </w:r>
      <w:r w:rsidR="00BB09B7">
        <w:rPr>
          <w:rStyle w:val="FootnoteReference"/>
        </w:rPr>
        <w:footnoteReference w:id="1"/>
      </w:r>
      <w:r>
        <w:t xml:space="preserve"> </w:t>
      </w:r>
    </w:p>
    <w:p w14:paraId="71B7B975" w14:textId="3154A720" w:rsidR="00FF1A27" w:rsidRDefault="00FF1A27" w:rsidP="008A074A">
      <w:pPr>
        <w:pStyle w:val="ListParagraph"/>
        <w:numPr>
          <w:ilvl w:val="1"/>
          <w:numId w:val="1"/>
        </w:numPr>
        <w:jc w:val="both"/>
      </w:pPr>
      <w:r>
        <w:t xml:space="preserve">The judgement of Lord Lush </w:t>
      </w:r>
      <w:r w:rsidR="0054234E">
        <w:t>provides</w:t>
      </w:r>
      <w:r>
        <w:t xml:space="preserve"> the definition of consideration in English Law. </w:t>
      </w:r>
      <w:r w:rsidR="00DB5459">
        <w:t>“</w:t>
      </w:r>
      <w:r>
        <w:t xml:space="preserve">Consideration must consist </w:t>
      </w:r>
      <w:r w:rsidR="0054234E">
        <w:t>one of the following</w:t>
      </w:r>
      <w:r>
        <w:t>, interest, profit or benefit accruing to the one party, loss or responsibility, given, suffered or undertaken by the other.</w:t>
      </w:r>
      <w:r w:rsidR="00DB5459">
        <w:t>”</w:t>
      </w:r>
    </w:p>
    <w:p w14:paraId="3052A402" w14:textId="77777777" w:rsidR="00FF1A27" w:rsidRDefault="00FF1A27" w:rsidP="008A074A">
      <w:pPr>
        <w:jc w:val="both"/>
        <w:rPr>
          <w:b/>
          <w:u w:val="single"/>
        </w:rPr>
      </w:pPr>
      <w:r w:rsidRPr="00FF1A27">
        <w:rPr>
          <w:b/>
          <w:u w:val="single"/>
        </w:rPr>
        <w:t>What determines consideration?</w:t>
      </w:r>
    </w:p>
    <w:p w14:paraId="6D6AA6C8" w14:textId="77777777" w:rsidR="00FF1A27" w:rsidRDefault="00E36462" w:rsidP="008A074A">
      <w:pPr>
        <w:jc w:val="both"/>
      </w:pPr>
      <w:r>
        <w:t xml:space="preserve">Through English Case law, consideration has developed and general principles are that: </w:t>
      </w:r>
    </w:p>
    <w:p w14:paraId="2F8D407E" w14:textId="77777777" w:rsidR="00E36462" w:rsidRDefault="00E36462" w:rsidP="008A074A">
      <w:pPr>
        <w:pStyle w:val="ListParagraph"/>
        <w:numPr>
          <w:ilvl w:val="0"/>
          <w:numId w:val="2"/>
        </w:numPr>
        <w:jc w:val="both"/>
      </w:pPr>
      <w:r>
        <w:t xml:space="preserve">Consideration does not need to be adequate </w:t>
      </w:r>
    </w:p>
    <w:p w14:paraId="58EFE2BC" w14:textId="77777777" w:rsidR="00E36462" w:rsidRDefault="00E36462" w:rsidP="008A074A">
      <w:pPr>
        <w:pStyle w:val="ListParagraph"/>
        <w:numPr>
          <w:ilvl w:val="0"/>
          <w:numId w:val="2"/>
        </w:numPr>
        <w:jc w:val="both"/>
      </w:pPr>
      <w:r>
        <w:t xml:space="preserve">Consideration must have economic value </w:t>
      </w:r>
    </w:p>
    <w:p w14:paraId="05DA32A6" w14:textId="15ECA830" w:rsidR="00E36462" w:rsidRDefault="00E36462" w:rsidP="008A074A">
      <w:pPr>
        <w:jc w:val="both"/>
      </w:pPr>
      <w:r w:rsidRPr="001709F1">
        <w:rPr>
          <w:highlight w:val="yellow"/>
        </w:rPr>
        <w:t>Thomas Vs Thomas [1842]</w:t>
      </w:r>
      <w:r w:rsidR="00537A8F" w:rsidRPr="001709F1">
        <w:rPr>
          <w:rStyle w:val="FootnoteReference"/>
          <w:highlight w:val="yellow"/>
        </w:rPr>
        <w:footnoteReference w:id="2"/>
      </w:r>
      <w:r w:rsidRPr="001709F1">
        <w:rPr>
          <w:highlight w:val="yellow"/>
        </w:rPr>
        <w:t xml:space="preserve"> </w:t>
      </w:r>
      <w:r w:rsidR="001709F1" w:rsidRPr="001709F1">
        <w:rPr>
          <w:highlight w:val="yellow"/>
        </w:rPr>
        <w:t>is a</w:t>
      </w:r>
      <w:r w:rsidRPr="001709F1">
        <w:rPr>
          <w:highlight w:val="yellow"/>
        </w:rPr>
        <w:t xml:space="preserve"> case where the court affirmed that the consideration does not need to be adequate and entering into bad negotiations </w:t>
      </w:r>
      <w:r w:rsidR="001709F1" w:rsidRPr="001709F1">
        <w:rPr>
          <w:highlight w:val="yellow"/>
        </w:rPr>
        <w:t>a</w:t>
      </w:r>
      <w:r w:rsidRPr="001709F1">
        <w:rPr>
          <w:highlight w:val="yellow"/>
        </w:rPr>
        <w:t xml:space="preserve">s each </w:t>
      </w:r>
      <w:proofErr w:type="gramStart"/>
      <w:r w:rsidRPr="001709F1">
        <w:rPr>
          <w:highlight w:val="yellow"/>
        </w:rPr>
        <w:t>parties</w:t>
      </w:r>
      <w:proofErr w:type="gramEnd"/>
      <w:r w:rsidRPr="001709F1">
        <w:rPr>
          <w:highlight w:val="yellow"/>
        </w:rPr>
        <w:t xml:space="preserve"> chose.</w:t>
      </w:r>
      <w:r>
        <w:t xml:space="preserve"> </w:t>
      </w:r>
    </w:p>
    <w:p w14:paraId="1ED5B072" w14:textId="08F01D4C" w:rsidR="00E36462" w:rsidRDefault="00E36462" w:rsidP="008A074A">
      <w:pPr>
        <w:jc w:val="both"/>
      </w:pPr>
      <w:r>
        <w:t xml:space="preserve">The above case confirmed the need for economic value, Thomas V Thomas the rent of £1 was </w:t>
      </w:r>
      <w:proofErr w:type="gramStart"/>
      <w:r>
        <w:t>sufficient</w:t>
      </w:r>
      <w:proofErr w:type="gramEnd"/>
      <w:r>
        <w:t xml:space="preserve"> value</w:t>
      </w:r>
      <w:r w:rsidR="001709F1">
        <w:t xml:space="preserve">. </w:t>
      </w:r>
    </w:p>
    <w:p w14:paraId="06DECA5A" w14:textId="77777777" w:rsidR="00E36462" w:rsidRPr="00E36462" w:rsidRDefault="00E36462" w:rsidP="008A074A">
      <w:pPr>
        <w:jc w:val="both"/>
        <w:rPr>
          <w:b/>
          <w:u w:val="single"/>
        </w:rPr>
      </w:pPr>
      <w:r w:rsidRPr="00E36462">
        <w:rPr>
          <w:b/>
          <w:u w:val="single"/>
        </w:rPr>
        <w:t>Limiting factors to consideration</w:t>
      </w:r>
    </w:p>
    <w:p w14:paraId="2C05965E" w14:textId="253E2523" w:rsidR="00E36462" w:rsidRDefault="00E36462" w:rsidP="008A074A">
      <w:pPr>
        <w:jc w:val="both"/>
      </w:pPr>
      <w:r>
        <w:t xml:space="preserve">Common law has developed, where </w:t>
      </w:r>
      <w:proofErr w:type="gramStart"/>
      <w:r>
        <w:t>a number of</w:t>
      </w:r>
      <w:proofErr w:type="gramEnd"/>
      <w:r>
        <w:t xml:space="preserve"> scenarios do not amount to valid consideration. I will explore the limits </w:t>
      </w:r>
      <w:r w:rsidR="001709F1">
        <w:t>in some of the</w:t>
      </w:r>
      <w:r>
        <w:t xml:space="preserve"> leading cases for these factors. </w:t>
      </w:r>
    </w:p>
    <w:p w14:paraId="6D666C69" w14:textId="6E81833B" w:rsidR="00E36462" w:rsidRDefault="00E36462" w:rsidP="008A074A">
      <w:pPr>
        <w:pStyle w:val="ListParagraph"/>
        <w:numPr>
          <w:ilvl w:val="0"/>
          <w:numId w:val="3"/>
        </w:numPr>
        <w:jc w:val="both"/>
      </w:pPr>
      <w:r>
        <w:t>Performance of an existing</w:t>
      </w:r>
      <w:r w:rsidR="00843C60">
        <w:t xml:space="preserve"> duty – Collins V </w:t>
      </w:r>
      <w:proofErr w:type="spellStart"/>
      <w:r w:rsidR="00843C60">
        <w:t>Godefroy</w:t>
      </w:r>
      <w:proofErr w:type="spellEnd"/>
      <w:r w:rsidR="00843C60">
        <w:t xml:space="preserve"> [1831]</w:t>
      </w:r>
      <w:r w:rsidR="00537A8F">
        <w:rPr>
          <w:rStyle w:val="FootnoteReference"/>
        </w:rPr>
        <w:footnoteReference w:id="3"/>
      </w:r>
      <w:r w:rsidR="00843C60">
        <w:t xml:space="preserve">  </w:t>
      </w:r>
    </w:p>
    <w:p w14:paraId="0D59F74D" w14:textId="74FB3D42" w:rsidR="00E36462" w:rsidRDefault="00843C60" w:rsidP="008A074A">
      <w:pPr>
        <w:pStyle w:val="ListParagraph"/>
        <w:numPr>
          <w:ilvl w:val="0"/>
          <w:numId w:val="3"/>
        </w:numPr>
        <w:jc w:val="both"/>
      </w:pPr>
      <w:r>
        <w:t xml:space="preserve">Completing a duty already promised – </w:t>
      </w:r>
      <w:proofErr w:type="spellStart"/>
      <w:r>
        <w:t>Stilk</w:t>
      </w:r>
      <w:proofErr w:type="spellEnd"/>
      <w:r>
        <w:t xml:space="preserve"> V Myrick [1809]</w:t>
      </w:r>
      <w:r w:rsidR="00537A8F">
        <w:rPr>
          <w:rStyle w:val="FootnoteReference"/>
        </w:rPr>
        <w:footnoteReference w:id="4"/>
      </w:r>
    </w:p>
    <w:p w14:paraId="4F7101E4" w14:textId="57EDD3E0" w:rsidR="00843C60" w:rsidRDefault="00843C60" w:rsidP="008A074A">
      <w:pPr>
        <w:pStyle w:val="ListParagraph"/>
        <w:numPr>
          <w:ilvl w:val="1"/>
          <w:numId w:val="3"/>
        </w:numPr>
        <w:jc w:val="both"/>
      </w:pPr>
      <w:r>
        <w:t>An exception is that the claimant needs to prove they have gone above and beyond the original duties required to fulfil the contract as per the ruling in Hartley v Ponsonby [1857]</w:t>
      </w:r>
      <w:r w:rsidR="00537A8F">
        <w:rPr>
          <w:rStyle w:val="FootnoteReference"/>
        </w:rPr>
        <w:footnoteReference w:id="5"/>
      </w:r>
      <w:r>
        <w:t xml:space="preserve"> </w:t>
      </w:r>
    </w:p>
    <w:p w14:paraId="5A215600" w14:textId="4328C7C1" w:rsidR="00285057" w:rsidRDefault="009F39ED" w:rsidP="00285057">
      <w:pPr>
        <w:pStyle w:val="ListParagraph"/>
        <w:numPr>
          <w:ilvl w:val="0"/>
          <w:numId w:val="3"/>
        </w:numPr>
        <w:jc w:val="both"/>
      </w:pPr>
      <w:r>
        <w:t>Promises after the contract has been completed e.g. the consideration has been completed are not legally binding – Re McArdle [1951]</w:t>
      </w:r>
      <w:r w:rsidR="00537A8F">
        <w:rPr>
          <w:rStyle w:val="FootnoteReference"/>
        </w:rPr>
        <w:footnoteReference w:id="6"/>
      </w:r>
      <w:r>
        <w:t xml:space="preserve"> although exceptions to this rule were created in the case of Pao On V Lau </w:t>
      </w:r>
      <w:proofErr w:type="spellStart"/>
      <w:r>
        <w:t>Yiu</w:t>
      </w:r>
      <w:proofErr w:type="spellEnd"/>
      <w:r>
        <w:t xml:space="preserve"> Long [1980]</w:t>
      </w:r>
      <w:r w:rsidR="00537A8F">
        <w:rPr>
          <w:rStyle w:val="FootnoteReference"/>
        </w:rPr>
        <w:footnoteReference w:id="7"/>
      </w:r>
      <w:r>
        <w:t xml:space="preserve"> </w:t>
      </w:r>
    </w:p>
    <w:p w14:paraId="0069A465" w14:textId="25A8DC8A" w:rsidR="00626359" w:rsidRPr="000171D0" w:rsidRDefault="009F39ED" w:rsidP="000171D0">
      <w:pPr>
        <w:pStyle w:val="ListParagraph"/>
        <w:numPr>
          <w:ilvl w:val="0"/>
          <w:numId w:val="3"/>
        </w:numPr>
        <w:jc w:val="both"/>
      </w:pPr>
      <w:r>
        <w:t xml:space="preserve">Part payment of a debt is not consideration as it leaves one party exposed – </w:t>
      </w:r>
      <w:proofErr w:type="spellStart"/>
      <w:r>
        <w:t>Foakes</w:t>
      </w:r>
      <w:proofErr w:type="spellEnd"/>
      <w:r>
        <w:t xml:space="preserve"> V Beer [1883]</w:t>
      </w:r>
      <w:r w:rsidR="00537A8F">
        <w:rPr>
          <w:rStyle w:val="FootnoteReference"/>
        </w:rPr>
        <w:footnoteReference w:id="8"/>
      </w:r>
      <w:r>
        <w:t xml:space="preserve">. Although exceptions were confirmed in the case of </w:t>
      </w:r>
      <w:proofErr w:type="spellStart"/>
      <w:r>
        <w:t>Pinnel</w:t>
      </w:r>
      <w:proofErr w:type="spellEnd"/>
      <w:r>
        <w:t xml:space="preserve"> [1602]</w:t>
      </w:r>
      <w:r w:rsidR="00537A8F">
        <w:rPr>
          <w:rStyle w:val="FootnoteReference"/>
        </w:rPr>
        <w:footnoteReference w:id="9"/>
      </w:r>
      <w:r>
        <w:t xml:space="preserve"> where part </w:t>
      </w:r>
      <w:r>
        <w:lastRenderedPageBreak/>
        <w:t xml:space="preserve">payment needs to be supported by another form of consideration or whether the part payment was made in a different form. </w:t>
      </w:r>
    </w:p>
    <w:p w14:paraId="6FD46764" w14:textId="77777777" w:rsidR="009F39ED" w:rsidRPr="009F39ED" w:rsidRDefault="009F39ED" w:rsidP="008A074A">
      <w:pPr>
        <w:ind w:left="360"/>
        <w:jc w:val="both"/>
        <w:rPr>
          <w:b/>
          <w:u w:val="single"/>
        </w:rPr>
      </w:pPr>
      <w:r w:rsidRPr="009F39ED">
        <w:rPr>
          <w:b/>
          <w:u w:val="single"/>
        </w:rPr>
        <w:t>What is promissory estoppel</w:t>
      </w:r>
    </w:p>
    <w:p w14:paraId="428F6A14" w14:textId="5B7F85CC" w:rsidR="00843C60" w:rsidRDefault="00626359" w:rsidP="008A074A">
      <w:pPr>
        <w:jc w:val="both"/>
      </w:pPr>
      <w:r>
        <w:t xml:space="preserve">When someone makes a </w:t>
      </w:r>
      <w:r w:rsidR="00285057">
        <w:t>promise,</w:t>
      </w:r>
      <w:r>
        <w:t xml:space="preserve"> it can still be le</w:t>
      </w:r>
      <w:r w:rsidR="00285057">
        <w:t>gally</w:t>
      </w:r>
      <w:r>
        <w:t xml:space="preserve"> binding although there is no formal consideration given, this is legally seen as an equitable remedy and is supported through case law by the legal defence of promissory estoppel. </w:t>
      </w:r>
    </w:p>
    <w:p w14:paraId="12E56825" w14:textId="26AC7634" w:rsidR="00626359" w:rsidRDefault="00626359" w:rsidP="008A074A">
      <w:pPr>
        <w:jc w:val="both"/>
      </w:pPr>
      <w:r>
        <w:t xml:space="preserve">The defence of promissory estoppel requires a set of </w:t>
      </w:r>
      <w:r w:rsidR="00285057">
        <w:t>tests</w:t>
      </w:r>
      <w:r>
        <w:t xml:space="preserve"> to be applied as determined in the case of Central London Property Trust Ltd v High Trees House Ltd [1947]</w:t>
      </w:r>
      <w:r w:rsidR="00537A8F">
        <w:rPr>
          <w:rStyle w:val="FootnoteReference"/>
        </w:rPr>
        <w:footnoteReference w:id="10"/>
      </w:r>
      <w:r>
        <w:t xml:space="preserve">. </w:t>
      </w:r>
    </w:p>
    <w:p w14:paraId="05D915FB" w14:textId="3AFEFD6A" w:rsidR="00626359" w:rsidRDefault="00626359" w:rsidP="008A074A">
      <w:pPr>
        <w:pStyle w:val="ListParagraph"/>
        <w:numPr>
          <w:ilvl w:val="0"/>
          <w:numId w:val="4"/>
        </w:numPr>
        <w:jc w:val="both"/>
      </w:pPr>
      <w:r>
        <w:t>Must be an existing legal relationship between parties – Combe v Combe [1951]</w:t>
      </w:r>
      <w:r w:rsidR="00DC72DE">
        <w:rPr>
          <w:rStyle w:val="FootnoteReference"/>
        </w:rPr>
        <w:footnoteReference w:id="11"/>
      </w:r>
      <w:r>
        <w:t xml:space="preserve"> </w:t>
      </w:r>
    </w:p>
    <w:p w14:paraId="742CFD0C" w14:textId="77777777" w:rsidR="00626359" w:rsidRDefault="00626359" w:rsidP="008A074A">
      <w:pPr>
        <w:pStyle w:val="ListParagraph"/>
        <w:numPr>
          <w:ilvl w:val="0"/>
          <w:numId w:val="4"/>
        </w:numPr>
        <w:jc w:val="both"/>
      </w:pPr>
      <w:r>
        <w:t xml:space="preserve">One party must have relied on the promise </w:t>
      </w:r>
    </w:p>
    <w:p w14:paraId="7CF49E68" w14:textId="3F6C9483" w:rsidR="00626359" w:rsidRDefault="00626359" w:rsidP="008A074A">
      <w:pPr>
        <w:pStyle w:val="ListParagraph"/>
        <w:numPr>
          <w:ilvl w:val="0"/>
          <w:numId w:val="4"/>
        </w:numPr>
        <w:jc w:val="both"/>
      </w:pPr>
      <w:r>
        <w:t xml:space="preserve">Can only be used as a defence “shield not a sword” – Combe v Combe [1951] </w:t>
      </w:r>
    </w:p>
    <w:p w14:paraId="4F6DEF18" w14:textId="0E97A737" w:rsidR="00626359" w:rsidRDefault="00626359" w:rsidP="008A074A">
      <w:pPr>
        <w:pStyle w:val="ListParagraph"/>
        <w:numPr>
          <w:ilvl w:val="0"/>
          <w:numId w:val="4"/>
        </w:numPr>
        <w:jc w:val="both"/>
      </w:pPr>
      <w:r>
        <w:t>It must be unfair for the promisor to go back on his promise – if there is no change to any party if the promise is revoked, this is deemed fair as per the case The Post Chaser [1982]</w:t>
      </w:r>
      <w:r w:rsidR="00DC72DE">
        <w:rPr>
          <w:rStyle w:val="FootnoteReference"/>
        </w:rPr>
        <w:footnoteReference w:id="12"/>
      </w:r>
      <w:r>
        <w:t xml:space="preserve"> </w:t>
      </w:r>
    </w:p>
    <w:p w14:paraId="477A5A8A" w14:textId="77777777" w:rsidR="00626359" w:rsidRDefault="00626359" w:rsidP="008A074A">
      <w:pPr>
        <w:pStyle w:val="ListParagraph"/>
        <w:numPr>
          <w:ilvl w:val="0"/>
          <w:numId w:val="4"/>
        </w:numPr>
        <w:jc w:val="both"/>
      </w:pPr>
      <w:r>
        <w:t xml:space="preserve">It is generally used to suspend the rights of the parties and not used to revoke rights </w:t>
      </w:r>
    </w:p>
    <w:p w14:paraId="3BF02C69" w14:textId="77777777" w:rsidR="00500EC1" w:rsidRDefault="00500EC1" w:rsidP="008A074A">
      <w:pPr>
        <w:jc w:val="both"/>
        <w:rPr>
          <w:b/>
          <w:u w:val="single"/>
        </w:rPr>
      </w:pPr>
      <w:r w:rsidRPr="00500EC1">
        <w:rPr>
          <w:b/>
          <w:u w:val="single"/>
        </w:rPr>
        <w:t xml:space="preserve">Offer </w:t>
      </w:r>
    </w:p>
    <w:p w14:paraId="07E48E8A" w14:textId="3B942BF7" w:rsidR="00500EC1" w:rsidRDefault="00500EC1" w:rsidP="008A074A">
      <w:pPr>
        <w:pStyle w:val="ListParagraph"/>
        <w:numPr>
          <w:ilvl w:val="0"/>
          <w:numId w:val="6"/>
        </w:numPr>
        <w:jc w:val="both"/>
      </w:pPr>
      <w:proofErr w:type="spellStart"/>
      <w:r>
        <w:t>Storer</w:t>
      </w:r>
      <w:proofErr w:type="spellEnd"/>
      <w:r>
        <w:t xml:space="preserve"> V </w:t>
      </w:r>
      <w:proofErr w:type="spellStart"/>
      <w:r>
        <w:t>Machester</w:t>
      </w:r>
      <w:proofErr w:type="spellEnd"/>
      <w:r>
        <w:t xml:space="preserve"> City Council [1974]</w:t>
      </w:r>
      <w:r w:rsidR="00DC72DE">
        <w:rPr>
          <w:rStyle w:val="FootnoteReference"/>
        </w:rPr>
        <w:footnoteReference w:id="13"/>
      </w:r>
      <w:r>
        <w:t xml:space="preserve"> outlines the principles of an offer: </w:t>
      </w:r>
    </w:p>
    <w:p w14:paraId="663D082A" w14:textId="77777777" w:rsidR="00500EC1" w:rsidRDefault="00500EC1" w:rsidP="008A074A">
      <w:pPr>
        <w:pStyle w:val="ListParagraph"/>
        <w:numPr>
          <w:ilvl w:val="0"/>
          <w:numId w:val="5"/>
        </w:numPr>
        <w:jc w:val="both"/>
      </w:pPr>
      <w:r>
        <w:t>Willingness to contract on specified terms</w:t>
      </w:r>
    </w:p>
    <w:p w14:paraId="4E6F30C3" w14:textId="77777777" w:rsidR="00500EC1" w:rsidRDefault="00500EC1" w:rsidP="008A074A">
      <w:pPr>
        <w:pStyle w:val="ListParagraph"/>
        <w:numPr>
          <w:ilvl w:val="0"/>
          <w:numId w:val="5"/>
        </w:numPr>
        <w:jc w:val="both"/>
      </w:pPr>
      <w:r>
        <w:t xml:space="preserve">Intention for the offer to be binding once accepted </w:t>
      </w:r>
    </w:p>
    <w:p w14:paraId="1AAE8C33" w14:textId="7D88902D" w:rsidR="00500EC1" w:rsidRDefault="00500EC1" w:rsidP="008A074A">
      <w:pPr>
        <w:pStyle w:val="ListParagraph"/>
        <w:numPr>
          <w:ilvl w:val="0"/>
          <w:numId w:val="6"/>
        </w:numPr>
        <w:jc w:val="both"/>
      </w:pPr>
      <w:r>
        <w:t>It must be communicated to the person reviewing the offer – Taylor v Laird [1856]</w:t>
      </w:r>
      <w:r w:rsidR="00DC72DE">
        <w:rPr>
          <w:rStyle w:val="FootnoteReference"/>
        </w:rPr>
        <w:footnoteReference w:id="14"/>
      </w:r>
      <w:r>
        <w:t xml:space="preserve"> </w:t>
      </w:r>
    </w:p>
    <w:p w14:paraId="35452E76" w14:textId="77777777" w:rsidR="00500EC1" w:rsidRDefault="00500EC1" w:rsidP="008A074A">
      <w:pPr>
        <w:jc w:val="both"/>
      </w:pPr>
      <w:r>
        <w:t xml:space="preserve">The law has advised the definition of an offer and it can be clouded often by other circumstances. </w:t>
      </w:r>
    </w:p>
    <w:p w14:paraId="3A14259B" w14:textId="786C5DAA" w:rsidR="00500EC1" w:rsidRDefault="00500EC1" w:rsidP="008A074A">
      <w:pPr>
        <w:jc w:val="both"/>
      </w:pPr>
      <w:r>
        <w:t>Gibson v Manchester City Council [1979]</w:t>
      </w:r>
      <w:r w:rsidR="00DC72DE">
        <w:rPr>
          <w:rStyle w:val="FootnoteReference"/>
        </w:rPr>
        <w:footnoteReference w:id="15"/>
      </w:r>
      <w:r>
        <w:t xml:space="preserve"> defined the differences between offer an invitation to treat. For example, selling a house would be an invitation to treat. </w:t>
      </w:r>
    </w:p>
    <w:p w14:paraId="31F382C0" w14:textId="2556A85B" w:rsidR="00500EC1" w:rsidRDefault="00500EC1" w:rsidP="008A074A">
      <w:pPr>
        <w:jc w:val="both"/>
      </w:pPr>
      <w:r>
        <w:t>Other cases have advised what constitutes an invitation to treat – Fisher V Bell [961]</w:t>
      </w:r>
      <w:r w:rsidR="00DC72DE">
        <w:rPr>
          <w:rStyle w:val="FootnoteReference"/>
        </w:rPr>
        <w:footnoteReference w:id="16"/>
      </w:r>
      <w:r>
        <w:t xml:space="preserve"> the display of goods in a shop window is an invitation to treat and this is supported by the judgement in Pharmaceutical Society of Great Britain V Boots cash chemist Ltd [1953]</w:t>
      </w:r>
      <w:r w:rsidR="00DC72DE">
        <w:rPr>
          <w:rStyle w:val="FootnoteReference"/>
        </w:rPr>
        <w:footnoteReference w:id="17"/>
      </w:r>
      <w:r>
        <w:t xml:space="preserve"> </w:t>
      </w:r>
    </w:p>
    <w:p w14:paraId="65EBD89D" w14:textId="3954AF81" w:rsidR="00500EC1" w:rsidRDefault="00500EC1" w:rsidP="008A074A">
      <w:pPr>
        <w:jc w:val="both"/>
      </w:pPr>
      <w:r>
        <w:t>In Partridge V Crittenden [1968]</w:t>
      </w:r>
      <w:r w:rsidR="00DC72DE">
        <w:rPr>
          <w:rStyle w:val="FootnoteReference"/>
        </w:rPr>
        <w:footnoteReference w:id="18"/>
      </w:r>
      <w:r>
        <w:t xml:space="preserve">, it established that </w:t>
      </w:r>
      <w:r w:rsidR="003D3ECD">
        <w:t>advertisements</w:t>
      </w:r>
      <w:r>
        <w:t xml:space="preserve"> were not an offer but an invitation to treat as multi people could accept. </w:t>
      </w:r>
    </w:p>
    <w:p w14:paraId="23E1E936" w14:textId="78181D05" w:rsidR="003D3ECD" w:rsidRDefault="003D3ECD" w:rsidP="008A074A">
      <w:pPr>
        <w:jc w:val="both"/>
      </w:pPr>
      <w:r>
        <w:t>Although an advertisement could form a unilateral contract which is legally binding as advised in the case of Carlill V Carbolic Smoke Ball Co Ltd [1893]</w:t>
      </w:r>
      <w:r w:rsidR="00DC72DE">
        <w:rPr>
          <w:rStyle w:val="FootnoteReference"/>
        </w:rPr>
        <w:footnoteReference w:id="19"/>
      </w:r>
      <w:r>
        <w:t xml:space="preserve">. This offer through the advert clearly showed an intent to offer something, that being £100 reward to anyone who got flu after using the product. The deposit of £1000 into an account was the intent to pay the rewards. </w:t>
      </w:r>
    </w:p>
    <w:p w14:paraId="2CBC7EDB" w14:textId="46F6B246" w:rsidR="003D3ECD" w:rsidRDefault="003D3ECD" w:rsidP="008A074A">
      <w:pPr>
        <w:jc w:val="both"/>
      </w:pPr>
      <w:r>
        <w:lastRenderedPageBreak/>
        <w:t xml:space="preserve">Another, interesting case regarding offer and acceptance is that of a parking machine in the case of </w:t>
      </w:r>
      <w:proofErr w:type="spellStart"/>
      <w:r>
        <w:t>Thorton</w:t>
      </w:r>
      <w:proofErr w:type="spellEnd"/>
      <w:r>
        <w:t xml:space="preserve"> V Shoe Lane Parking [1971]</w:t>
      </w:r>
      <w:r w:rsidR="00DC72DE">
        <w:rPr>
          <w:rStyle w:val="FootnoteReference"/>
        </w:rPr>
        <w:footnoteReference w:id="20"/>
      </w:r>
      <w:r>
        <w:t xml:space="preserve">, inserting coins into the machines was acceptance of the offer although a machine cannot negotiate the terms. The case determined, the contract was formed. </w:t>
      </w:r>
    </w:p>
    <w:p w14:paraId="565B60EA" w14:textId="77777777" w:rsidR="003D3ECD" w:rsidRPr="008A074A" w:rsidRDefault="008A074A" w:rsidP="00500EC1">
      <w:pPr>
        <w:jc w:val="both"/>
        <w:rPr>
          <w:b/>
          <w:u w:val="single"/>
        </w:rPr>
      </w:pPr>
      <w:r w:rsidRPr="008A074A">
        <w:rPr>
          <w:b/>
          <w:u w:val="single"/>
        </w:rPr>
        <w:t xml:space="preserve">Revocation of an offer, can it happen? </w:t>
      </w:r>
    </w:p>
    <w:p w14:paraId="0AA1C42F" w14:textId="36E28C4C" w:rsidR="008A074A" w:rsidRDefault="008A074A" w:rsidP="00500EC1">
      <w:pPr>
        <w:jc w:val="both"/>
      </w:pPr>
      <w:r>
        <w:t>The law enables offers to revoked at any point before acceptance as defined by Lord Bingham in Routledge v Grant [1828]</w:t>
      </w:r>
      <w:r w:rsidR="00DC72DE">
        <w:t>.</w:t>
      </w:r>
      <w:r w:rsidR="00DC72DE">
        <w:rPr>
          <w:rStyle w:val="FootnoteReference"/>
        </w:rPr>
        <w:footnoteReference w:id="21"/>
      </w:r>
      <w:r>
        <w:t xml:space="preserve"> Although, it </w:t>
      </w:r>
      <w:r w:rsidR="00DC72DE">
        <w:t>must</w:t>
      </w:r>
      <w:r>
        <w:t xml:space="preserve"> be communicated. </w:t>
      </w:r>
    </w:p>
    <w:p w14:paraId="7AEFE403" w14:textId="284679DB" w:rsidR="008A074A" w:rsidRDefault="008A074A" w:rsidP="00500EC1">
      <w:pPr>
        <w:jc w:val="both"/>
      </w:pPr>
      <w:r>
        <w:t>Time pla</w:t>
      </w:r>
      <w:r w:rsidR="009E1DFC">
        <w:t>ys</w:t>
      </w:r>
      <w:r>
        <w:t xml:space="preserve"> a factor, if the claimant takes too long to accept an offer it could be revoked. The offer has to be accepted in ‘reasonable’ time. </w:t>
      </w:r>
      <w:proofErr w:type="gramStart"/>
      <w:r>
        <w:t>Th</w:t>
      </w:r>
      <w:r w:rsidR="009E1DFC">
        <w:t xml:space="preserve">is </w:t>
      </w:r>
      <w:r>
        <w:t>criteria</w:t>
      </w:r>
      <w:proofErr w:type="gramEnd"/>
      <w:r>
        <w:t xml:space="preserve"> is highlighted in Ramsgate Victoria Hotel V Montefiore [1866]</w:t>
      </w:r>
      <w:r w:rsidR="00DC72DE">
        <w:rPr>
          <w:rStyle w:val="FootnoteReference"/>
        </w:rPr>
        <w:footnoteReference w:id="22"/>
      </w:r>
      <w:r>
        <w:t xml:space="preserve"> </w:t>
      </w:r>
    </w:p>
    <w:p w14:paraId="2922D7CB" w14:textId="37BF7580" w:rsidR="000171D0" w:rsidRPr="00DC72DE" w:rsidRDefault="0066074A" w:rsidP="00500EC1">
      <w:pPr>
        <w:jc w:val="both"/>
      </w:pPr>
      <w:r>
        <w:t>A further offer to the original offer means the original offer is revoked – Hyde v Wrench [1840]</w:t>
      </w:r>
      <w:r w:rsidR="00DC72DE">
        <w:rPr>
          <w:rStyle w:val="FootnoteReference"/>
        </w:rPr>
        <w:footnoteReference w:id="23"/>
      </w:r>
      <w:r>
        <w:t xml:space="preserve"> </w:t>
      </w:r>
    </w:p>
    <w:p w14:paraId="38BD5905" w14:textId="77777777" w:rsidR="000171D0" w:rsidRDefault="000171D0" w:rsidP="00500EC1">
      <w:pPr>
        <w:jc w:val="both"/>
        <w:rPr>
          <w:b/>
          <w:u w:val="single"/>
        </w:rPr>
      </w:pPr>
    </w:p>
    <w:p w14:paraId="530CD93A" w14:textId="77777777" w:rsidR="000171D0" w:rsidRPr="000171D0" w:rsidRDefault="000171D0" w:rsidP="00500EC1">
      <w:pPr>
        <w:jc w:val="both"/>
        <w:rPr>
          <w:b/>
          <w:u w:val="single"/>
        </w:rPr>
      </w:pPr>
      <w:r w:rsidRPr="000171D0">
        <w:rPr>
          <w:b/>
          <w:u w:val="single"/>
        </w:rPr>
        <w:t>Acceptance of an offer</w:t>
      </w:r>
    </w:p>
    <w:p w14:paraId="2EF659B1" w14:textId="77777777" w:rsidR="0066074A" w:rsidRDefault="000171D0" w:rsidP="00500EC1">
      <w:pPr>
        <w:jc w:val="both"/>
      </w:pPr>
      <w:r>
        <w:t xml:space="preserve">This is required to ensure the agreement is legally binding to produce a contract. There must be no doubt between parties as highlighted in Hyde v Wrench [1840] and the communication must be effective. </w:t>
      </w:r>
    </w:p>
    <w:p w14:paraId="3BDBAA0D" w14:textId="61CF9DB3" w:rsidR="0066074A" w:rsidRDefault="000171D0" w:rsidP="00500EC1">
      <w:pPr>
        <w:jc w:val="both"/>
      </w:pPr>
      <w:r>
        <w:t>The no doubt between parties can lead to some confusion</w:t>
      </w:r>
      <w:r w:rsidR="009E1DFC">
        <w:t xml:space="preserve">, </w:t>
      </w:r>
      <w:r>
        <w:t>Jacques &amp; co. V McLean [1880]</w:t>
      </w:r>
      <w:r w:rsidR="00DC72DE">
        <w:rPr>
          <w:rStyle w:val="FootnoteReference"/>
        </w:rPr>
        <w:footnoteReference w:id="24"/>
      </w:r>
      <w:r>
        <w:t xml:space="preserve">, that asking questions was not creating a counter offer but instead a request for information. </w:t>
      </w:r>
    </w:p>
    <w:p w14:paraId="75178AE3" w14:textId="06AAFD8B" w:rsidR="00DB161B" w:rsidRDefault="00A11A44" w:rsidP="00500EC1">
      <w:pPr>
        <w:jc w:val="both"/>
      </w:pPr>
      <w:r>
        <w:t xml:space="preserve">Effective communication </w:t>
      </w:r>
      <w:proofErr w:type="gramStart"/>
      <w:r w:rsidR="009E1DFC">
        <w:t>has to</w:t>
      </w:r>
      <w:proofErr w:type="gramEnd"/>
      <w:r w:rsidR="009E1DFC">
        <w:t xml:space="preserve"> be via the given communication channels</w:t>
      </w:r>
      <w:r>
        <w:t>. Henthorn v Fraser [1892]</w:t>
      </w:r>
      <w:r w:rsidR="00DC72DE">
        <w:rPr>
          <w:rStyle w:val="FootnoteReference"/>
        </w:rPr>
        <w:footnoteReference w:id="25"/>
      </w:r>
      <w:r>
        <w:t xml:space="preserve">, defined the postal rule. That acceptance occurred the moment the letter was posted as both parties </w:t>
      </w:r>
      <w:r w:rsidR="00DB161B">
        <w:t>knew post would be used. The law is very firm on the acceptance of an offer at point of postage as per the case of Adams v Lindsell [1818]</w:t>
      </w:r>
      <w:r w:rsidR="00DC72DE">
        <w:rPr>
          <w:rStyle w:val="FootnoteReference"/>
        </w:rPr>
        <w:footnoteReference w:id="26"/>
      </w:r>
      <w:r w:rsidR="00DB161B">
        <w:t xml:space="preserve">. </w:t>
      </w:r>
    </w:p>
    <w:p w14:paraId="23382253" w14:textId="37E52E07" w:rsidR="00DB161B" w:rsidRDefault="00DB161B" w:rsidP="00500EC1">
      <w:pPr>
        <w:jc w:val="both"/>
      </w:pPr>
      <w:r>
        <w:t xml:space="preserve">Acceptance occurs on receipt of the offer and silence is not considered communication as in the case of </w:t>
      </w:r>
      <w:proofErr w:type="spellStart"/>
      <w:r>
        <w:t>Felthouse</w:t>
      </w:r>
      <w:proofErr w:type="spellEnd"/>
      <w:r>
        <w:t xml:space="preserve"> v Bindley [1862]</w:t>
      </w:r>
      <w:r w:rsidR="00DC72DE">
        <w:rPr>
          <w:rStyle w:val="FootnoteReference"/>
        </w:rPr>
        <w:footnoteReference w:id="27"/>
      </w:r>
      <w:r>
        <w:t xml:space="preserve">.  Silence could be deemed accepted if it is seen with some form of conduct. Known as implied acceptance as per </w:t>
      </w:r>
      <w:proofErr w:type="spellStart"/>
      <w:r>
        <w:t>Brogden</w:t>
      </w:r>
      <w:proofErr w:type="spellEnd"/>
      <w:r>
        <w:t xml:space="preserve"> V Metropolitan Railway [1877]</w:t>
      </w:r>
      <w:r w:rsidR="00DC72DE">
        <w:rPr>
          <w:rStyle w:val="FootnoteReference"/>
        </w:rPr>
        <w:footnoteReference w:id="28"/>
      </w:r>
      <w:r>
        <w:t xml:space="preserve">. Furthermore, referring to the Carlill case, the use of a smoke ball as advertised was defined as the acceptance of the offer. </w:t>
      </w:r>
    </w:p>
    <w:p w14:paraId="3B89875F" w14:textId="77777777" w:rsidR="004C0C93" w:rsidRPr="004C0C93" w:rsidRDefault="004C0C93" w:rsidP="00500EC1">
      <w:pPr>
        <w:jc w:val="both"/>
        <w:rPr>
          <w:b/>
          <w:u w:val="single"/>
        </w:rPr>
      </w:pPr>
      <w:r w:rsidRPr="004C0C93">
        <w:rPr>
          <w:b/>
          <w:u w:val="single"/>
        </w:rPr>
        <w:t>Discharge of a Contract</w:t>
      </w:r>
    </w:p>
    <w:p w14:paraId="261B0A5A" w14:textId="77777777" w:rsidR="004C0C93" w:rsidRDefault="004C0C93" w:rsidP="00500EC1">
      <w:pPr>
        <w:jc w:val="both"/>
      </w:pPr>
      <w:r>
        <w:t xml:space="preserve">The law has provided guidance for both parties to discharge a legally binding contract. If both parties agree, there are two requirements: </w:t>
      </w:r>
    </w:p>
    <w:p w14:paraId="7668D311" w14:textId="77777777" w:rsidR="004C0C93" w:rsidRDefault="004C0C93" w:rsidP="004C0C93">
      <w:pPr>
        <w:pStyle w:val="ListParagraph"/>
        <w:numPr>
          <w:ilvl w:val="0"/>
          <w:numId w:val="7"/>
        </w:numPr>
        <w:jc w:val="both"/>
      </w:pPr>
      <w:r>
        <w:t xml:space="preserve">Mutual agreement </w:t>
      </w:r>
    </w:p>
    <w:p w14:paraId="2E76321B" w14:textId="77777777" w:rsidR="004C0C93" w:rsidRDefault="004C0C93" w:rsidP="004C0C93">
      <w:pPr>
        <w:pStyle w:val="ListParagraph"/>
        <w:numPr>
          <w:ilvl w:val="0"/>
          <w:numId w:val="7"/>
        </w:numPr>
        <w:jc w:val="both"/>
      </w:pPr>
      <w:r>
        <w:t xml:space="preserve">Agreement is free </w:t>
      </w:r>
    </w:p>
    <w:p w14:paraId="076D0443" w14:textId="77777777" w:rsidR="004C0C93" w:rsidRDefault="00B80999" w:rsidP="004C0C93">
      <w:pPr>
        <w:jc w:val="both"/>
      </w:pPr>
      <w:r>
        <w:lastRenderedPageBreak/>
        <w:t xml:space="preserve">As well as agreement to discharge a contract, the contract may be discharged through the following: </w:t>
      </w:r>
    </w:p>
    <w:p w14:paraId="7C4938A1" w14:textId="77777777" w:rsidR="006314DF" w:rsidRDefault="00B80999" w:rsidP="004C0C93">
      <w:pPr>
        <w:jc w:val="both"/>
      </w:pPr>
      <w:r>
        <w:rPr>
          <w:b/>
          <w:u w:val="single"/>
        </w:rPr>
        <w:t>Performance</w:t>
      </w:r>
    </w:p>
    <w:p w14:paraId="200E84D5" w14:textId="77777777" w:rsidR="006314DF" w:rsidRDefault="006314DF" w:rsidP="004C0C93">
      <w:pPr>
        <w:jc w:val="both"/>
      </w:pPr>
      <w:r>
        <w:t xml:space="preserve">All terms of the contract must be performed, parties must identify that all the terms and conditions have been met. </w:t>
      </w:r>
    </w:p>
    <w:p w14:paraId="680A9B18" w14:textId="77777777" w:rsidR="00B80999" w:rsidRPr="006314DF" w:rsidRDefault="006314DF" w:rsidP="004C0C93">
      <w:pPr>
        <w:jc w:val="both"/>
        <w:rPr>
          <w:b/>
          <w:u w:val="single"/>
        </w:rPr>
      </w:pPr>
      <w:r w:rsidRPr="006314DF">
        <w:rPr>
          <w:b/>
          <w:u w:val="single"/>
        </w:rPr>
        <w:t xml:space="preserve">Discharge by Breach </w:t>
      </w:r>
      <w:r w:rsidR="00B80999" w:rsidRPr="006314DF">
        <w:rPr>
          <w:b/>
          <w:u w:val="single"/>
        </w:rPr>
        <w:t xml:space="preserve"> </w:t>
      </w:r>
    </w:p>
    <w:p w14:paraId="79ECDF00" w14:textId="78926B6B" w:rsidR="00B80999" w:rsidRDefault="006314DF" w:rsidP="004C0C93">
      <w:pPr>
        <w:jc w:val="both"/>
      </w:pPr>
      <w:r>
        <w:t xml:space="preserve">The breach of the contract needs to be clear as defined in the following cases Alfred </w:t>
      </w:r>
      <w:proofErr w:type="spellStart"/>
      <w:r>
        <w:t>Toepfer</w:t>
      </w:r>
      <w:proofErr w:type="spellEnd"/>
      <w:r>
        <w:t xml:space="preserve"> International </w:t>
      </w:r>
      <w:proofErr w:type="spellStart"/>
      <w:r>
        <w:t>GmBH</w:t>
      </w:r>
      <w:proofErr w:type="spellEnd"/>
      <w:r>
        <w:t xml:space="preserve"> v </w:t>
      </w:r>
      <w:proofErr w:type="spellStart"/>
      <w:r>
        <w:t>Itex</w:t>
      </w:r>
      <w:proofErr w:type="spellEnd"/>
      <w:r>
        <w:t xml:space="preserve"> </w:t>
      </w:r>
      <w:proofErr w:type="spellStart"/>
      <w:r>
        <w:t>Itagrani</w:t>
      </w:r>
      <w:proofErr w:type="spellEnd"/>
      <w:r>
        <w:t xml:space="preserve"> Export SA [1993]</w:t>
      </w:r>
      <w:r w:rsidR="00DC72DE">
        <w:rPr>
          <w:rStyle w:val="FootnoteReference"/>
        </w:rPr>
        <w:footnoteReference w:id="29"/>
      </w:r>
      <w:r>
        <w:t xml:space="preserve"> and Eminence Property Development Ltd V Heaney [2010]</w:t>
      </w:r>
      <w:r w:rsidR="00DC72DE">
        <w:rPr>
          <w:rStyle w:val="FootnoteReference"/>
        </w:rPr>
        <w:footnoteReference w:id="30"/>
      </w:r>
      <w:r>
        <w:t xml:space="preserve">. The breach has to be one of the terms of the contract for example a condition, warranty or an innominate term. </w:t>
      </w:r>
    </w:p>
    <w:p w14:paraId="0F3409CD" w14:textId="77777777" w:rsidR="006314DF" w:rsidRDefault="006314DF" w:rsidP="004C0C93">
      <w:pPr>
        <w:jc w:val="both"/>
        <w:rPr>
          <w:b/>
          <w:u w:val="single"/>
        </w:rPr>
      </w:pPr>
      <w:r w:rsidRPr="006314DF">
        <w:rPr>
          <w:b/>
          <w:u w:val="single"/>
        </w:rPr>
        <w:t xml:space="preserve">Frustration </w:t>
      </w:r>
    </w:p>
    <w:p w14:paraId="5A68A841" w14:textId="54BCAD38" w:rsidR="006314DF" w:rsidRDefault="006314DF" w:rsidP="004C0C93">
      <w:pPr>
        <w:jc w:val="both"/>
        <w:rPr>
          <w:highlight w:val="yellow"/>
        </w:rPr>
      </w:pPr>
      <w:r w:rsidRPr="009E1DFC">
        <w:rPr>
          <w:highlight w:val="yellow"/>
        </w:rPr>
        <w:t>The legal concept of frustration</w:t>
      </w:r>
      <w:r w:rsidR="006F6422" w:rsidRPr="009E1DFC">
        <w:rPr>
          <w:highlight w:val="yellow"/>
        </w:rPr>
        <w:t>, Taylor v Caldwell [1863]</w:t>
      </w:r>
      <w:r w:rsidR="00DC72DE" w:rsidRPr="009E1DFC">
        <w:rPr>
          <w:rStyle w:val="FootnoteReference"/>
          <w:highlight w:val="yellow"/>
        </w:rPr>
        <w:footnoteReference w:id="31"/>
      </w:r>
      <w:r w:rsidR="006F6422" w:rsidRPr="009E1DFC">
        <w:rPr>
          <w:highlight w:val="yellow"/>
        </w:rPr>
        <w:t>,</w:t>
      </w:r>
      <w:r w:rsidRPr="009E1DFC">
        <w:rPr>
          <w:highlight w:val="yellow"/>
        </w:rPr>
        <w:t xml:space="preserve"> is where the contractual obligations become impossible for one party to perform or fundamentally different.</w:t>
      </w:r>
      <w:r w:rsidR="006F6422" w:rsidRPr="009E1DFC">
        <w:rPr>
          <w:highlight w:val="yellow"/>
        </w:rPr>
        <w:t xml:space="preserve"> The parties cannot have foreseen the risk happening already, change and </w:t>
      </w:r>
      <w:r w:rsidR="009E1DFC" w:rsidRPr="009E1DFC">
        <w:rPr>
          <w:highlight w:val="yellow"/>
        </w:rPr>
        <w:t xml:space="preserve">the </w:t>
      </w:r>
      <w:r w:rsidR="006F6422" w:rsidRPr="009E1DFC">
        <w:rPr>
          <w:highlight w:val="yellow"/>
        </w:rPr>
        <w:t>impossib</w:t>
      </w:r>
      <w:r w:rsidR="009E1DFC" w:rsidRPr="009E1DFC">
        <w:rPr>
          <w:highlight w:val="yellow"/>
        </w:rPr>
        <w:t>e</w:t>
      </w:r>
      <w:r w:rsidR="006F6422" w:rsidRPr="009E1DFC">
        <w:rPr>
          <w:highlight w:val="yellow"/>
        </w:rPr>
        <w:t xml:space="preserve"> to perform could include but not limited to; additional expenses, something no longer exist which is key to the contract – Appleby v Myers [1867]</w:t>
      </w:r>
      <w:r w:rsidR="00DC72DE" w:rsidRPr="009E1DFC">
        <w:rPr>
          <w:rStyle w:val="FootnoteReference"/>
          <w:highlight w:val="yellow"/>
        </w:rPr>
        <w:footnoteReference w:id="32"/>
      </w:r>
      <w:r w:rsidR="006F6422" w:rsidRPr="009E1DFC">
        <w:rPr>
          <w:highlight w:val="yellow"/>
        </w:rPr>
        <w:t xml:space="preserve">, illegality occurs, outbreak of war – </w:t>
      </w:r>
      <w:proofErr w:type="spellStart"/>
      <w:r w:rsidR="006F6422" w:rsidRPr="009E1DFC">
        <w:rPr>
          <w:highlight w:val="yellow"/>
        </w:rPr>
        <w:t>Tsakiroglou</w:t>
      </w:r>
      <w:proofErr w:type="spellEnd"/>
      <w:r w:rsidR="006F6422" w:rsidRPr="009E1DFC">
        <w:rPr>
          <w:highlight w:val="yellow"/>
        </w:rPr>
        <w:t xml:space="preserve"> &amp; Co Ltd V </w:t>
      </w:r>
      <w:proofErr w:type="spellStart"/>
      <w:r w:rsidR="006F6422" w:rsidRPr="009E1DFC">
        <w:rPr>
          <w:highlight w:val="yellow"/>
        </w:rPr>
        <w:t>Noblee</w:t>
      </w:r>
      <w:proofErr w:type="spellEnd"/>
      <w:r w:rsidR="006F6422" w:rsidRPr="009E1DFC">
        <w:rPr>
          <w:highlight w:val="yellow"/>
        </w:rPr>
        <w:t xml:space="preserve"> </w:t>
      </w:r>
      <w:proofErr w:type="spellStart"/>
      <w:r w:rsidR="006F6422" w:rsidRPr="009E1DFC">
        <w:rPr>
          <w:highlight w:val="yellow"/>
        </w:rPr>
        <w:t>Throl</w:t>
      </w:r>
      <w:proofErr w:type="spellEnd"/>
      <w:r w:rsidR="006F6422" w:rsidRPr="009E1DFC">
        <w:rPr>
          <w:highlight w:val="yellow"/>
        </w:rPr>
        <w:t xml:space="preserve"> GmbH [1962]</w:t>
      </w:r>
      <w:r w:rsidR="00DC72DE" w:rsidRPr="009E1DFC">
        <w:rPr>
          <w:rStyle w:val="FootnoteReference"/>
          <w:highlight w:val="yellow"/>
        </w:rPr>
        <w:footnoteReference w:id="33"/>
      </w:r>
      <w:r w:rsidR="00DC72DE" w:rsidRPr="009E1DFC">
        <w:rPr>
          <w:highlight w:val="yellow"/>
        </w:rPr>
        <w:t>.</w:t>
      </w:r>
    </w:p>
    <w:p w14:paraId="654E25B8" w14:textId="0209DEA9" w:rsidR="009E1DFC" w:rsidRDefault="009E1DFC" w:rsidP="004C0C93">
      <w:pPr>
        <w:jc w:val="both"/>
      </w:pPr>
    </w:p>
    <w:p w14:paraId="345BCC27" w14:textId="77777777" w:rsidR="00FF4E4B" w:rsidRDefault="00FF4E4B" w:rsidP="009E1DFC">
      <w:pPr>
        <w:rPr>
          <w:b/>
          <w:u w:val="single"/>
        </w:rPr>
      </w:pPr>
    </w:p>
    <w:p w14:paraId="449888FE" w14:textId="0A6734A8" w:rsidR="009E1DFC" w:rsidRDefault="009E1DFC" w:rsidP="009E1DFC">
      <w:pPr>
        <w:rPr>
          <w:b/>
          <w:u w:val="single"/>
        </w:rPr>
      </w:pPr>
      <w:bookmarkStart w:id="1" w:name="_GoBack"/>
      <w:bookmarkEnd w:id="1"/>
      <w:r>
        <w:rPr>
          <w:b/>
          <w:u w:val="single"/>
        </w:rPr>
        <w:t>1)</w:t>
      </w:r>
    </w:p>
    <w:p w14:paraId="2ACC4287" w14:textId="77777777" w:rsidR="009E1DFC" w:rsidRDefault="009E1DFC" w:rsidP="009E1DFC">
      <w:pPr>
        <w:rPr>
          <w:b/>
          <w:u w:val="single"/>
        </w:rPr>
      </w:pPr>
      <w:r>
        <w:rPr>
          <w:b/>
          <w:u w:val="single"/>
        </w:rPr>
        <w:t xml:space="preserve">Statement issue </w:t>
      </w:r>
    </w:p>
    <w:p w14:paraId="79210F1B" w14:textId="77777777" w:rsidR="009E1DFC" w:rsidRPr="00ED2FC9" w:rsidRDefault="009E1DFC" w:rsidP="009E1DFC">
      <w:pPr>
        <w:pStyle w:val="ListParagraph"/>
        <w:numPr>
          <w:ilvl w:val="0"/>
          <w:numId w:val="10"/>
        </w:numPr>
        <w:rPr>
          <w:lang w:val="en-US"/>
        </w:rPr>
      </w:pPr>
      <w:r>
        <w:rPr>
          <w:lang w:val="en-US"/>
        </w:rPr>
        <w:t xml:space="preserve">A significant defect arising from a lack of care in any detail of a construction project </w:t>
      </w:r>
    </w:p>
    <w:p w14:paraId="044D6564" w14:textId="77777777" w:rsidR="009E1DFC" w:rsidRDefault="009E1DFC" w:rsidP="009E1DFC">
      <w:pPr>
        <w:rPr>
          <w:b/>
          <w:u w:val="single"/>
        </w:rPr>
      </w:pPr>
      <w:r>
        <w:rPr>
          <w:b/>
          <w:u w:val="single"/>
        </w:rPr>
        <w:t xml:space="preserve">The law </w:t>
      </w:r>
    </w:p>
    <w:p w14:paraId="28375411" w14:textId="77777777" w:rsidR="009E1DFC" w:rsidRDefault="009E1DFC" w:rsidP="009E1DFC">
      <w:r>
        <w:t>The duty of care is the responsibility of an individual not to harm others. This law stems from Donoghue vs Stevenson, where the claimant sued the manufacturer for a discovering a decomposed snail in her ginger beer. Her claim was successful and was the beginning of the modern law of negligence. In the house of lords in 1932 Lord Atkin introduced the neighbour principle, “you must love your neighbour and you must not injure your neighbour”. (</w:t>
      </w:r>
      <w:r>
        <w:rPr>
          <w:lang w:val="en-US"/>
        </w:rPr>
        <w:t>Neighbor test, Richard castle)</w:t>
      </w:r>
    </w:p>
    <w:p w14:paraId="6DA0E67E" w14:textId="77777777" w:rsidR="009E1DFC" w:rsidRPr="009C4248" w:rsidRDefault="009E1DFC" w:rsidP="009E1DFC">
      <w:r>
        <w:t xml:space="preserve"> </w:t>
      </w:r>
    </w:p>
    <w:p w14:paraId="50B75334" w14:textId="77777777" w:rsidR="009E1DFC" w:rsidRDefault="009E1DFC" w:rsidP="009E1DFC">
      <w:pPr>
        <w:rPr>
          <w:b/>
          <w:u w:val="single"/>
        </w:rPr>
      </w:pPr>
      <w:r>
        <w:rPr>
          <w:b/>
          <w:u w:val="single"/>
        </w:rPr>
        <w:t xml:space="preserve">Insurances </w:t>
      </w:r>
    </w:p>
    <w:p w14:paraId="23FFCD3B" w14:textId="77777777" w:rsidR="009E1DFC" w:rsidRPr="000F058F" w:rsidRDefault="009E1DFC" w:rsidP="009E1DFC">
      <w:r>
        <w:t xml:space="preserve">Insurance companies might be able mitigate that issues of the lack of care by properly training their staff, making sure the work place is a safe area, worn clients of potential risks and always act in the best interest of your client. These are a few things that can be done to try and reduce the likely hood of a defect arising through a lack of care. If these aspects have been </w:t>
      </w:r>
      <w:proofErr w:type="gramStart"/>
      <w:r>
        <w:t>followed</w:t>
      </w:r>
      <w:proofErr w:type="gramEnd"/>
      <w:r>
        <w:t xml:space="preserve"> then it is unlikely that </w:t>
      </w:r>
      <w:r>
        <w:lastRenderedPageBreak/>
        <w:t xml:space="preserve">the claimant will have an claim as all aspects in regards to the care of your employees and employer have been covered. </w:t>
      </w:r>
    </w:p>
    <w:p w14:paraId="2070D092" w14:textId="5F02F08B" w:rsidR="009E1DFC" w:rsidRDefault="009E1DFC" w:rsidP="009E1DFC">
      <w:pPr>
        <w:rPr>
          <w:b/>
          <w:u w:val="single"/>
        </w:rPr>
      </w:pPr>
    </w:p>
    <w:p w14:paraId="0ED2EE60" w14:textId="222475E0" w:rsidR="009E1DFC" w:rsidRDefault="009E1DFC" w:rsidP="009E1DFC">
      <w:pPr>
        <w:rPr>
          <w:b/>
          <w:u w:val="single"/>
        </w:rPr>
      </w:pPr>
      <w:r>
        <w:rPr>
          <w:b/>
          <w:u w:val="single"/>
        </w:rPr>
        <w:t>2)</w:t>
      </w:r>
    </w:p>
    <w:p w14:paraId="22FE2F88" w14:textId="77777777" w:rsidR="009E1DFC" w:rsidRDefault="009E1DFC" w:rsidP="009E1DFC">
      <w:pPr>
        <w:rPr>
          <w:b/>
          <w:u w:val="single"/>
        </w:rPr>
      </w:pPr>
      <w:r>
        <w:rPr>
          <w:b/>
          <w:u w:val="single"/>
        </w:rPr>
        <w:t xml:space="preserve">Statement issue </w:t>
      </w:r>
    </w:p>
    <w:p w14:paraId="0C723A9E" w14:textId="77777777" w:rsidR="009E1DFC" w:rsidRDefault="009E1DFC" w:rsidP="009E1DFC">
      <w:pPr>
        <w:pStyle w:val="ListParagraph"/>
        <w:numPr>
          <w:ilvl w:val="0"/>
          <w:numId w:val="10"/>
        </w:numPr>
        <w:rPr>
          <w:lang w:val="en-US"/>
        </w:rPr>
      </w:pPr>
      <w:r>
        <w:rPr>
          <w:lang w:val="en-US"/>
        </w:rPr>
        <w:t xml:space="preserve">Personal injury arising to an employee during their employment </w:t>
      </w:r>
    </w:p>
    <w:p w14:paraId="153F7A72" w14:textId="77777777" w:rsidR="009E1DFC" w:rsidRDefault="009E1DFC" w:rsidP="009E1DFC">
      <w:pPr>
        <w:rPr>
          <w:b/>
          <w:u w:val="single"/>
        </w:rPr>
      </w:pPr>
    </w:p>
    <w:p w14:paraId="3F491FFC" w14:textId="77777777" w:rsidR="009E1DFC" w:rsidRDefault="009E1DFC" w:rsidP="009E1DFC">
      <w:pPr>
        <w:rPr>
          <w:b/>
          <w:u w:val="single"/>
        </w:rPr>
      </w:pPr>
      <w:r>
        <w:rPr>
          <w:b/>
          <w:u w:val="single"/>
        </w:rPr>
        <w:t xml:space="preserve">The law </w:t>
      </w:r>
    </w:p>
    <w:p w14:paraId="735CE5B4" w14:textId="77777777" w:rsidR="009E1DFC" w:rsidRPr="005E1CE8" w:rsidRDefault="009E1DFC" w:rsidP="009E1DFC">
      <w:r>
        <w:t>Under the law HSWA section 3 all employees are not exposed to any risks that they are not aware of. (</w:t>
      </w:r>
      <w:r>
        <w:rPr>
          <w:lang w:val="en-US"/>
        </w:rPr>
        <w:t>HSE law, section 3)</w:t>
      </w:r>
    </w:p>
    <w:p w14:paraId="4DE51E74" w14:textId="77777777" w:rsidR="009E1DFC" w:rsidRDefault="009E1DFC" w:rsidP="009E1DFC">
      <w:pPr>
        <w:rPr>
          <w:lang w:val="en-US"/>
        </w:rPr>
      </w:pPr>
      <w:r>
        <w:t>An accident within the workplace can be claimed upon if the injured person feels like there was a level of negligence from the company. The company has a duty to protect and inform employees of any health and safety issues that they could come across. (</w:t>
      </w:r>
      <w:r>
        <w:rPr>
          <w:lang w:val="en-US"/>
        </w:rPr>
        <w:t xml:space="preserve">accidents in the work place, Ni Direct) </w:t>
      </w:r>
    </w:p>
    <w:p w14:paraId="69CE2FEA" w14:textId="77777777" w:rsidR="009E1DFC" w:rsidRPr="009C4248" w:rsidRDefault="009E1DFC" w:rsidP="009E1DFC"/>
    <w:p w14:paraId="261113CD" w14:textId="77777777" w:rsidR="009E1DFC" w:rsidRDefault="009E1DFC" w:rsidP="009E1DFC">
      <w:pPr>
        <w:rPr>
          <w:b/>
          <w:u w:val="single"/>
        </w:rPr>
      </w:pPr>
      <w:r>
        <w:rPr>
          <w:b/>
          <w:u w:val="single"/>
        </w:rPr>
        <w:t xml:space="preserve">Insurance policy </w:t>
      </w:r>
    </w:p>
    <w:p w14:paraId="7831799C" w14:textId="77777777" w:rsidR="009E1DFC" w:rsidRPr="007F2A31" w:rsidRDefault="009E1DFC" w:rsidP="009E1DFC">
      <w:r>
        <w:t>For a company to be protected themselves from a claim to do with personal injuries from one of their employees they would need to make sure that all health and safety issues have been mentioned and that risk assessments have been completed. If they are working on site then they would need to have method statements, the correct equipment and there must be a duty holder on site. Employees should be competent in the area that they are working in. if they aren’t, they should not be allowed to carry out the tasks. If a company has more than 10 members of staff, there should be an accident book and every accident should be logged no matter the size of it. (</w:t>
      </w:r>
      <w:r>
        <w:rPr>
          <w:lang w:val="en-US"/>
        </w:rPr>
        <w:t>claiming on personal injuries, DAS Law)</w:t>
      </w:r>
    </w:p>
    <w:p w14:paraId="1D134338" w14:textId="77777777" w:rsidR="009E1DFC" w:rsidRPr="00D71B4E" w:rsidRDefault="009E1DFC" w:rsidP="009E1DFC"/>
    <w:p w14:paraId="07068467" w14:textId="77777777" w:rsidR="009E1DFC" w:rsidRDefault="009E1DFC" w:rsidP="009E1DFC">
      <w:pPr>
        <w:rPr>
          <w:b/>
          <w:u w:val="single"/>
        </w:rPr>
      </w:pPr>
      <w:r>
        <w:rPr>
          <w:b/>
          <w:u w:val="single"/>
        </w:rPr>
        <w:t xml:space="preserve">Outcome with no insurance policy </w:t>
      </w:r>
    </w:p>
    <w:p w14:paraId="20121AB8" w14:textId="77777777" w:rsidR="009E1DFC" w:rsidRPr="007F2A31" w:rsidRDefault="009E1DFC" w:rsidP="009E1DFC">
      <w:r>
        <w:t xml:space="preserve">If the company has no insurance policy or does not keep records of accidents that happen within the work place, then they could be liable to claims from any employee who has an accident within the working day.   – </w:t>
      </w:r>
      <w:r w:rsidRPr="007F2A31">
        <w:rPr>
          <w:highlight w:val="yellow"/>
        </w:rPr>
        <w:t>couldn’t find a case that would fit in here</w:t>
      </w:r>
      <w:r>
        <w:t xml:space="preserve"> </w:t>
      </w:r>
    </w:p>
    <w:p w14:paraId="7197BA44" w14:textId="77777777" w:rsidR="009E1DFC" w:rsidRDefault="009E1DFC" w:rsidP="009E1DFC">
      <w:pPr>
        <w:rPr>
          <w:b/>
          <w:u w:val="single"/>
        </w:rPr>
      </w:pPr>
    </w:p>
    <w:p w14:paraId="77F0A73C" w14:textId="77777777" w:rsidR="009E1DFC" w:rsidRDefault="009E1DFC" w:rsidP="009E1DFC">
      <w:pPr>
        <w:rPr>
          <w:b/>
          <w:u w:val="single"/>
        </w:rPr>
      </w:pPr>
    </w:p>
    <w:p w14:paraId="664C9C7C" w14:textId="61173FB2" w:rsidR="009E1DFC" w:rsidRDefault="009E1DFC" w:rsidP="009E1DFC">
      <w:pPr>
        <w:rPr>
          <w:b/>
          <w:u w:val="single"/>
        </w:rPr>
      </w:pPr>
      <w:r>
        <w:rPr>
          <w:b/>
          <w:u w:val="single"/>
        </w:rPr>
        <w:t>3)</w:t>
      </w:r>
    </w:p>
    <w:p w14:paraId="241C2C45" w14:textId="77777777" w:rsidR="009E1DFC" w:rsidRDefault="009E1DFC" w:rsidP="009E1DFC">
      <w:pPr>
        <w:rPr>
          <w:b/>
          <w:u w:val="single"/>
        </w:rPr>
      </w:pPr>
      <w:r>
        <w:rPr>
          <w:b/>
          <w:u w:val="single"/>
        </w:rPr>
        <w:t xml:space="preserve">Statement issue </w:t>
      </w:r>
    </w:p>
    <w:p w14:paraId="67DB2A22" w14:textId="77777777" w:rsidR="009E1DFC" w:rsidRPr="007F2A31" w:rsidRDefault="009E1DFC" w:rsidP="009E1DFC">
      <w:pPr>
        <w:pStyle w:val="ListParagraph"/>
        <w:numPr>
          <w:ilvl w:val="0"/>
          <w:numId w:val="10"/>
        </w:numPr>
        <w:rPr>
          <w:lang w:val="en-US"/>
        </w:rPr>
      </w:pPr>
      <w:r>
        <w:rPr>
          <w:lang w:val="en-US"/>
        </w:rPr>
        <w:t xml:space="preserve">Personal injury to a member of the public arising from a construction works </w:t>
      </w:r>
    </w:p>
    <w:p w14:paraId="5DEC36BD" w14:textId="77777777" w:rsidR="009E1DFC" w:rsidRDefault="009E1DFC" w:rsidP="009E1DFC">
      <w:pPr>
        <w:rPr>
          <w:b/>
          <w:u w:val="single"/>
        </w:rPr>
      </w:pPr>
      <w:r>
        <w:rPr>
          <w:b/>
          <w:u w:val="single"/>
        </w:rPr>
        <w:t xml:space="preserve">The law </w:t>
      </w:r>
    </w:p>
    <w:p w14:paraId="49FCC913" w14:textId="77777777" w:rsidR="009E1DFC" w:rsidRDefault="009E1DFC" w:rsidP="009E1DFC">
      <w:r>
        <w:t xml:space="preserve">A land owner or occupier of a site is usually responsible for any trespassers or members of the public who are within the boundary of their property. </w:t>
      </w:r>
    </w:p>
    <w:p w14:paraId="01BAC4A2" w14:textId="77777777" w:rsidR="009E1DFC" w:rsidRDefault="009E1DFC" w:rsidP="009E1DFC"/>
    <w:p w14:paraId="75162F73" w14:textId="77777777" w:rsidR="009E1DFC" w:rsidRDefault="009E1DFC" w:rsidP="009E1DFC">
      <w:pPr>
        <w:rPr>
          <w:b/>
          <w:u w:val="single"/>
        </w:rPr>
      </w:pPr>
      <w:r>
        <w:rPr>
          <w:b/>
          <w:u w:val="single"/>
        </w:rPr>
        <w:t xml:space="preserve">Insurance policy </w:t>
      </w:r>
    </w:p>
    <w:p w14:paraId="6F273C3F" w14:textId="77777777" w:rsidR="009E1DFC" w:rsidRPr="00BF168F" w:rsidRDefault="009E1DFC" w:rsidP="009E1DFC">
      <w:pPr>
        <w:rPr>
          <w:lang w:val="en-US"/>
        </w:rPr>
      </w:pPr>
      <w:r>
        <w:t xml:space="preserve">the company should have controlled measures in place to make sure no accidents happen to the public from the construction site. The danger of materials falling is the biggest threat, </w:t>
      </w:r>
      <w:proofErr w:type="spellStart"/>
      <w:r>
        <w:t>specially</w:t>
      </w:r>
      <w:proofErr w:type="spellEnd"/>
      <w:r>
        <w:t xml:space="preserve"> when working in a city or where the boundaries are small and foot traffic is high. They should ensure everything is tied on correctly or boarded over. They need to ensure a clear boundary has been marked out and preferably one that cannot be passed easily. Deliveries and vehicles entering site can also cause disasters. A banksman always needs to be present when the vehicle is on site. (</w:t>
      </w:r>
      <w:r>
        <w:rPr>
          <w:lang w:val="en-US"/>
        </w:rPr>
        <w:t xml:space="preserve">public protection, HSE) </w:t>
      </w:r>
    </w:p>
    <w:p w14:paraId="4F3F3C30" w14:textId="77777777" w:rsidR="009E1DFC" w:rsidRDefault="009E1DFC" w:rsidP="009E1DFC">
      <w:pPr>
        <w:rPr>
          <w:b/>
          <w:u w:val="single"/>
        </w:rPr>
      </w:pPr>
    </w:p>
    <w:p w14:paraId="47F4EEA7" w14:textId="77777777" w:rsidR="009E1DFC" w:rsidRDefault="009E1DFC" w:rsidP="009E1DFC">
      <w:pPr>
        <w:rPr>
          <w:lang w:val="en-US"/>
        </w:rPr>
      </w:pPr>
      <w:r>
        <w:rPr>
          <w:lang w:val="en-US"/>
        </w:rPr>
        <w:t>In 2012 Amanda Telfer was killed by falling window frames from a construction site in Hanover Square, London. The supervisor of IS Europe ltd was found guilty of man slaughter and was sentenced to 12 months in prison. This was due to gross negligence and having a reckless disregard for the potential danger of the window frames. (Press Association, May 2017, The Guardian)</w:t>
      </w:r>
    </w:p>
    <w:p w14:paraId="1A74681E" w14:textId="77777777" w:rsidR="009E1DFC" w:rsidRDefault="009E1DFC" w:rsidP="009E1DFC">
      <w:pPr>
        <w:rPr>
          <w:b/>
          <w:u w:val="single"/>
        </w:rPr>
      </w:pPr>
    </w:p>
    <w:p w14:paraId="7ECB0C81" w14:textId="77777777" w:rsidR="009E1DFC" w:rsidRDefault="009E1DFC" w:rsidP="009E1DFC">
      <w:pPr>
        <w:rPr>
          <w:b/>
          <w:u w:val="single"/>
        </w:rPr>
      </w:pPr>
      <w:r>
        <w:rPr>
          <w:b/>
          <w:u w:val="single"/>
        </w:rPr>
        <w:t xml:space="preserve">Outcome with no insurance policy </w:t>
      </w:r>
    </w:p>
    <w:p w14:paraId="4FAFB290" w14:textId="77777777" w:rsidR="009E1DFC" w:rsidRDefault="009E1DFC" w:rsidP="004C0C93">
      <w:pPr>
        <w:jc w:val="both"/>
      </w:pPr>
    </w:p>
    <w:p w14:paraId="7C0BBAF3" w14:textId="77777777" w:rsidR="006314DF" w:rsidRPr="006314DF" w:rsidRDefault="006314DF" w:rsidP="004C0C93">
      <w:pPr>
        <w:jc w:val="both"/>
      </w:pPr>
    </w:p>
    <w:p w14:paraId="690FE759" w14:textId="77777777" w:rsidR="004C0C93" w:rsidRDefault="004C0C93" w:rsidP="00500EC1">
      <w:pPr>
        <w:jc w:val="both"/>
      </w:pPr>
    </w:p>
    <w:p w14:paraId="222B30E7" w14:textId="5328C3BA" w:rsidR="004C0C93" w:rsidRDefault="004C0C93" w:rsidP="00500EC1">
      <w:pPr>
        <w:jc w:val="both"/>
      </w:pPr>
    </w:p>
    <w:p w14:paraId="5DE9A790" w14:textId="67CE15DA" w:rsidR="00DC72DE" w:rsidRDefault="00DC72DE" w:rsidP="00500EC1">
      <w:pPr>
        <w:jc w:val="both"/>
      </w:pPr>
    </w:p>
    <w:p w14:paraId="68294487" w14:textId="1236E44F" w:rsidR="00DC72DE" w:rsidRDefault="00DC72DE" w:rsidP="00500EC1">
      <w:pPr>
        <w:jc w:val="both"/>
      </w:pPr>
    </w:p>
    <w:p w14:paraId="5EE16870" w14:textId="0870844E" w:rsidR="00DC72DE" w:rsidRDefault="00DC72DE" w:rsidP="00500EC1">
      <w:pPr>
        <w:jc w:val="both"/>
      </w:pPr>
    </w:p>
    <w:p w14:paraId="5F90623A" w14:textId="41152642" w:rsidR="00DC72DE" w:rsidRDefault="00DC72DE" w:rsidP="00500EC1">
      <w:pPr>
        <w:jc w:val="both"/>
      </w:pPr>
    </w:p>
    <w:p w14:paraId="63698DFD" w14:textId="6378FED8" w:rsidR="00DC72DE" w:rsidRDefault="00DC72DE" w:rsidP="00500EC1">
      <w:pPr>
        <w:jc w:val="both"/>
      </w:pPr>
    </w:p>
    <w:p w14:paraId="33D59FCD" w14:textId="25605490" w:rsidR="00DC72DE" w:rsidRDefault="00DC72DE" w:rsidP="00500EC1">
      <w:pPr>
        <w:jc w:val="both"/>
      </w:pPr>
    </w:p>
    <w:p w14:paraId="7B98F106" w14:textId="59CE44DA" w:rsidR="00DC72DE" w:rsidRDefault="00DC72DE" w:rsidP="00500EC1">
      <w:pPr>
        <w:jc w:val="both"/>
      </w:pPr>
    </w:p>
    <w:p w14:paraId="59344AF1" w14:textId="462BE108" w:rsidR="001709F1" w:rsidRDefault="001709F1" w:rsidP="00500EC1">
      <w:pPr>
        <w:jc w:val="both"/>
      </w:pPr>
    </w:p>
    <w:p w14:paraId="1C64D5D0" w14:textId="636B413C" w:rsidR="001709F1" w:rsidRDefault="001709F1" w:rsidP="00500EC1">
      <w:pPr>
        <w:jc w:val="both"/>
      </w:pPr>
    </w:p>
    <w:p w14:paraId="24B28F3D" w14:textId="712DD4F9" w:rsidR="001709F1" w:rsidRDefault="001709F1" w:rsidP="00500EC1">
      <w:pPr>
        <w:jc w:val="both"/>
      </w:pPr>
    </w:p>
    <w:p w14:paraId="06504F0B" w14:textId="51F512C4" w:rsidR="001709F1" w:rsidRDefault="001709F1" w:rsidP="00500EC1">
      <w:pPr>
        <w:jc w:val="both"/>
      </w:pPr>
    </w:p>
    <w:p w14:paraId="41DDC4C4" w14:textId="73D26BB1" w:rsidR="001709F1" w:rsidRDefault="001709F1" w:rsidP="00500EC1">
      <w:pPr>
        <w:jc w:val="both"/>
      </w:pPr>
    </w:p>
    <w:p w14:paraId="6A7A52FE" w14:textId="71CED77A" w:rsidR="001709F1" w:rsidRDefault="001709F1" w:rsidP="00500EC1">
      <w:pPr>
        <w:jc w:val="both"/>
      </w:pPr>
    </w:p>
    <w:p w14:paraId="272D512B" w14:textId="108F9D30" w:rsidR="001709F1" w:rsidRDefault="001709F1" w:rsidP="00500EC1">
      <w:pPr>
        <w:jc w:val="both"/>
      </w:pPr>
    </w:p>
    <w:p w14:paraId="708E079C" w14:textId="77777777" w:rsidR="001709F1" w:rsidRDefault="001709F1" w:rsidP="00500EC1">
      <w:pPr>
        <w:jc w:val="both"/>
      </w:pPr>
    </w:p>
    <w:p w14:paraId="0AEBD5C5" w14:textId="77777777" w:rsidR="00DC72DE" w:rsidRPr="00FF4E4B" w:rsidRDefault="00DC72DE" w:rsidP="00DC72DE">
      <w:pPr>
        <w:jc w:val="both"/>
        <w:rPr>
          <w:b/>
          <w:u w:val="single"/>
        </w:rPr>
      </w:pPr>
      <w:r w:rsidRPr="00FF4E4B">
        <w:rPr>
          <w:b/>
          <w:u w:val="single"/>
        </w:rPr>
        <w:t xml:space="preserve">Reference page </w:t>
      </w:r>
    </w:p>
    <w:p w14:paraId="6AEF7373" w14:textId="77777777" w:rsidR="00DC72DE" w:rsidRDefault="00DC72DE" w:rsidP="00DC72DE">
      <w:pPr>
        <w:spacing w:after="0"/>
        <w:jc w:val="both"/>
        <w:rPr>
          <w:lang w:val="en-US"/>
        </w:rPr>
      </w:pPr>
      <w:r w:rsidRPr="00DC72DE">
        <w:rPr>
          <w:lang w:val="en-US"/>
        </w:rPr>
        <w:t xml:space="preserve">contractual procedures for building studies, </w:t>
      </w:r>
    </w:p>
    <w:p w14:paraId="70FA03DB" w14:textId="7B32E7B1" w:rsidR="00DC72DE" w:rsidRPr="00DC72DE" w:rsidRDefault="00DC72DE" w:rsidP="00DC72DE">
      <w:pPr>
        <w:spacing w:after="0"/>
        <w:jc w:val="both"/>
      </w:pPr>
      <w:r>
        <w:rPr>
          <w:lang w:val="en-US"/>
        </w:rPr>
        <w:t>Colin Steel MCIOB,</w:t>
      </w:r>
    </w:p>
    <w:p w14:paraId="16B4447B" w14:textId="06E2E3B8" w:rsidR="00DC72DE" w:rsidRDefault="00DC72DE" w:rsidP="00DC72DE">
      <w:pPr>
        <w:spacing w:after="0"/>
        <w:jc w:val="both"/>
        <w:rPr>
          <w:lang w:val="en-US"/>
        </w:rPr>
      </w:pPr>
      <w:r>
        <w:rPr>
          <w:lang w:val="en-US"/>
        </w:rPr>
        <w:t>1984, Pg1</w:t>
      </w:r>
    </w:p>
    <w:p w14:paraId="72966569" w14:textId="77FD977E" w:rsidR="00DC72DE" w:rsidRDefault="00DC72DE" w:rsidP="00500EC1">
      <w:pPr>
        <w:jc w:val="both"/>
      </w:pPr>
    </w:p>
    <w:p w14:paraId="2FC6AD8F" w14:textId="77777777" w:rsidR="00363DF3" w:rsidRDefault="00363DF3" w:rsidP="00500EC1">
      <w:pPr>
        <w:jc w:val="both"/>
      </w:pPr>
    </w:p>
    <w:p w14:paraId="58F695EF" w14:textId="4E400E08" w:rsidR="00DC72DE" w:rsidRDefault="00363DF3" w:rsidP="00500EC1">
      <w:pPr>
        <w:jc w:val="both"/>
      </w:pPr>
      <w:proofErr w:type="spellStart"/>
      <w:r w:rsidRPr="00363DF3">
        <w:t>LawTeacher</w:t>
      </w:r>
      <w:proofErr w:type="spellEnd"/>
      <w:r w:rsidRPr="00363DF3">
        <w:t xml:space="preserve">. November 2013. Doctrine of consideration. [online]. Available from: https://www.lawteacher.net/free-law-essays/contract-law/doctrine-of-consideration.php?vref=1 [Accessed </w:t>
      </w:r>
      <w:r w:rsidR="00FF4E4B">
        <w:t>28 December</w:t>
      </w:r>
      <w:r w:rsidRPr="00363DF3">
        <w:t xml:space="preserve"> 2019].</w:t>
      </w:r>
    </w:p>
    <w:p w14:paraId="06E2E015" w14:textId="48BB34E9" w:rsidR="00363DF3" w:rsidRDefault="00363DF3" w:rsidP="00500EC1">
      <w:pPr>
        <w:jc w:val="both"/>
      </w:pPr>
    </w:p>
    <w:p w14:paraId="50E9A539" w14:textId="11C8055D" w:rsidR="00363DF3" w:rsidRDefault="00363DF3" w:rsidP="00500EC1">
      <w:pPr>
        <w:jc w:val="both"/>
      </w:pPr>
      <w:proofErr w:type="spellStart"/>
      <w:r w:rsidRPr="00363DF3">
        <w:t>LawTeacher</w:t>
      </w:r>
      <w:proofErr w:type="spellEnd"/>
      <w:r w:rsidRPr="00363DF3">
        <w:t xml:space="preserve">. November 2013. The concept of Agreement. [online]. Available from: https://www.lawteacher.net/free-law-essays/contract-law/the-concept-of-agreement-contract-law-essay.php?vref=1 [Accessed </w:t>
      </w:r>
      <w:r w:rsidR="00FF4E4B">
        <w:t>28 December</w:t>
      </w:r>
      <w:r w:rsidRPr="00363DF3">
        <w:t xml:space="preserve"> 2019].</w:t>
      </w:r>
    </w:p>
    <w:p w14:paraId="142160C5" w14:textId="38876091" w:rsidR="00DC72DE" w:rsidRDefault="00DC72DE" w:rsidP="00500EC1">
      <w:pPr>
        <w:jc w:val="both"/>
      </w:pPr>
    </w:p>
    <w:p w14:paraId="3C905FD6" w14:textId="56957088" w:rsidR="0054234E" w:rsidRDefault="0054234E" w:rsidP="00500EC1">
      <w:pPr>
        <w:jc w:val="both"/>
      </w:pPr>
      <w:proofErr w:type="spellStart"/>
      <w:r w:rsidRPr="0054234E">
        <w:t>LawTeacher</w:t>
      </w:r>
      <w:proofErr w:type="spellEnd"/>
      <w:r w:rsidRPr="0054234E">
        <w:t xml:space="preserve">. November 2013. Currie v Misa – Summary. [online]. Available from: https://www.lawteacher.net/cases/currie-v-misa.php?vref=1 [Accessed </w:t>
      </w:r>
      <w:r w:rsidR="00FF4E4B">
        <w:t>28 December</w:t>
      </w:r>
      <w:r w:rsidRPr="0054234E">
        <w:t xml:space="preserve"> 2019].</w:t>
      </w:r>
    </w:p>
    <w:p w14:paraId="5F98E7C0" w14:textId="07FFA4F8" w:rsidR="00A359E7" w:rsidRDefault="00A359E7" w:rsidP="00500EC1">
      <w:pPr>
        <w:jc w:val="both"/>
      </w:pPr>
    </w:p>
    <w:p w14:paraId="75686700" w14:textId="414471F2" w:rsidR="00A359E7" w:rsidRDefault="00A359E7" w:rsidP="00500EC1">
      <w:pPr>
        <w:jc w:val="both"/>
      </w:pPr>
    </w:p>
    <w:p w14:paraId="1C8C83FF" w14:textId="580FB35E" w:rsidR="004A40B1" w:rsidRDefault="00A359E7" w:rsidP="004A40B1">
      <w:pPr>
        <w:spacing w:after="0"/>
        <w:jc w:val="both"/>
        <w:rPr>
          <w:lang w:val="en-US"/>
        </w:rPr>
      </w:pPr>
      <w:r>
        <w:rPr>
          <w:lang w:val="en-US"/>
        </w:rPr>
        <w:t xml:space="preserve">contractual procedures for building students, </w:t>
      </w:r>
    </w:p>
    <w:p w14:paraId="6FEE605A" w14:textId="5C7D6A54" w:rsidR="004A40B1" w:rsidRDefault="00A359E7" w:rsidP="004A40B1">
      <w:pPr>
        <w:spacing w:after="0"/>
        <w:jc w:val="both"/>
        <w:rPr>
          <w:lang w:val="en-US"/>
        </w:rPr>
      </w:pPr>
      <w:r>
        <w:rPr>
          <w:lang w:val="en-US"/>
        </w:rPr>
        <w:t>Colin Steel</w:t>
      </w:r>
      <w:r w:rsidR="004A40B1">
        <w:rPr>
          <w:lang w:val="en-US"/>
        </w:rPr>
        <w:t xml:space="preserve"> </w:t>
      </w:r>
      <w:r w:rsidR="004A40B1">
        <w:rPr>
          <w:lang w:val="en-US"/>
        </w:rPr>
        <w:t>MCIOB</w:t>
      </w:r>
      <w:r>
        <w:rPr>
          <w:lang w:val="en-US"/>
        </w:rPr>
        <w:t xml:space="preserve">, </w:t>
      </w:r>
    </w:p>
    <w:p w14:paraId="3243B4F4" w14:textId="13C6EF53" w:rsidR="004A40B1" w:rsidRDefault="004A40B1" w:rsidP="004A40B1">
      <w:pPr>
        <w:spacing w:after="0"/>
        <w:jc w:val="both"/>
        <w:rPr>
          <w:lang w:val="en-US"/>
        </w:rPr>
      </w:pPr>
      <w:r>
        <w:rPr>
          <w:lang w:val="en-US"/>
        </w:rPr>
        <w:t xml:space="preserve">1984, </w:t>
      </w:r>
      <w:r w:rsidR="00A359E7">
        <w:rPr>
          <w:lang w:val="en-US"/>
        </w:rPr>
        <w:t>pg10</w:t>
      </w:r>
    </w:p>
    <w:p w14:paraId="51D7FC2C" w14:textId="65F20697" w:rsidR="001709F1" w:rsidRDefault="001709F1" w:rsidP="004A40B1">
      <w:pPr>
        <w:spacing w:after="0"/>
        <w:jc w:val="both"/>
        <w:rPr>
          <w:lang w:val="en-US"/>
        </w:rPr>
      </w:pPr>
    </w:p>
    <w:p w14:paraId="10F3AA32" w14:textId="6ED503BF" w:rsidR="001709F1" w:rsidRDefault="001709F1" w:rsidP="004A40B1">
      <w:pPr>
        <w:spacing w:after="0"/>
        <w:jc w:val="both"/>
        <w:rPr>
          <w:lang w:val="en-US"/>
        </w:rPr>
      </w:pPr>
    </w:p>
    <w:p w14:paraId="7CFDB071" w14:textId="1746E532" w:rsidR="001709F1" w:rsidRDefault="001709F1" w:rsidP="004A40B1">
      <w:pPr>
        <w:spacing w:after="0"/>
        <w:jc w:val="both"/>
        <w:rPr>
          <w:lang w:val="en-US"/>
        </w:rPr>
      </w:pPr>
      <w:proofErr w:type="spellStart"/>
      <w:r w:rsidRPr="001709F1">
        <w:rPr>
          <w:lang w:val="en-US"/>
        </w:rPr>
        <w:t>LawTeacher</w:t>
      </w:r>
      <w:proofErr w:type="spellEnd"/>
      <w:r w:rsidRPr="001709F1">
        <w:rPr>
          <w:lang w:val="en-US"/>
        </w:rPr>
        <w:t xml:space="preserve">. November 2013. What is performance of an existing duty. [online]. Available from: https://www.lawteacher.net/free-law-essays/contract-law/performance-of-an-existing-duty-law-contract-essay.php?vref=1 [Accessed </w:t>
      </w:r>
      <w:r w:rsidR="00FF4E4B">
        <w:rPr>
          <w:lang w:val="en-US"/>
        </w:rPr>
        <w:t>22 December</w:t>
      </w:r>
      <w:r w:rsidRPr="001709F1">
        <w:rPr>
          <w:lang w:val="en-US"/>
        </w:rPr>
        <w:t xml:space="preserve"> 2019].</w:t>
      </w:r>
    </w:p>
    <w:p w14:paraId="4E49C5C9" w14:textId="7F3581C3" w:rsidR="00285057" w:rsidRDefault="00285057" w:rsidP="004A40B1">
      <w:pPr>
        <w:spacing w:after="0"/>
        <w:jc w:val="both"/>
        <w:rPr>
          <w:lang w:val="en-US"/>
        </w:rPr>
      </w:pPr>
    </w:p>
    <w:p w14:paraId="42C01C90" w14:textId="5F148A91" w:rsidR="00285057" w:rsidRDefault="00285057" w:rsidP="004A40B1">
      <w:pPr>
        <w:spacing w:after="0"/>
        <w:jc w:val="both"/>
        <w:rPr>
          <w:lang w:val="en-US"/>
        </w:rPr>
      </w:pPr>
    </w:p>
    <w:p w14:paraId="3214B6BE" w14:textId="171313A0" w:rsidR="00285057" w:rsidRDefault="00285057" w:rsidP="004A40B1">
      <w:pPr>
        <w:spacing w:after="0"/>
        <w:jc w:val="both"/>
        <w:rPr>
          <w:lang w:val="en-US"/>
        </w:rPr>
      </w:pPr>
      <w:proofErr w:type="spellStart"/>
      <w:r w:rsidRPr="00285057">
        <w:rPr>
          <w:lang w:val="en-US"/>
        </w:rPr>
        <w:t>LawTeacher</w:t>
      </w:r>
      <w:proofErr w:type="spellEnd"/>
      <w:r w:rsidRPr="00285057">
        <w:rPr>
          <w:lang w:val="en-US"/>
        </w:rPr>
        <w:t xml:space="preserve">. November 2013. Promissory Estoppel Cases | Contract Law. [online]. Available from: https://www.lawteacher.net/cases/promissory-estoppel.php?vref=1 [Accessed </w:t>
      </w:r>
      <w:r w:rsidR="00FF4E4B">
        <w:rPr>
          <w:lang w:val="en-US"/>
        </w:rPr>
        <w:t>3 January</w:t>
      </w:r>
      <w:r w:rsidRPr="00285057">
        <w:rPr>
          <w:lang w:val="en-US"/>
        </w:rPr>
        <w:t xml:space="preserve"> 2019].</w:t>
      </w:r>
    </w:p>
    <w:p w14:paraId="5DB8AA1D" w14:textId="10630204" w:rsidR="00285057" w:rsidRDefault="00285057" w:rsidP="004A40B1">
      <w:pPr>
        <w:spacing w:after="0"/>
        <w:jc w:val="both"/>
        <w:rPr>
          <w:lang w:val="en-US"/>
        </w:rPr>
      </w:pPr>
    </w:p>
    <w:p w14:paraId="41510103" w14:textId="5BA09459" w:rsidR="00285057" w:rsidRDefault="00285057" w:rsidP="004A40B1">
      <w:pPr>
        <w:spacing w:after="0"/>
        <w:jc w:val="both"/>
        <w:rPr>
          <w:lang w:val="en-US"/>
        </w:rPr>
      </w:pPr>
    </w:p>
    <w:p w14:paraId="3A680661" w14:textId="1C28A718" w:rsidR="00285057" w:rsidRDefault="00285057" w:rsidP="004A40B1">
      <w:pPr>
        <w:spacing w:after="0"/>
        <w:jc w:val="both"/>
        <w:rPr>
          <w:lang w:val="en-US"/>
        </w:rPr>
      </w:pPr>
      <w:proofErr w:type="spellStart"/>
      <w:r w:rsidRPr="00285057">
        <w:rPr>
          <w:lang w:val="en-US"/>
        </w:rPr>
        <w:t>LawTeacher</w:t>
      </w:r>
      <w:proofErr w:type="spellEnd"/>
      <w:r w:rsidRPr="00285057">
        <w:rPr>
          <w:lang w:val="en-US"/>
        </w:rPr>
        <w:t xml:space="preserve">. November 2013. Rules of offer and acceptance. [online]. Available from: https://www.lawteacher.net/free-law-essays/contract-law/rules-of-offer-and-acceptance.php?vref=1 [Accessed </w:t>
      </w:r>
      <w:r w:rsidR="00FF4E4B">
        <w:rPr>
          <w:lang w:val="en-US"/>
        </w:rPr>
        <w:t>14 December</w:t>
      </w:r>
      <w:r w:rsidRPr="00285057">
        <w:rPr>
          <w:lang w:val="en-US"/>
        </w:rPr>
        <w:t>2019].</w:t>
      </w:r>
    </w:p>
    <w:p w14:paraId="41A322D6" w14:textId="2A7C3134" w:rsidR="009E1DFC" w:rsidRDefault="009E1DFC" w:rsidP="004A40B1">
      <w:pPr>
        <w:spacing w:after="0"/>
        <w:jc w:val="both"/>
        <w:rPr>
          <w:lang w:val="en-US"/>
        </w:rPr>
      </w:pPr>
    </w:p>
    <w:p w14:paraId="797859F9" w14:textId="53F4EF5C" w:rsidR="009E1DFC" w:rsidRDefault="009E1DFC" w:rsidP="004A40B1">
      <w:pPr>
        <w:spacing w:after="0"/>
        <w:jc w:val="both"/>
        <w:rPr>
          <w:lang w:val="en-US"/>
        </w:rPr>
      </w:pPr>
      <w:proofErr w:type="spellStart"/>
      <w:r w:rsidRPr="009E1DFC">
        <w:rPr>
          <w:lang w:val="en-US"/>
        </w:rPr>
        <w:t>LawTeacher</w:t>
      </w:r>
      <w:proofErr w:type="spellEnd"/>
      <w:r w:rsidRPr="009E1DFC">
        <w:rPr>
          <w:lang w:val="en-US"/>
        </w:rPr>
        <w:t xml:space="preserve">. November 2013. Acceptance Lecture. [online]. Available from: https://www.lawteacher.net/modules/contract-law/formation/acceptance/lecture.php?vref=1 [Accessed </w:t>
      </w:r>
      <w:r w:rsidR="00FF4E4B">
        <w:rPr>
          <w:lang w:val="en-US"/>
        </w:rPr>
        <w:t>14 December</w:t>
      </w:r>
      <w:r w:rsidRPr="009E1DFC">
        <w:rPr>
          <w:lang w:val="en-US"/>
        </w:rPr>
        <w:t xml:space="preserve"> 2019].</w:t>
      </w:r>
    </w:p>
    <w:p w14:paraId="2B687E28" w14:textId="62BC9D8B" w:rsidR="009E1DFC" w:rsidRDefault="009E1DFC" w:rsidP="004A40B1">
      <w:pPr>
        <w:spacing w:after="0"/>
        <w:jc w:val="both"/>
        <w:rPr>
          <w:lang w:val="en-US"/>
        </w:rPr>
      </w:pPr>
    </w:p>
    <w:p w14:paraId="78F4D59A" w14:textId="63B37BAA" w:rsidR="009E1DFC" w:rsidRDefault="009E1DFC" w:rsidP="004A40B1">
      <w:pPr>
        <w:spacing w:after="0"/>
        <w:jc w:val="both"/>
        <w:rPr>
          <w:lang w:val="en-US"/>
        </w:rPr>
      </w:pPr>
    </w:p>
    <w:p w14:paraId="779C195F" w14:textId="0A5B2359" w:rsidR="009E1DFC" w:rsidRDefault="009E1DFC" w:rsidP="004A40B1">
      <w:pPr>
        <w:spacing w:after="0"/>
        <w:jc w:val="both"/>
        <w:rPr>
          <w:lang w:val="en-US"/>
        </w:rPr>
      </w:pPr>
      <w:proofErr w:type="spellStart"/>
      <w:r w:rsidRPr="009E1DFC">
        <w:rPr>
          <w:lang w:val="en-US"/>
        </w:rPr>
        <w:lastRenderedPageBreak/>
        <w:t>LawTeacher</w:t>
      </w:r>
      <w:proofErr w:type="spellEnd"/>
      <w:r w:rsidRPr="009E1DFC">
        <w:rPr>
          <w:lang w:val="en-US"/>
        </w:rPr>
        <w:t xml:space="preserve">. November 2013. METHODS OF DISCHARGING FROM A CONTRACT. [online]. Available from: https://www.lawteacher.net/free-law-essays/contract-law/methods-of-discharging-from-a-contract-contract-law-essay.php?vref=1 [Accessed </w:t>
      </w:r>
      <w:r w:rsidR="00FF4E4B">
        <w:rPr>
          <w:lang w:val="en-US"/>
        </w:rPr>
        <w:t>22 December</w:t>
      </w:r>
      <w:r w:rsidRPr="009E1DFC">
        <w:rPr>
          <w:lang w:val="en-US"/>
        </w:rPr>
        <w:t xml:space="preserve"> 2019].</w:t>
      </w:r>
    </w:p>
    <w:p w14:paraId="20335CC5" w14:textId="6D7AB3C3" w:rsidR="009E1DFC" w:rsidRDefault="009E1DFC" w:rsidP="004A40B1">
      <w:pPr>
        <w:spacing w:after="0"/>
        <w:jc w:val="both"/>
        <w:rPr>
          <w:lang w:val="en-US"/>
        </w:rPr>
      </w:pPr>
    </w:p>
    <w:p w14:paraId="174F3F42" w14:textId="563A8923" w:rsidR="009E1DFC" w:rsidRDefault="009E1DFC" w:rsidP="009E1DFC">
      <w:pPr>
        <w:spacing w:after="0"/>
        <w:jc w:val="both"/>
        <w:rPr>
          <w:lang w:val="en-US"/>
        </w:rPr>
      </w:pPr>
    </w:p>
    <w:p w14:paraId="449B6886" w14:textId="0580E127" w:rsidR="009E1DFC" w:rsidRDefault="009E1DFC" w:rsidP="009E1DFC">
      <w:pPr>
        <w:spacing w:after="0"/>
        <w:rPr>
          <w:lang w:val="en-US"/>
        </w:rPr>
      </w:pPr>
      <w:bookmarkStart w:id="2" w:name="_Hlk534539904"/>
      <w:r>
        <w:rPr>
          <w:lang w:val="en-US"/>
        </w:rPr>
        <w:t>A</w:t>
      </w:r>
      <w:r>
        <w:rPr>
          <w:lang w:val="en-US"/>
        </w:rPr>
        <w:t xml:space="preserve">ccidents in the work place, Ni Direct </w:t>
      </w:r>
    </w:p>
    <w:bookmarkEnd w:id="2"/>
    <w:p w14:paraId="1905A79C" w14:textId="77777777" w:rsidR="009E1DFC" w:rsidRDefault="009E1DFC" w:rsidP="009E1DFC">
      <w:pPr>
        <w:spacing w:after="0"/>
        <w:rPr>
          <w:lang w:val="en-US"/>
        </w:rPr>
      </w:pPr>
      <w:r>
        <w:rPr>
          <w:lang w:val="en-US"/>
        </w:rPr>
        <w:fldChar w:fldCharType="begin"/>
      </w:r>
      <w:r>
        <w:rPr>
          <w:lang w:val="en-US"/>
        </w:rPr>
        <w:instrText xml:space="preserve"> HYPERLINK "</w:instrText>
      </w:r>
      <w:r w:rsidRPr="00DE50AA">
        <w:rPr>
          <w:lang w:val="en-US"/>
        </w:rPr>
        <w:instrText>https://www.nidirect.gov.uk/articles/accidents-workplace</w:instrText>
      </w:r>
      <w:r>
        <w:rPr>
          <w:lang w:val="en-US"/>
        </w:rPr>
        <w:instrText xml:space="preserve">" </w:instrText>
      </w:r>
      <w:r>
        <w:rPr>
          <w:lang w:val="en-US"/>
        </w:rPr>
        <w:fldChar w:fldCharType="separate"/>
      </w:r>
      <w:r w:rsidRPr="00305E07">
        <w:rPr>
          <w:rStyle w:val="Hyperlink"/>
          <w:lang w:val="en-US"/>
        </w:rPr>
        <w:t>https://www.nidirect.gov.uk/articles/accidents-workplace</w:t>
      </w:r>
      <w:r>
        <w:rPr>
          <w:lang w:val="en-US"/>
        </w:rPr>
        <w:fldChar w:fldCharType="end"/>
      </w:r>
    </w:p>
    <w:p w14:paraId="08FBD7BA" w14:textId="77777777" w:rsidR="009E1DFC" w:rsidRDefault="009E1DFC" w:rsidP="009E1DFC">
      <w:pPr>
        <w:spacing w:after="0"/>
        <w:rPr>
          <w:lang w:val="en-US"/>
        </w:rPr>
      </w:pPr>
    </w:p>
    <w:p w14:paraId="408FBC0F" w14:textId="77777777" w:rsidR="009E1DFC" w:rsidRDefault="009E1DFC" w:rsidP="009E1DFC">
      <w:pPr>
        <w:spacing w:after="0"/>
        <w:rPr>
          <w:lang w:val="en-US"/>
        </w:rPr>
      </w:pPr>
      <w:r>
        <w:rPr>
          <w:lang w:val="en-US"/>
        </w:rPr>
        <w:t>HSE law section 3</w:t>
      </w:r>
    </w:p>
    <w:p w14:paraId="652E5BD8" w14:textId="77777777" w:rsidR="009E1DFC" w:rsidRDefault="009E1DFC" w:rsidP="009E1DFC">
      <w:pPr>
        <w:spacing w:after="0"/>
        <w:rPr>
          <w:lang w:val="en-US"/>
        </w:rPr>
      </w:pPr>
      <w:r w:rsidRPr="00F30B59">
        <w:rPr>
          <w:lang w:val="en-US"/>
        </w:rPr>
        <w:t>http://www.hse.gov.uk/enforce/hswact/scopeapplication.htm</w:t>
      </w:r>
    </w:p>
    <w:p w14:paraId="3E8669DA" w14:textId="77777777" w:rsidR="009E1DFC" w:rsidRDefault="009E1DFC" w:rsidP="009E1DFC">
      <w:pPr>
        <w:spacing w:after="0"/>
        <w:rPr>
          <w:lang w:val="en-US"/>
        </w:rPr>
      </w:pPr>
    </w:p>
    <w:p w14:paraId="459797C0" w14:textId="77777777" w:rsidR="009E1DFC" w:rsidRDefault="009E1DFC" w:rsidP="009E1DFC">
      <w:pPr>
        <w:spacing w:after="0"/>
        <w:rPr>
          <w:lang w:val="en-US"/>
        </w:rPr>
      </w:pPr>
    </w:p>
    <w:p w14:paraId="63A58C7F" w14:textId="77777777" w:rsidR="009E1DFC" w:rsidRDefault="009E1DFC" w:rsidP="009E1DFC">
      <w:pPr>
        <w:spacing w:after="0"/>
        <w:rPr>
          <w:lang w:val="en-US"/>
        </w:rPr>
      </w:pPr>
      <w:bookmarkStart w:id="3" w:name="_Hlk534539952"/>
    </w:p>
    <w:p w14:paraId="610BC59E" w14:textId="1CCE5C30" w:rsidR="009E1DFC" w:rsidRDefault="009E1DFC" w:rsidP="009E1DFC">
      <w:pPr>
        <w:spacing w:after="0"/>
        <w:rPr>
          <w:lang w:val="en-US"/>
        </w:rPr>
      </w:pPr>
      <w:r>
        <w:rPr>
          <w:lang w:val="en-US"/>
        </w:rPr>
        <w:t>Claiming</w:t>
      </w:r>
      <w:r>
        <w:rPr>
          <w:lang w:val="en-US"/>
        </w:rPr>
        <w:t xml:space="preserve"> on </w:t>
      </w:r>
      <w:r>
        <w:rPr>
          <w:lang w:val="en-US"/>
        </w:rPr>
        <w:t>P</w:t>
      </w:r>
      <w:r>
        <w:rPr>
          <w:lang w:val="en-US"/>
        </w:rPr>
        <w:t xml:space="preserve">ersonal </w:t>
      </w:r>
      <w:r>
        <w:rPr>
          <w:lang w:val="en-US"/>
        </w:rPr>
        <w:t>I</w:t>
      </w:r>
      <w:r>
        <w:rPr>
          <w:lang w:val="en-US"/>
        </w:rPr>
        <w:t>njuries, DAS Law</w:t>
      </w:r>
    </w:p>
    <w:bookmarkEnd w:id="3"/>
    <w:p w14:paraId="1BA9244E" w14:textId="77777777" w:rsidR="009E1DFC" w:rsidRDefault="009E1DFC" w:rsidP="009E1DFC">
      <w:pPr>
        <w:spacing w:after="0"/>
        <w:rPr>
          <w:lang w:val="en-US"/>
        </w:rPr>
      </w:pPr>
      <w:r w:rsidRPr="00DE50AA">
        <w:rPr>
          <w:lang w:val="en-US"/>
        </w:rPr>
        <w:t>https://www.daslaw.co.uk/blog/claiming-for-injuries-sustained-in-the-workplace</w:t>
      </w:r>
    </w:p>
    <w:p w14:paraId="42E27903" w14:textId="77777777" w:rsidR="009E1DFC" w:rsidRDefault="009E1DFC" w:rsidP="009E1DFC">
      <w:pPr>
        <w:spacing w:after="0"/>
        <w:rPr>
          <w:lang w:val="en-US"/>
        </w:rPr>
      </w:pPr>
    </w:p>
    <w:p w14:paraId="0549362B" w14:textId="32FDD9B8" w:rsidR="009E1DFC" w:rsidRDefault="009E1DFC" w:rsidP="009E1DFC">
      <w:pPr>
        <w:spacing w:after="0"/>
        <w:rPr>
          <w:lang w:val="en-US"/>
        </w:rPr>
      </w:pPr>
      <w:bookmarkStart w:id="4" w:name="_Hlk534544957"/>
      <w:r>
        <w:rPr>
          <w:lang w:val="en-US"/>
        </w:rPr>
        <w:t>P</w:t>
      </w:r>
      <w:r>
        <w:rPr>
          <w:lang w:val="en-US"/>
        </w:rPr>
        <w:t xml:space="preserve">ublic </w:t>
      </w:r>
      <w:r>
        <w:rPr>
          <w:lang w:val="en-US"/>
        </w:rPr>
        <w:t>P</w:t>
      </w:r>
      <w:r>
        <w:rPr>
          <w:lang w:val="en-US"/>
        </w:rPr>
        <w:t xml:space="preserve">rotection, HSE </w:t>
      </w:r>
    </w:p>
    <w:bookmarkEnd w:id="4"/>
    <w:p w14:paraId="64AFCD6F" w14:textId="77777777" w:rsidR="009E1DFC" w:rsidRDefault="009E1DFC" w:rsidP="009E1DFC">
      <w:pPr>
        <w:spacing w:after="0"/>
        <w:rPr>
          <w:lang w:val="en-US"/>
        </w:rPr>
      </w:pPr>
      <w:r>
        <w:rPr>
          <w:lang w:val="en-US"/>
        </w:rPr>
        <w:fldChar w:fldCharType="begin"/>
      </w:r>
      <w:r>
        <w:rPr>
          <w:lang w:val="en-US"/>
        </w:rPr>
        <w:instrText xml:space="preserve"> HYPERLINK "</w:instrText>
      </w:r>
      <w:r w:rsidRPr="00D37058">
        <w:rPr>
          <w:lang w:val="en-US"/>
        </w:rPr>
        <w:instrText>http://www.hse.gov.uk/construction/safetytopics/publicprotection.htm</w:instrText>
      </w:r>
      <w:r>
        <w:rPr>
          <w:lang w:val="en-US"/>
        </w:rPr>
        <w:instrText xml:space="preserve">" </w:instrText>
      </w:r>
      <w:r>
        <w:rPr>
          <w:lang w:val="en-US"/>
        </w:rPr>
        <w:fldChar w:fldCharType="separate"/>
      </w:r>
      <w:r w:rsidRPr="00305E07">
        <w:rPr>
          <w:rStyle w:val="Hyperlink"/>
          <w:lang w:val="en-US"/>
        </w:rPr>
        <w:t>http://www.hse.gov.uk/construction/safetytopics/publicprotection.htm</w:t>
      </w:r>
      <w:r>
        <w:rPr>
          <w:lang w:val="en-US"/>
        </w:rPr>
        <w:fldChar w:fldCharType="end"/>
      </w:r>
    </w:p>
    <w:p w14:paraId="476915E8" w14:textId="77777777" w:rsidR="009E1DFC" w:rsidRDefault="009E1DFC" w:rsidP="009E1DFC">
      <w:pPr>
        <w:spacing w:after="0"/>
        <w:rPr>
          <w:lang w:val="en-US"/>
        </w:rPr>
      </w:pPr>
    </w:p>
    <w:p w14:paraId="257A456B" w14:textId="77777777" w:rsidR="009E1DFC" w:rsidRDefault="009E1DFC" w:rsidP="009E1DFC">
      <w:pPr>
        <w:spacing w:after="0"/>
        <w:rPr>
          <w:lang w:val="en-US"/>
        </w:rPr>
      </w:pPr>
      <w:bookmarkStart w:id="5" w:name="_Hlk534545672"/>
      <w:r>
        <w:rPr>
          <w:lang w:val="en-US"/>
        </w:rPr>
        <w:t>(Press Association, May 2017, The Guardian)</w:t>
      </w:r>
    </w:p>
    <w:bookmarkEnd w:id="5"/>
    <w:p w14:paraId="5EC5CF12" w14:textId="77777777" w:rsidR="009E1DFC" w:rsidRPr="00D37058" w:rsidRDefault="009E1DFC" w:rsidP="009E1DFC">
      <w:pPr>
        <w:spacing w:after="0"/>
        <w:rPr>
          <w:lang w:val="en-US"/>
        </w:rPr>
      </w:pPr>
      <w:r w:rsidRPr="00D37058">
        <w:rPr>
          <w:lang w:val="en-US"/>
        </w:rPr>
        <w:t>https://www.theguardian.com/uk-news/2017/may/05/kelvin-adsett-jailed-amanda-telfer-death</w:t>
      </w:r>
    </w:p>
    <w:p w14:paraId="1EABEC78" w14:textId="77777777" w:rsidR="009E1DFC" w:rsidRPr="004A40B1" w:rsidRDefault="009E1DFC" w:rsidP="004A40B1">
      <w:pPr>
        <w:spacing w:after="0"/>
        <w:jc w:val="both"/>
        <w:rPr>
          <w:lang w:val="en-US"/>
        </w:rPr>
      </w:pPr>
    </w:p>
    <w:sectPr w:rsidR="009E1DFC" w:rsidRPr="004A40B1" w:rsidSect="00BB09B7">
      <w:footerReference w:type="even" r:id="rId8"/>
      <w:footerReference w:type="default" r:id="rId9"/>
      <w:pgSz w:w="11906" w:h="16838"/>
      <w:pgMar w:top="1440" w:right="1440" w:bottom="1440" w:left="1440"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8694D" w14:textId="77777777" w:rsidR="00BA1244" w:rsidRDefault="00BA1244" w:rsidP="000171D0">
      <w:pPr>
        <w:spacing w:after="0" w:line="240" w:lineRule="auto"/>
      </w:pPr>
      <w:r>
        <w:separator/>
      </w:r>
    </w:p>
  </w:endnote>
  <w:endnote w:type="continuationSeparator" w:id="0">
    <w:p w14:paraId="445AB943" w14:textId="77777777" w:rsidR="00BA1244" w:rsidRDefault="00BA1244" w:rsidP="00017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F5424" w14:textId="3CB69663" w:rsidR="00670D63" w:rsidRDefault="00670D63" w:rsidP="00670D63">
    <w:pPr>
      <w:spacing w:after="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B43A5" w14:textId="61AE63C0" w:rsidR="00670D63" w:rsidRDefault="00670D63" w:rsidP="00670D63">
    <w:pPr>
      <w:spacing w:after="0"/>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399FC" w14:textId="77777777" w:rsidR="00BA1244" w:rsidRDefault="00BA1244" w:rsidP="000171D0">
      <w:pPr>
        <w:spacing w:after="0" w:line="240" w:lineRule="auto"/>
      </w:pPr>
      <w:r>
        <w:separator/>
      </w:r>
    </w:p>
  </w:footnote>
  <w:footnote w:type="continuationSeparator" w:id="0">
    <w:p w14:paraId="54311837" w14:textId="77777777" w:rsidR="00BA1244" w:rsidRDefault="00BA1244" w:rsidP="000171D0">
      <w:pPr>
        <w:spacing w:after="0" w:line="240" w:lineRule="auto"/>
      </w:pPr>
      <w:r>
        <w:continuationSeparator/>
      </w:r>
    </w:p>
  </w:footnote>
  <w:footnote w:id="1">
    <w:p w14:paraId="48E4AFA8" w14:textId="7863E372" w:rsidR="00BB09B7" w:rsidRPr="00537A8F" w:rsidRDefault="00537A8F" w:rsidP="00537A8F">
      <w:pPr>
        <w:spacing w:after="0"/>
        <w:jc w:val="both"/>
        <w:rPr>
          <w:sz w:val="18"/>
          <w:szCs w:val="18"/>
        </w:rPr>
      </w:pPr>
      <w:r w:rsidRPr="00537A8F">
        <w:rPr>
          <w:rStyle w:val="FootnoteReference"/>
          <w:sz w:val="18"/>
          <w:szCs w:val="18"/>
        </w:rPr>
        <w:footnoteRef/>
      </w:r>
      <w:r w:rsidRPr="00537A8F">
        <w:rPr>
          <w:sz w:val="18"/>
          <w:szCs w:val="18"/>
        </w:rPr>
        <w:t>Currie V Misa [1875]</w:t>
      </w:r>
      <w:r w:rsidRPr="00537A8F">
        <w:rPr>
          <w:rStyle w:val="FootnoteReference"/>
          <w:sz w:val="18"/>
          <w:szCs w:val="18"/>
        </w:rPr>
        <w:footnoteRef/>
      </w:r>
      <w:r w:rsidRPr="00537A8F">
        <w:rPr>
          <w:sz w:val="18"/>
          <w:szCs w:val="18"/>
        </w:rPr>
        <w:t xml:space="preserve"> LR 10 Ex 153 LR 1 App Cas 554</w:t>
      </w:r>
    </w:p>
  </w:footnote>
  <w:footnote w:id="2">
    <w:p w14:paraId="60AFDC9A" w14:textId="44BEDF9E" w:rsidR="00537A8F" w:rsidRPr="00537A8F" w:rsidRDefault="00537A8F" w:rsidP="00537A8F">
      <w:pPr>
        <w:pStyle w:val="FootnoteText"/>
        <w:rPr>
          <w:sz w:val="18"/>
          <w:szCs w:val="18"/>
        </w:rPr>
      </w:pPr>
      <w:r w:rsidRPr="00537A8F">
        <w:rPr>
          <w:rStyle w:val="FootnoteReference"/>
          <w:sz w:val="18"/>
          <w:szCs w:val="18"/>
        </w:rPr>
        <w:footnoteRef/>
      </w:r>
      <w:r w:rsidRPr="00537A8F">
        <w:rPr>
          <w:sz w:val="18"/>
          <w:szCs w:val="18"/>
        </w:rPr>
        <w:t xml:space="preserve"> </w:t>
      </w:r>
      <w:r w:rsidRPr="00537A8F">
        <w:rPr>
          <w:sz w:val="18"/>
          <w:szCs w:val="18"/>
        </w:rPr>
        <w:t>Thomas Vs Thomas [1842] 2 QB 851</w:t>
      </w:r>
    </w:p>
  </w:footnote>
  <w:footnote w:id="3">
    <w:p w14:paraId="79B05BFF" w14:textId="4122C8E3" w:rsidR="00537A8F" w:rsidRPr="00537A8F" w:rsidRDefault="00537A8F" w:rsidP="00537A8F">
      <w:pPr>
        <w:pStyle w:val="FootnoteText"/>
        <w:rPr>
          <w:sz w:val="18"/>
          <w:szCs w:val="18"/>
          <w:lang w:val="en-US"/>
        </w:rPr>
      </w:pPr>
      <w:r w:rsidRPr="00537A8F">
        <w:rPr>
          <w:rStyle w:val="FootnoteReference"/>
          <w:sz w:val="18"/>
          <w:szCs w:val="18"/>
        </w:rPr>
        <w:footnoteRef/>
      </w:r>
      <w:r w:rsidRPr="00537A8F">
        <w:rPr>
          <w:sz w:val="18"/>
          <w:szCs w:val="18"/>
        </w:rPr>
        <w:t xml:space="preserve"> </w:t>
      </w:r>
      <w:r w:rsidRPr="00537A8F">
        <w:rPr>
          <w:sz w:val="18"/>
          <w:szCs w:val="18"/>
        </w:rPr>
        <w:t xml:space="preserve">Collins V </w:t>
      </w:r>
      <w:proofErr w:type="spellStart"/>
      <w:r w:rsidRPr="00537A8F">
        <w:rPr>
          <w:sz w:val="18"/>
          <w:szCs w:val="18"/>
        </w:rPr>
        <w:t>Godefroy</w:t>
      </w:r>
      <w:proofErr w:type="spellEnd"/>
      <w:r w:rsidRPr="00537A8F">
        <w:rPr>
          <w:sz w:val="18"/>
          <w:szCs w:val="18"/>
        </w:rPr>
        <w:t xml:space="preserve"> [1831</w:t>
      </w:r>
      <w:proofErr w:type="gramStart"/>
      <w:r w:rsidRPr="00537A8F">
        <w:rPr>
          <w:sz w:val="18"/>
          <w:szCs w:val="18"/>
        </w:rPr>
        <w:t>]  B</w:t>
      </w:r>
      <w:proofErr w:type="gramEnd"/>
      <w:r w:rsidRPr="00537A8F">
        <w:rPr>
          <w:sz w:val="18"/>
          <w:szCs w:val="18"/>
        </w:rPr>
        <w:t xml:space="preserve"> &amp; AD 950</w:t>
      </w:r>
    </w:p>
  </w:footnote>
  <w:footnote w:id="4">
    <w:p w14:paraId="14632203" w14:textId="54F92487" w:rsidR="00537A8F" w:rsidRPr="00537A8F" w:rsidRDefault="00537A8F" w:rsidP="00537A8F">
      <w:pPr>
        <w:pStyle w:val="FootnoteText"/>
        <w:rPr>
          <w:sz w:val="18"/>
          <w:szCs w:val="18"/>
          <w:lang w:val="en-US"/>
        </w:rPr>
      </w:pPr>
      <w:r w:rsidRPr="00537A8F">
        <w:rPr>
          <w:rStyle w:val="FootnoteReference"/>
          <w:sz w:val="18"/>
          <w:szCs w:val="18"/>
        </w:rPr>
        <w:footnoteRef/>
      </w:r>
      <w:r w:rsidRPr="00537A8F">
        <w:rPr>
          <w:sz w:val="18"/>
          <w:szCs w:val="18"/>
        </w:rPr>
        <w:t xml:space="preserve"> </w:t>
      </w:r>
      <w:proofErr w:type="spellStart"/>
      <w:r w:rsidRPr="00537A8F">
        <w:rPr>
          <w:sz w:val="18"/>
          <w:szCs w:val="18"/>
        </w:rPr>
        <w:t>Stilk</w:t>
      </w:r>
      <w:proofErr w:type="spellEnd"/>
      <w:r w:rsidRPr="00537A8F">
        <w:rPr>
          <w:sz w:val="18"/>
          <w:szCs w:val="18"/>
        </w:rPr>
        <w:t xml:space="preserve"> V Myrick [1809] ER 1168</w:t>
      </w:r>
    </w:p>
  </w:footnote>
  <w:footnote w:id="5">
    <w:p w14:paraId="5385455A" w14:textId="689C86D7" w:rsidR="00537A8F" w:rsidRPr="00537A8F" w:rsidRDefault="00537A8F" w:rsidP="00537A8F">
      <w:pPr>
        <w:pStyle w:val="FootnoteText"/>
        <w:rPr>
          <w:sz w:val="18"/>
          <w:szCs w:val="18"/>
          <w:lang w:val="en-US"/>
        </w:rPr>
      </w:pPr>
      <w:r w:rsidRPr="00537A8F">
        <w:rPr>
          <w:rStyle w:val="FootnoteReference"/>
          <w:sz w:val="18"/>
          <w:szCs w:val="18"/>
        </w:rPr>
        <w:footnoteRef/>
      </w:r>
      <w:r w:rsidRPr="00537A8F">
        <w:rPr>
          <w:sz w:val="18"/>
          <w:szCs w:val="18"/>
        </w:rPr>
        <w:t xml:space="preserve"> </w:t>
      </w:r>
      <w:r w:rsidRPr="00537A8F">
        <w:rPr>
          <w:sz w:val="18"/>
          <w:szCs w:val="18"/>
        </w:rPr>
        <w:t>Hartley v Ponsonby [1857] 7 E B 872</w:t>
      </w:r>
    </w:p>
  </w:footnote>
  <w:footnote w:id="6">
    <w:p w14:paraId="1C082993" w14:textId="2E8EE836" w:rsidR="00537A8F" w:rsidRPr="00537A8F" w:rsidRDefault="00537A8F" w:rsidP="00537A8F">
      <w:pPr>
        <w:pStyle w:val="FootnoteText"/>
        <w:rPr>
          <w:sz w:val="18"/>
          <w:szCs w:val="18"/>
          <w:lang w:val="en-US"/>
        </w:rPr>
      </w:pPr>
      <w:r w:rsidRPr="00537A8F">
        <w:rPr>
          <w:rStyle w:val="FootnoteReference"/>
          <w:sz w:val="18"/>
          <w:szCs w:val="18"/>
        </w:rPr>
        <w:footnoteRef/>
      </w:r>
      <w:r w:rsidRPr="00537A8F">
        <w:rPr>
          <w:sz w:val="18"/>
          <w:szCs w:val="18"/>
        </w:rPr>
        <w:t xml:space="preserve"> </w:t>
      </w:r>
      <w:r w:rsidRPr="00537A8F">
        <w:rPr>
          <w:sz w:val="18"/>
          <w:szCs w:val="18"/>
        </w:rPr>
        <w:t>Re McArdle [1951] Ch 669</w:t>
      </w:r>
    </w:p>
  </w:footnote>
  <w:footnote w:id="7">
    <w:p w14:paraId="276A828F" w14:textId="65FED7A8" w:rsidR="00537A8F" w:rsidRPr="00537A8F" w:rsidRDefault="00537A8F" w:rsidP="00537A8F">
      <w:pPr>
        <w:pStyle w:val="FootnoteText"/>
        <w:rPr>
          <w:lang w:val="en-US"/>
        </w:rPr>
      </w:pPr>
      <w:r w:rsidRPr="00537A8F">
        <w:rPr>
          <w:rStyle w:val="FootnoteReference"/>
          <w:sz w:val="18"/>
          <w:szCs w:val="18"/>
        </w:rPr>
        <w:footnoteRef/>
      </w:r>
      <w:r w:rsidRPr="00537A8F">
        <w:rPr>
          <w:sz w:val="18"/>
          <w:szCs w:val="18"/>
        </w:rPr>
        <w:t xml:space="preserve"> </w:t>
      </w:r>
      <w:r w:rsidRPr="00537A8F">
        <w:rPr>
          <w:sz w:val="18"/>
          <w:szCs w:val="18"/>
        </w:rPr>
        <w:t xml:space="preserve">Pao On V Lau </w:t>
      </w:r>
      <w:proofErr w:type="spellStart"/>
      <w:r w:rsidRPr="00537A8F">
        <w:rPr>
          <w:sz w:val="18"/>
          <w:szCs w:val="18"/>
        </w:rPr>
        <w:t>Yiu</w:t>
      </w:r>
      <w:proofErr w:type="spellEnd"/>
      <w:r w:rsidRPr="00537A8F">
        <w:rPr>
          <w:sz w:val="18"/>
          <w:szCs w:val="18"/>
        </w:rPr>
        <w:t xml:space="preserve"> Long [1980] AC 614</w:t>
      </w:r>
    </w:p>
  </w:footnote>
  <w:footnote w:id="8">
    <w:p w14:paraId="1F0BFED7" w14:textId="17F00B01" w:rsidR="00537A8F" w:rsidRPr="00537A8F" w:rsidRDefault="00537A8F">
      <w:pPr>
        <w:pStyle w:val="FootnoteText"/>
        <w:rPr>
          <w:lang w:val="en-US"/>
        </w:rPr>
      </w:pPr>
      <w:r>
        <w:rPr>
          <w:rStyle w:val="FootnoteReference"/>
        </w:rPr>
        <w:footnoteRef/>
      </w:r>
      <w:r>
        <w:t xml:space="preserve"> </w:t>
      </w:r>
      <w:proofErr w:type="spellStart"/>
      <w:r>
        <w:t>Foakes</w:t>
      </w:r>
      <w:proofErr w:type="spellEnd"/>
      <w:r>
        <w:t xml:space="preserve"> V Beer [1883] LR 9 App Cas 605</w:t>
      </w:r>
    </w:p>
  </w:footnote>
  <w:footnote w:id="9">
    <w:p w14:paraId="43CC7A3E" w14:textId="136EB8AA" w:rsidR="00537A8F" w:rsidRPr="00537A8F" w:rsidRDefault="00537A8F">
      <w:pPr>
        <w:pStyle w:val="FootnoteText"/>
        <w:rPr>
          <w:lang w:val="en-US"/>
        </w:rPr>
      </w:pPr>
      <w:r>
        <w:rPr>
          <w:rStyle w:val="FootnoteReference"/>
        </w:rPr>
        <w:footnoteRef/>
      </w:r>
      <w:r>
        <w:t xml:space="preserve"> </w:t>
      </w:r>
      <w:proofErr w:type="spellStart"/>
      <w:r>
        <w:t>Pinnel</w:t>
      </w:r>
      <w:proofErr w:type="spellEnd"/>
      <w:r>
        <w:t xml:space="preserve"> [1602] 5 Co Rep 115</w:t>
      </w:r>
    </w:p>
  </w:footnote>
  <w:footnote w:id="10">
    <w:p w14:paraId="6456AFB2" w14:textId="1EADB1E2" w:rsidR="00537A8F" w:rsidRPr="00537A8F" w:rsidRDefault="00537A8F">
      <w:pPr>
        <w:pStyle w:val="FootnoteText"/>
        <w:rPr>
          <w:lang w:val="en-US"/>
        </w:rPr>
      </w:pPr>
      <w:r>
        <w:rPr>
          <w:rStyle w:val="FootnoteReference"/>
        </w:rPr>
        <w:footnoteRef/>
      </w:r>
      <w:r>
        <w:t xml:space="preserve"> </w:t>
      </w:r>
      <w:r>
        <w:t>Central London Property Trust Ltd v High Trees House Ltd [1947] KB 130</w:t>
      </w:r>
    </w:p>
  </w:footnote>
  <w:footnote w:id="11">
    <w:p w14:paraId="3465EEE4" w14:textId="2FCF3795" w:rsidR="00DC72DE" w:rsidRPr="00DC72DE" w:rsidRDefault="00DC72DE" w:rsidP="00DC72DE">
      <w:pPr>
        <w:jc w:val="both"/>
      </w:pPr>
      <w:r>
        <w:rPr>
          <w:rStyle w:val="FootnoteReference"/>
        </w:rPr>
        <w:footnoteRef/>
      </w:r>
      <w:r>
        <w:t xml:space="preserve"> </w:t>
      </w:r>
      <w:r>
        <w:t xml:space="preserve">Combe v Combe [1951] 2 KB </w:t>
      </w:r>
    </w:p>
  </w:footnote>
  <w:footnote w:id="12">
    <w:p w14:paraId="3D5BD629" w14:textId="68D6DB11" w:rsidR="00DC72DE" w:rsidRPr="00DC72DE" w:rsidRDefault="00DC72DE">
      <w:pPr>
        <w:pStyle w:val="FootnoteText"/>
        <w:rPr>
          <w:lang w:val="en-US"/>
        </w:rPr>
      </w:pPr>
      <w:r>
        <w:rPr>
          <w:rStyle w:val="FootnoteReference"/>
        </w:rPr>
        <w:footnoteRef/>
      </w:r>
      <w:r>
        <w:t xml:space="preserve"> </w:t>
      </w:r>
      <w:r>
        <w:t>The Post Chaser [1982] 1 All ER 19</w:t>
      </w:r>
    </w:p>
  </w:footnote>
  <w:footnote w:id="13">
    <w:p w14:paraId="695F67E4" w14:textId="7B2E06FE" w:rsidR="00DC72DE" w:rsidRPr="00DC72DE" w:rsidRDefault="00DC72DE">
      <w:pPr>
        <w:pStyle w:val="FootnoteText"/>
        <w:rPr>
          <w:lang w:val="en-US"/>
        </w:rPr>
      </w:pPr>
      <w:r>
        <w:rPr>
          <w:rStyle w:val="FootnoteReference"/>
        </w:rPr>
        <w:footnoteRef/>
      </w:r>
      <w:r>
        <w:t xml:space="preserve"> </w:t>
      </w:r>
      <w:proofErr w:type="spellStart"/>
      <w:r>
        <w:t>Storer</w:t>
      </w:r>
      <w:proofErr w:type="spellEnd"/>
      <w:r>
        <w:t xml:space="preserve"> V </w:t>
      </w:r>
      <w:proofErr w:type="spellStart"/>
      <w:r>
        <w:t>Machester</w:t>
      </w:r>
      <w:proofErr w:type="spellEnd"/>
      <w:r>
        <w:t xml:space="preserve"> City Council [1974] 1 WLR 1403</w:t>
      </w:r>
    </w:p>
  </w:footnote>
  <w:footnote w:id="14">
    <w:p w14:paraId="44E72FED" w14:textId="642F16BF" w:rsidR="00DC72DE" w:rsidRPr="00DC72DE" w:rsidRDefault="00DC72DE">
      <w:pPr>
        <w:pStyle w:val="FootnoteText"/>
        <w:rPr>
          <w:lang w:val="en-US"/>
        </w:rPr>
      </w:pPr>
      <w:r>
        <w:rPr>
          <w:rStyle w:val="FootnoteReference"/>
        </w:rPr>
        <w:footnoteRef/>
      </w:r>
      <w:r>
        <w:t xml:space="preserve"> </w:t>
      </w:r>
      <w:r>
        <w:t>Taylor v Laird [1856] 25 LJ Ex 329</w:t>
      </w:r>
    </w:p>
  </w:footnote>
  <w:footnote w:id="15">
    <w:p w14:paraId="694202D3" w14:textId="5B2D6AF0" w:rsidR="00DC72DE" w:rsidRPr="00DC72DE" w:rsidRDefault="00DC72DE">
      <w:pPr>
        <w:pStyle w:val="FootnoteText"/>
        <w:rPr>
          <w:lang w:val="en-US"/>
        </w:rPr>
      </w:pPr>
      <w:r>
        <w:rPr>
          <w:rStyle w:val="FootnoteReference"/>
        </w:rPr>
        <w:footnoteRef/>
      </w:r>
      <w:r>
        <w:t xml:space="preserve"> </w:t>
      </w:r>
      <w:r>
        <w:t>Gibson v Manchester City Council [1979] 1 WLR 294</w:t>
      </w:r>
    </w:p>
  </w:footnote>
  <w:footnote w:id="16">
    <w:p w14:paraId="3FC63EAE" w14:textId="7444E86D" w:rsidR="00DC72DE" w:rsidRPr="00DC72DE" w:rsidRDefault="00DC72DE">
      <w:pPr>
        <w:pStyle w:val="FootnoteText"/>
        <w:rPr>
          <w:lang w:val="en-US"/>
        </w:rPr>
      </w:pPr>
      <w:r>
        <w:rPr>
          <w:rStyle w:val="FootnoteReference"/>
        </w:rPr>
        <w:footnoteRef/>
      </w:r>
      <w:r>
        <w:t xml:space="preserve"> </w:t>
      </w:r>
      <w:r>
        <w:t>Fisher V Bell [961] QB 394</w:t>
      </w:r>
    </w:p>
  </w:footnote>
  <w:footnote w:id="17">
    <w:p w14:paraId="74E74BBD" w14:textId="6EBEB5F0" w:rsidR="00DC72DE" w:rsidRPr="00DC72DE" w:rsidRDefault="00DC72DE">
      <w:pPr>
        <w:pStyle w:val="FootnoteText"/>
        <w:rPr>
          <w:lang w:val="en-US"/>
        </w:rPr>
      </w:pPr>
      <w:r>
        <w:rPr>
          <w:rStyle w:val="FootnoteReference"/>
        </w:rPr>
        <w:footnoteRef/>
      </w:r>
      <w:r>
        <w:t xml:space="preserve"> </w:t>
      </w:r>
      <w:r>
        <w:t xml:space="preserve">Pharmaceutical Society of Great Britain V Boots cash chemist Ltd [1953] EWCA </w:t>
      </w:r>
      <w:proofErr w:type="spellStart"/>
      <w:r>
        <w:t>Civ</w:t>
      </w:r>
      <w:proofErr w:type="spellEnd"/>
      <w:r>
        <w:t xml:space="preserve"> 6</w:t>
      </w:r>
    </w:p>
  </w:footnote>
  <w:footnote w:id="18">
    <w:p w14:paraId="17A95B94" w14:textId="1EEE5C39" w:rsidR="00DC72DE" w:rsidRPr="00DC72DE" w:rsidRDefault="00DC72DE">
      <w:pPr>
        <w:pStyle w:val="FootnoteText"/>
        <w:rPr>
          <w:lang w:val="en-US"/>
        </w:rPr>
      </w:pPr>
      <w:r>
        <w:rPr>
          <w:rStyle w:val="FootnoteReference"/>
        </w:rPr>
        <w:footnoteRef/>
      </w:r>
      <w:r>
        <w:t xml:space="preserve"> </w:t>
      </w:r>
      <w:r>
        <w:t>Partridge V Crittenden [1968] 2 All ER 421</w:t>
      </w:r>
    </w:p>
  </w:footnote>
  <w:footnote w:id="19">
    <w:p w14:paraId="1AE7EEBC" w14:textId="0521F2B8" w:rsidR="00DC72DE" w:rsidRPr="00DC72DE" w:rsidRDefault="00DC72DE">
      <w:pPr>
        <w:pStyle w:val="FootnoteText"/>
        <w:rPr>
          <w:lang w:val="en-US"/>
        </w:rPr>
      </w:pPr>
      <w:r>
        <w:rPr>
          <w:rStyle w:val="FootnoteReference"/>
        </w:rPr>
        <w:footnoteRef/>
      </w:r>
      <w:r>
        <w:t xml:space="preserve"> </w:t>
      </w:r>
      <w:r>
        <w:t>Carlill V Carbolic Smoke Ball Co Ltd [1893] 1 QB 256</w:t>
      </w:r>
    </w:p>
  </w:footnote>
  <w:footnote w:id="20">
    <w:p w14:paraId="58436A54" w14:textId="60D0D7E1" w:rsidR="00DC72DE" w:rsidRPr="00DC72DE" w:rsidRDefault="00DC72DE">
      <w:pPr>
        <w:pStyle w:val="FootnoteText"/>
        <w:rPr>
          <w:lang w:val="en-US"/>
        </w:rPr>
      </w:pPr>
      <w:r>
        <w:rPr>
          <w:rStyle w:val="FootnoteReference"/>
        </w:rPr>
        <w:footnoteRef/>
      </w:r>
      <w:r>
        <w:t xml:space="preserve"> </w:t>
      </w:r>
      <w:proofErr w:type="spellStart"/>
      <w:r>
        <w:t>Thorton</w:t>
      </w:r>
      <w:proofErr w:type="spellEnd"/>
      <w:r>
        <w:t xml:space="preserve"> V Shoe Lane Parking [1971] 2 QB 163,</w:t>
      </w:r>
    </w:p>
  </w:footnote>
  <w:footnote w:id="21">
    <w:p w14:paraId="0366BB13" w14:textId="4C576ED4" w:rsidR="00DC72DE" w:rsidRPr="00DC72DE" w:rsidRDefault="00DC72DE">
      <w:pPr>
        <w:pStyle w:val="FootnoteText"/>
        <w:rPr>
          <w:lang w:val="en-US"/>
        </w:rPr>
      </w:pPr>
      <w:r>
        <w:rPr>
          <w:rStyle w:val="FootnoteReference"/>
        </w:rPr>
        <w:footnoteRef/>
      </w:r>
      <w:r>
        <w:t xml:space="preserve"> </w:t>
      </w:r>
      <w:r>
        <w:t>Routledge v Grant [1828] 4 Bing 653</w:t>
      </w:r>
    </w:p>
  </w:footnote>
  <w:footnote w:id="22">
    <w:p w14:paraId="1408077F" w14:textId="111CEBD4" w:rsidR="00DC72DE" w:rsidRPr="00DC72DE" w:rsidRDefault="00DC72DE">
      <w:pPr>
        <w:pStyle w:val="FootnoteText"/>
        <w:rPr>
          <w:lang w:val="en-US"/>
        </w:rPr>
      </w:pPr>
      <w:r>
        <w:rPr>
          <w:rStyle w:val="FootnoteReference"/>
        </w:rPr>
        <w:footnoteRef/>
      </w:r>
      <w:r>
        <w:t xml:space="preserve"> </w:t>
      </w:r>
      <w:r>
        <w:t>Ramsgate Victoria Hotel V Montefiore [1866] LR 1 Ex 109.</w:t>
      </w:r>
    </w:p>
  </w:footnote>
  <w:footnote w:id="23">
    <w:p w14:paraId="1CCA1048" w14:textId="6E23A4B2" w:rsidR="00DC72DE" w:rsidRPr="00DC72DE" w:rsidRDefault="00DC72DE" w:rsidP="00DC72DE">
      <w:pPr>
        <w:jc w:val="both"/>
      </w:pPr>
      <w:r>
        <w:rPr>
          <w:rStyle w:val="FootnoteReference"/>
        </w:rPr>
        <w:footnoteRef/>
      </w:r>
      <w:r>
        <w:t xml:space="preserve"> </w:t>
      </w:r>
      <w:r>
        <w:t xml:space="preserve">Hyde v Wrench [1840] 49 ER 132. </w:t>
      </w:r>
    </w:p>
  </w:footnote>
  <w:footnote w:id="24">
    <w:p w14:paraId="2BE38F3E" w14:textId="0747F329" w:rsidR="00DC72DE" w:rsidRPr="00DC72DE" w:rsidRDefault="00DC72DE">
      <w:pPr>
        <w:pStyle w:val="FootnoteText"/>
        <w:rPr>
          <w:lang w:val="en-US"/>
        </w:rPr>
      </w:pPr>
      <w:r>
        <w:rPr>
          <w:rStyle w:val="FootnoteReference"/>
        </w:rPr>
        <w:footnoteRef/>
      </w:r>
      <w:r>
        <w:t xml:space="preserve"> </w:t>
      </w:r>
      <w:r>
        <w:t>Jacques &amp; co. V McLean [1880] 5 QBD 346,</w:t>
      </w:r>
    </w:p>
  </w:footnote>
  <w:footnote w:id="25">
    <w:p w14:paraId="19F037F5" w14:textId="3A5C5759" w:rsidR="00DC72DE" w:rsidRPr="00DC72DE" w:rsidRDefault="00DC72DE">
      <w:pPr>
        <w:pStyle w:val="FootnoteText"/>
        <w:rPr>
          <w:lang w:val="en-US"/>
        </w:rPr>
      </w:pPr>
      <w:r>
        <w:rPr>
          <w:rStyle w:val="FootnoteReference"/>
        </w:rPr>
        <w:footnoteRef/>
      </w:r>
      <w:r>
        <w:t xml:space="preserve"> </w:t>
      </w:r>
      <w:r>
        <w:t>Henthorn v Fraser [1892] 2 CH 27</w:t>
      </w:r>
    </w:p>
  </w:footnote>
  <w:footnote w:id="26">
    <w:p w14:paraId="3D910EBC" w14:textId="3AEC05DE" w:rsidR="00DC72DE" w:rsidRPr="00DC72DE" w:rsidRDefault="00DC72DE">
      <w:pPr>
        <w:pStyle w:val="FootnoteText"/>
        <w:rPr>
          <w:lang w:val="en-US"/>
        </w:rPr>
      </w:pPr>
      <w:r>
        <w:rPr>
          <w:rStyle w:val="FootnoteReference"/>
        </w:rPr>
        <w:footnoteRef/>
      </w:r>
      <w:r>
        <w:t xml:space="preserve"> </w:t>
      </w:r>
      <w:r>
        <w:t xml:space="preserve">Adams v Lindsell [1818] </w:t>
      </w:r>
      <w:proofErr w:type="spellStart"/>
      <w:r>
        <w:t>Ald</w:t>
      </w:r>
      <w:proofErr w:type="spellEnd"/>
      <w:r>
        <w:t xml:space="preserve"> 861.</w:t>
      </w:r>
    </w:p>
  </w:footnote>
  <w:footnote w:id="27">
    <w:p w14:paraId="1A3ED8B7" w14:textId="669DFE76" w:rsidR="00DC72DE" w:rsidRPr="00DC72DE" w:rsidRDefault="00DC72DE">
      <w:pPr>
        <w:pStyle w:val="FootnoteText"/>
        <w:rPr>
          <w:lang w:val="en-US"/>
        </w:rPr>
      </w:pPr>
      <w:r>
        <w:rPr>
          <w:rStyle w:val="FootnoteReference"/>
        </w:rPr>
        <w:footnoteRef/>
      </w:r>
      <w:r>
        <w:t xml:space="preserve"> </w:t>
      </w:r>
      <w:proofErr w:type="spellStart"/>
      <w:r>
        <w:t>Felthouse</w:t>
      </w:r>
      <w:proofErr w:type="spellEnd"/>
      <w:r>
        <w:t xml:space="preserve"> v Bindley [1862] EWHC CP J35</w:t>
      </w:r>
    </w:p>
  </w:footnote>
  <w:footnote w:id="28">
    <w:p w14:paraId="3FF63E04" w14:textId="21F10F50" w:rsidR="00DC72DE" w:rsidRPr="00DC72DE" w:rsidRDefault="00DC72DE">
      <w:pPr>
        <w:pStyle w:val="FootnoteText"/>
        <w:rPr>
          <w:lang w:val="en-US"/>
        </w:rPr>
      </w:pPr>
      <w:r>
        <w:rPr>
          <w:rStyle w:val="FootnoteReference"/>
        </w:rPr>
        <w:footnoteRef/>
      </w:r>
      <w:r>
        <w:t xml:space="preserve"> </w:t>
      </w:r>
      <w:proofErr w:type="spellStart"/>
      <w:r>
        <w:t>Brogden</w:t>
      </w:r>
      <w:proofErr w:type="spellEnd"/>
      <w:r>
        <w:t xml:space="preserve"> V Metropolitan Railway [1877] 2 App Case 666</w:t>
      </w:r>
    </w:p>
  </w:footnote>
  <w:footnote w:id="29">
    <w:p w14:paraId="1A96348F" w14:textId="55C17940" w:rsidR="00DC72DE" w:rsidRPr="00DC72DE" w:rsidRDefault="00DC72DE">
      <w:pPr>
        <w:pStyle w:val="FootnoteText"/>
        <w:rPr>
          <w:lang w:val="en-US"/>
        </w:rPr>
      </w:pPr>
      <w:r>
        <w:rPr>
          <w:rStyle w:val="FootnoteReference"/>
        </w:rPr>
        <w:footnoteRef/>
      </w:r>
      <w:r>
        <w:t xml:space="preserve"> </w:t>
      </w:r>
      <w:r>
        <w:t xml:space="preserve">Alfred </w:t>
      </w:r>
      <w:proofErr w:type="spellStart"/>
      <w:r>
        <w:t>Toepfer</w:t>
      </w:r>
      <w:proofErr w:type="spellEnd"/>
      <w:r>
        <w:t xml:space="preserve"> International </w:t>
      </w:r>
      <w:proofErr w:type="spellStart"/>
      <w:r>
        <w:t>GmBH</w:t>
      </w:r>
      <w:proofErr w:type="spellEnd"/>
      <w:r>
        <w:t xml:space="preserve"> v </w:t>
      </w:r>
      <w:proofErr w:type="spellStart"/>
      <w:r>
        <w:t>Itex</w:t>
      </w:r>
      <w:proofErr w:type="spellEnd"/>
      <w:r>
        <w:t xml:space="preserve"> </w:t>
      </w:r>
      <w:proofErr w:type="spellStart"/>
      <w:r>
        <w:t>Itagrani</w:t>
      </w:r>
      <w:proofErr w:type="spellEnd"/>
      <w:r>
        <w:t xml:space="preserve"> Export SA [1993] 1 360</w:t>
      </w:r>
    </w:p>
  </w:footnote>
  <w:footnote w:id="30">
    <w:p w14:paraId="27E22D7B" w14:textId="0063326F" w:rsidR="00DC72DE" w:rsidRPr="00DC72DE" w:rsidRDefault="00DC72DE">
      <w:pPr>
        <w:pStyle w:val="FootnoteText"/>
        <w:rPr>
          <w:lang w:val="en-US"/>
        </w:rPr>
      </w:pPr>
      <w:r>
        <w:rPr>
          <w:rStyle w:val="FootnoteReference"/>
        </w:rPr>
        <w:footnoteRef/>
      </w:r>
      <w:r>
        <w:t xml:space="preserve"> </w:t>
      </w:r>
      <w:r>
        <w:t xml:space="preserve">Eminence Property Development Ltd V Heaney [2010] EWCA </w:t>
      </w:r>
      <w:proofErr w:type="spellStart"/>
      <w:r>
        <w:t>Civ</w:t>
      </w:r>
      <w:proofErr w:type="spellEnd"/>
      <w:r>
        <w:t xml:space="preserve"> 1168</w:t>
      </w:r>
    </w:p>
  </w:footnote>
  <w:footnote w:id="31">
    <w:p w14:paraId="4364B6B4" w14:textId="3AEF5F2D" w:rsidR="00DC72DE" w:rsidRPr="00DC72DE" w:rsidRDefault="00DC72DE">
      <w:pPr>
        <w:pStyle w:val="FootnoteText"/>
        <w:rPr>
          <w:lang w:val="en-US"/>
        </w:rPr>
      </w:pPr>
      <w:r>
        <w:rPr>
          <w:rStyle w:val="FootnoteReference"/>
        </w:rPr>
        <w:footnoteRef/>
      </w:r>
      <w:r>
        <w:t xml:space="preserve"> </w:t>
      </w:r>
      <w:r>
        <w:t>Taylor v Caldwell [1863] 3 826</w:t>
      </w:r>
    </w:p>
  </w:footnote>
  <w:footnote w:id="32">
    <w:p w14:paraId="217B66B4" w14:textId="15E15ACE" w:rsidR="00DC72DE" w:rsidRPr="00DC72DE" w:rsidRDefault="00DC72DE">
      <w:pPr>
        <w:pStyle w:val="FootnoteText"/>
        <w:rPr>
          <w:lang w:val="en-US"/>
        </w:rPr>
      </w:pPr>
      <w:r>
        <w:rPr>
          <w:rStyle w:val="FootnoteReference"/>
        </w:rPr>
        <w:footnoteRef/>
      </w:r>
      <w:r>
        <w:t xml:space="preserve"> </w:t>
      </w:r>
      <w:r>
        <w:t>Appleby v Myers [1867] LR 2</w:t>
      </w:r>
    </w:p>
  </w:footnote>
  <w:footnote w:id="33">
    <w:p w14:paraId="2D686041" w14:textId="301AEABA" w:rsidR="00DC72DE" w:rsidRPr="00DC72DE" w:rsidRDefault="00DC72DE">
      <w:pPr>
        <w:pStyle w:val="FootnoteText"/>
        <w:rPr>
          <w:lang w:val="en-US"/>
        </w:rPr>
      </w:pPr>
      <w:r>
        <w:rPr>
          <w:rStyle w:val="FootnoteReference"/>
        </w:rPr>
        <w:footnoteRef/>
      </w:r>
      <w:r>
        <w:t xml:space="preserve"> </w:t>
      </w:r>
      <w:proofErr w:type="spellStart"/>
      <w:r>
        <w:t>Tsakiroglou</w:t>
      </w:r>
      <w:proofErr w:type="spellEnd"/>
      <w:r>
        <w:t xml:space="preserve"> &amp; Co Ltd V </w:t>
      </w:r>
      <w:proofErr w:type="spellStart"/>
      <w:r>
        <w:t>Noblee</w:t>
      </w:r>
      <w:proofErr w:type="spellEnd"/>
      <w:r>
        <w:t xml:space="preserve"> </w:t>
      </w:r>
      <w:proofErr w:type="spellStart"/>
      <w:r>
        <w:t>Throl</w:t>
      </w:r>
      <w:proofErr w:type="spellEnd"/>
      <w:r>
        <w:t xml:space="preserve"> GmbH [1962] AC 93.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349D0"/>
    <w:multiLevelType w:val="hybridMultilevel"/>
    <w:tmpl w:val="7BE6BDA8"/>
    <w:lvl w:ilvl="0" w:tplc="7C2E7440">
      <w:start w:val="1"/>
      <w:numFmt w:val="decimal"/>
      <w:lvlText w:val="%1."/>
      <w:lvlJc w:val="left"/>
      <w:pPr>
        <w:ind w:left="720" w:hanging="360"/>
      </w:pPr>
      <w:rPr>
        <w:rFonts w:asciiTheme="minorHAnsi" w:eastAsiaTheme="minorHAnsi" w:hAnsiTheme="minorHAnsi" w:cstheme="minorBid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24E37"/>
    <w:multiLevelType w:val="hybridMultilevel"/>
    <w:tmpl w:val="A4B68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DD1303"/>
    <w:multiLevelType w:val="hybridMultilevel"/>
    <w:tmpl w:val="1D5E2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839C9"/>
    <w:multiLevelType w:val="hybridMultilevel"/>
    <w:tmpl w:val="E15646F6"/>
    <w:lvl w:ilvl="0" w:tplc="086422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146F41"/>
    <w:multiLevelType w:val="hybridMultilevel"/>
    <w:tmpl w:val="93DCF94E"/>
    <w:lvl w:ilvl="0" w:tplc="515A5E8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913C18"/>
    <w:multiLevelType w:val="hybridMultilevel"/>
    <w:tmpl w:val="EBE4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D7EF9"/>
    <w:multiLevelType w:val="hybridMultilevel"/>
    <w:tmpl w:val="A468A94A"/>
    <w:lvl w:ilvl="0" w:tplc="C92E74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F2306E"/>
    <w:multiLevelType w:val="hybridMultilevel"/>
    <w:tmpl w:val="43962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AE7571"/>
    <w:multiLevelType w:val="hybridMultilevel"/>
    <w:tmpl w:val="9F8406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92A1C4E"/>
    <w:multiLevelType w:val="hybridMultilevel"/>
    <w:tmpl w:val="A2E0E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9"/>
  </w:num>
  <w:num w:numId="5">
    <w:abstractNumId w:val="8"/>
  </w:num>
  <w:num w:numId="6">
    <w:abstractNumId w:val="5"/>
  </w:num>
  <w:num w:numId="7">
    <w:abstractNumId w:val="2"/>
  </w:num>
  <w:num w:numId="8">
    <w:abstractNumId w:val="3"/>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A27"/>
    <w:rsid w:val="000171D0"/>
    <w:rsid w:val="00067586"/>
    <w:rsid w:val="00077354"/>
    <w:rsid w:val="001709F1"/>
    <w:rsid w:val="00285057"/>
    <w:rsid w:val="002A796E"/>
    <w:rsid w:val="002F60F3"/>
    <w:rsid w:val="00355933"/>
    <w:rsid w:val="00363DF3"/>
    <w:rsid w:val="003768D7"/>
    <w:rsid w:val="003D3ECD"/>
    <w:rsid w:val="004A40B1"/>
    <w:rsid w:val="004C0C93"/>
    <w:rsid w:val="004F69DC"/>
    <w:rsid w:val="00500EC1"/>
    <w:rsid w:val="00537A8F"/>
    <w:rsid w:val="0054234E"/>
    <w:rsid w:val="00626359"/>
    <w:rsid w:val="006314DF"/>
    <w:rsid w:val="0066074A"/>
    <w:rsid w:val="00670D63"/>
    <w:rsid w:val="006F6422"/>
    <w:rsid w:val="007A0A1E"/>
    <w:rsid w:val="00843C60"/>
    <w:rsid w:val="008A074A"/>
    <w:rsid w:val="009E1DFC"/>
    <w:rsid w:val="009F39ED"/>
    <w:rsid w:val="00A11A44"/>
    <w:rsid w:val="00A359E7"/>
    <w:rsid w:val="00B80999"/>
    <w:rsid w:val="00BA1244"/>
    <w:rsid w:val="00BB09B7"/>
    <w:rsid w:val="00DB161B"/>
    <w:rsid w:val="00DB5459"/>
    <w:rsid w:val="00DC72DE"/>
    <w:rsid w:val="00E36462"/>
    <w:rsid w:val="00FF1A27"/>
    <w:rsid w:val="00FF4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10B6B"/>
  <w15:chartTrackingRefBased/>
  <w15:docId w15:val="{AC392157-E69A-4C1C-970F-96B52309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A27"/>
    <w:pPr>
      <w:ind w:left="720"/>
      <w:contextualSpacing/>
    </w:pPr>
  </w:style>
  <w:style w:type="paragraph" w:styleId="Header">
    <w:name w:val="header"/>
    <w:basedOn w:val="Normal"/>
    <w:link w:val="HeaderChar"/>
    <w:uiPriority w:val="99"/>
    <w:unhideWhenUsed/>
    <w:rsid w:val="00017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1D0"/>
  </w:style>
  <w:style w:type="paragraph" w:styleId="Footer">
    <w:name w:val="footer"/>
    <w:basedOn w:val="Normal"/>
    <w:link w:val="FooterChar"/>
    <w:uiPriority w:val="99"/>
    <w:unhideWhenUsed/>
    <w:rsid w:val="00017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1D0"/>
  </w:style>
  <w:style w:type="character" w:styleId="CommentReference">
    <w:name w:val="annotation reference"/>
    <w:basedOn w:val="DefaultParagraphFont"/>
    <w:uiPriority w:val="99"/>
    <w:semiHidden/>
    <w:unhideWhenUsed/>
    <w:rsid w:val="00BB09B7"/>
    <w:rPr>
      <w:sz w:val="16"/>
      <w:szCs w:val="16"/>
    </w:rPr>
  </w:style>
  <w:style w:type="paragraph" w:styleId="CommentText">
    <w:name w:val="annotation text"/>
    <w:basedOn w:val="Normal"/>
    <w:link w:val="CommentTextChar"/>
    <w:uiPriority w:val="99"/>
    <w:semiHidden/>
    <w:unhideWhenUsed/>
    <w:rsid w:val="00BB09B7"/>
    <w:pPr>
      <w:spacing w:line="240" w:lineRule="auto"/>
    </w:pPr>
    <w:rPr>
      <w:sz w:val="20"/>
      <w:szCs w:val="20"/>
    </w:rPr>
  </w:style>
  <w:style w:type="character" w:customStyle="1" w:styleId="CommentTextChar">
    <w:name w:val="Comment Text Char"/>
    <w:basedOn w:val="DefaultParagraphFont"/>
    <w:link w:val="CommentText"/>
    <w:uiPriority w:val="99"/>
    <w:semiHidden/>
    <w:rsid w:val="00BB09B7"/>
    <w:rPr>
      <w:sz w:val="20"/>
      <w:szCs w:val="20"/>
    </w:rPr>
  </w:style>
  <w:style w:type="paragraph" w:styleId="CommentSubject">
    <w:name w:val="annotation subject"/>
    <w:basedOn w:val="CommentText"/>
    <w:next w:val="CommentText"/>
    <w:link w:val="CommentSubjectChar"/>
    <w:uiPriority w:val="99"/>
    <w:semiHidden/>
    <w:unhideWhenUsed/>
    <w:rsid w:val="00BB09B7"/>
    <w:rPr>
      <w:b/>
      <w:bCs/>
    </w:rPr>
  </w:style>
  <w:style w:type="character" w:customStyle="1" w:styleId="CommentSubjectChar">
    <w:name w:val="Comment Subject Char"/>
    <w:basedOn w:val="CommentTextChar"/>
    <w:link w:val="CommentSubject"/>
    <w:uiPriority w:val="99"/>
    <w:semiHidden/>
    <w:rsid w:val="00BB09B7"/>
    <w:rPr>
      <w:b/>
      <w:bCs/>
      <w:sz w:val="20"/>
      <w:szCs w:val="20"/>
    </w:rPr>
  </w:style>
  <w:style w:type="paragraph" w:styleId="BalloonText">
    <w:name w:val="Balloon Text"/>
    <w:basedOn w:val="Normal"/>
    <w:link w:val="BalloonTextChar"/>
    <w:uiPriority w:val="99"/>
    <w:semiHidden/>
    <w:unhideWhenUsed/>
    <w:rsid w:val="00BB09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9B7"/>
    <w:rPr>
      <w:rFonts w:ascii="Segoe UI" w:hAnsi="Segoe UI" w:cs="Segoe UI"/>
      <w:sz w:val="18"/>
      <w:szCs w:val="18"/>
    </w:rPr>
  </w:style>
  <w:style w:type="paragraph" w:styleId="FootnoteText">
    <w:name w:val="footnote text"/>
    <w:basedOn w:val="Normal"/>
    <w:link w:val="FootnoteTextChar"/>
    <w:uiPriority w:val="99"/>
    <w:semiHidden/>
    <w:unhideWhenUsed/>
    <w:rsid w:val="00BB09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09B7"/>
    <w:rPr>
      <w:sz w:val="20"/>
      <w:szCs w:val="20"/>
    </w:rPr>
  </w:style>
  <w:style w:type="character" w:styleId="FootnoteReference">
    <w:name w:val="footnote reference"/>
    <w:basedOn w:val="DefaultParagraphFont"/>
    <w:uiPriority w:val="99"/>
    <w:semiHidden/>
    <w:unhideWhenUsed/>
    <w:rsid w:val="00BB09B7"/>
    <w:rPr>
      <w:vertAlign w:val="superscript"/>
    </w:rPr>
  </w:style>
  <w:style w:type="character" w:styleId="Hyperlink">
    <w:name w:val="Hyperlink"/>
    <w:basedOn w:val="DefaultParagraphFont"/>
    <w:uiPriority w:val="99"/>
    <w:unhideWhenUsed/>
    <w:rsid w:val="009E1D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7486-35A5-46E1-ADDC-C6F021270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8</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mckechnie</dc:creator>
  <cp:keywords/>
  <dc:description/>
  <cp:lastModifiedBy>GregRandall</cp:lastModifiedBy>
  <cp:revision>6</cp:revision>
  <dcterms:created xsi:type="dcterms:W3CDTF">2019-01-06T15:40:00Z</dcterms:created>
  <dcterms:modified xsi:type="dcterms:W3CDTF">2019-01-06T19:13:00Z</dcterms:modified>
</cp:coreProperties>
</file>