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DFDCB" w14:textId="32C61CF3" w:rsidR="0004470F" w:rsidRPr="00C6015A" w:rsidRDefault="0004470F" w:rsidP="0004470F">
      <w:pPr>
        <w:spacing w:line="257" w:lineRule="auto"/>
        <w:ind w:right="531"/>
        <w:rPr>
          <w:rFonts w:eastAsia="Calibri" w:cstheme="minorHAnsi"/>
          <w:b/>
          <w:bCs/>
        </w:rPr>
      </w:pPr>
      <w:r w:rsidRPr="00C6015A">
        <w:rPr>
          <w:rFonts w:eastAsia="Calibri" w:cstheme="minorHAnsi"/>
          <w:b/>
          <w:bCs/>
        </w:rPr>
        <w:t>Kristie Lloyd-Matejicek</w:t>
      </w:r>
    </w:p>
    <w:p w14:paraId="507D9E1D" w14:textId="5E0140FF" w:rsidR="0004470F" w:rsidRPr="00C6015A" w:rsidRDefault="0004470F" w:rsidP="0004470F">
      <w:pPr>
        <w:spacing w:line="257" w:lineRule="auto"/>
        <w:ind w:right="531"/>
        <w:rPr>
          <w:rFonts w:eastAsia="Calibri" w:cstheme="minorHAnsi"/>
          <w:b/>
          <w:bCs/>
        </w:rPr>
      </w:pPr>
      <w:r w:rsidRPr="00C6015A">
        <w:rPr>
          <w:rFonts w:eastAsia="Calibri" w:cstheme="minorHAnsi"/>
          <w:b/>
          <w:bCs/>
        </w:rPr>
        <w:t>2118002</w:t>
      </w:r>
    </w:p>
    <w:p w14:paraId="602D0367" w14:textId="77777777" w:rsidR="0004470F" w:rsidRPr="00C6015A" w:rsidRDefault="0004470F" w:rsidP="0004470F">
      <w:pPr>
        <w:spacing w:line="257" w:lineRule="auto"/>
        <w:ind w:right="531"/>
        <w:rPr>
          <w:rFonts w:eastAsia="Calibri" w:cstheme="minorHAnsi"/>
          <w:b/>
          <w:bCs/>
        </w:rPr>
      </w:pPr>
    </w:p>
    <w:p w14:paraId="23F636F2" w14:textId="77777777" w:rsidR="0004470F" w:rsidRPr="00C6015A" w:rsidRDefault="0004470F" w:rsidP="0004470F">
      <w:pPr>
        <w:spacing w:line="257" w:lineRule="auto"/>
        <w:ind w:right="531"/>
        <w:rPr>
          <w:rFonts w:eastAsia="Calibri" w:cstheme="minorHAnsi"/>
          <w:b/>
          <w:bCs/>
        </w:rPr>
      </w:pPr>
      <w:r w:rsidRPr="00C6015A">
        <w:rPr>
          <w:rFonts w:eastAsia="Calibri" w:cstheme="minorHAnsi"/>
          <w:b/>
          <w:bCs/>
        </w:rPr>
        <w:t xml:space="preserve">Essay one: </w:t>
      </w:r>
    </w:p>
    <w:p w14:paraId="14DABF60" w14:textId="763D2D0D" w:rsidR="0004470F" w:rsidRPr="00C6015A" w:rsidRDefault="0004470F" w:rsidP="0004470F">
      <w:pPr>
        <w:spacing w:line="257" w:lineRule="auto"/>
        <w:ind w:right="531"/>
        <w:rPr>
          <w:rFonts w:eastAsia="Calibri" w:cstheme="minorHAnsi"/>
        </w:rPr>
      </w:pPr>
      <w:r w:rsidRPr="00C6015A">
        <w:rPr>
          <w:rFonts w:eastAsia="Calibri" w:cstheme="minorHAnsi"/>
          <w:b/>
          <w:bCs/>
        </w:rPr>
        <w:t>Counter-terrorism policing</w:t>
      </w:r>
      <w:r w:rsidRPr="00C6015A">
        <w:rPr>
          <w:rFonts w:eastAsia="Calibri" w:cstheme="minorHAnsi"/>
        </w:rPr>
        <w:t xml:space="preserve"> – </w:t>
      </w:r>
      <w:r w:rsidRPr="00C6015A">
        <w:rPr>
          <w:rFonts w:eastAsia="Calibri" w:cstheme="minorHAnsi"/>
          <w:u w:val="single"/>
        </w:rPr>
        <w:t>assess</w:t>
      </w:r>
      <w:r w:rsidRPr="00C6015A">
        <w:rPr>
          <w:rFonts w:eastAsia="Calibri" w:cstheme="minorHAnsi"/>
        </w:rPr>
        <w:t xml:space="preserve"> the role of community policing in supporting counter-terrorism policing. </w:t>
      </w:r>
    </w:p>
    <w:p w14:paraId="452386FE" w14:textId="38157DB6" w:rsidR="0004470F" w:rsidRPr="00C6015A" w:rsidRDefault="0004470F" w:rsidP="0004470F">
      <w:pPr>
        <w:rPr>
          <w:rFonts w:cstheme="minorHAnsi"/>
        </w:rPr>
      </w:pPr>
      <w:r w:rsidRPr="00C6015A">
        <w:rPr>
          <w:rFonts w:cstheme="minorHAnsi"/>
        </w:rPr>
        <w:t xml:space="preserve">Community policing plays a pivotal role in the support of counterterrorism. Response officers and Police community support officers have a unique advantage in that they enter the homes and lives of people and are </w:t>
      </w:r>
      <w:proofErr w:type="gramStart"/>
      <w:r w:rsidRPr="00C6015A">
        <w:rPr>
          <w:rFonts w:cstheme="minorHAnsi"/>
        </w:rPr>
        <w:t>in a position</w:t>
      </w:r>
      <w:proofErr w:type="gramEnd"/>
      <w:r w:rsidRPr="00C6015A">
        <w:rPr>
          <w:rFonts w:cstheme="minorHAnsi"/>
        </w:rPr>
        <w:t xml:space="preserve"> to make referrals and submit intelligence in order to appropriately alert and advise the relevant counter-terrorism units within their forces but to also safeguard officers, and to submit referrals to agencies that specialise in the radicalisation of children through communities and social media. In addition to this, community policing is the first port of call for the public to raise concerns around suspicious activity they may witness within their communities as well as uniform officers being the first to attend calls in the first instance, they are the ones evaluating the scene in front of them and </w:t>
      </w:r>
      <w:proofErr w:type="gramStart"/>
      <w:r w:rsidRPr="00C6015A">
        <w:rPr>
          <w:rFonts w:cstheme="minorHAnsi"/>
        </w:rPr>
        <w:t>taking action</w:t>
      </w:r>
      <w:proofErr w:type="gramEnd"/>
      <w:r w:rsidRPr="00C6015A">
        <w:rPr>
          <w:rFonts w:cstheme="minorHAnsi"/>
        </w:rPr>
        <w:t xml:space="preserve"> such as effecting an arrest, based on their assessment of the situation.</w:t>
      </w:r>
    </w:p>
    <w:p w14:paraId="7EFE9B7B" w14:textId="77777777" w:rsidR="0004470F" w:rsidRPr="00C6015A" w:rsidRDefault="0004470F" w:rsidP="0004470F">
      <w:pPr>
        <w:rPr>
          <w:rFonts w:cstheme="minorHAnsi"/>
        </w:rPr>
      </w:pPr>
      <w:r w:rsidRPr="00C6015A">
        <w:rPr>
          <w:rFonts w:cstheme="minorHAnsi"/>
        </w:rPr>
        <w:t>Officers working within their communities be it on a response basis or a Neighbourhood Team basis have an advantage to submit intelligence based on what they have witnessed whilst in the field. Whilst intelligence does not provide the whole picture and will often require development, it does give forces an idea of risk which allows them to safeguard officers with the use of markers and flags on nominals to advise officer appropriately of the risk a person may present and how this will influence their use of the National Decision Model. In addition to the submission of intel by officers, their implementation within the community creates a bridge between people and police forces whereby the public can be appropriately advised and speak openly with officers “The public already contribute intelligence to around a third of the most serious terrorism investigations. This new campaign reassures communities that they shouldn’t be concerned about wasting police time or getting someone into trouble.” (UKGOV, 2017)</w:t>
      </w:r>
    </w:p>
    <w:p w14:paraId="089FBC64" w14:textId="77777777" w:rsidR="0004470F" w:rsidRPr="00C6015A" w:rsidRDefault="0004470F" w:rsidP="0004470F">
      <w:pPr>
        <w:rPr>
          <w:rFonts w:cstheme="minorHAnsi"/>
        </w:rPr>
      </w:pPr>
      <w:r w:rsidRPr="00C6015A">
        <w:rPr>
          <w:rFonts w:cstheme="minorHAnsi"/>
        </w:rPr>
        <w:t xml:space="preserve">Officers working within the community will become familiar with their members, including those that could be considered vulnerable. This presents them with the opportunity to engage with those most at risk of radicalisation, this may include those that have been within the prison system, those suffering with ill mental health and those who are generally disconnected or withdrawn from the community. In a study which focuses on the increased prevalence of the Incel movement the following was found. </w:t>
      </w:r>
    </w:p>
    <w:p w14:paraId="730B01CC" w14:textId="77777777" w:rsidR="0004470F" w:rsidRPr="00C6015A" w:rsidRDefault="0004470F" w:rsidP="0004470F">
      <w:pPr>
        <w:rPr>
          <w:rFonts w:cstheme="minorHAnsi"/>
        </w:rPr>
      </w:pPr>
      <w:r w:rsidRPr="00C6015A">
        <w:rPr>
          <w:rFonts w:cstheme="minorHAnsi"/>
        </w:rPr>
        <w:t>“Nearly all participants (261, 95%) experienced some depression, responding above 1 on the 5-point Likert scale. The mean intensity of depressive symptoms reported by participants was M=3.80, SD=1.2. Similarly, nearly all participants (257, 94%) reported some anxiety. The average intensity of self-reported anxiety among participants was M=3.67 (SD=1.24). Finally, 199 participants out of 274 (74%) reported experiencing some autism-spectrum traits.  Participants self-reported intensity of autism-spectrum traits averaged at M=2.57 (SD=1</w:t>
      </w:r>
      <w:proofErr w:type="gramStart"/>
      <w:r w:rsidRPr="00C6015A">
        <w:rPr>
          <w:rFonts w:cstheme="minorHAnsi"/>
        </w:rPr>
        <w:t>. )</w:t>
      </w:r>
      <w:proofErr w:type="gramEnd"/>
      <w:r w:rsidRPr="00C6015A">
        <w:rPr>
          <w:rFonts w:cstheme="minorHAnsi"/>
        </w:rPr>
        <w:t>.” (Moskalenko et al., 2022)</w:t>
      </w:r>
    </w:p>
    <w:p w14:paraId="0850D52A" w14:textId="57BEDCA4" w:rsidR="0004470F" w:rsidRPr="00C6015A" w:rsidRDefault="0004470F" w:rsidP="0004470F">
      <w:pPr>
        <w:rPr>
          <w:rFonts w:cstheme="minorHAnsi"/>
        </w:rPr>
      </w:pPr>
      <w:r w:rsidRPr="00C6015A">
        <w:rPr>
          <w:rFonts w:cstheme="minorHAnsi"/>
        </w:rPr>
        <w:t xml:space="preserve">Furthermore, due to unique position officers are in to have an insight into people’s homes and lives, they are best placed to submit appropriate referrals to Prevent. Prevent has 3 main objectives “The Prevent strand of CONTEST has perhaps the biggest impact on Local Authorities and Community Safety Partnerships. The Prevent Strategy, published in June 2011 has 3 main objectives: to respond </w:t>
      </w:r>
      <w:r w:rsidRPr="00C6015A">
        <w:rPr>
          <w:rFonts w:cstheme="minorHAnsi"/>
        </w:rPr>
        <w:lastRenderedPageBreak/>
        <w:t xml:space="preserve">to the ideological challenge of terrorism and the threat faced from those who promote it; to prevent people from being drawn into terrorism and ensure that they are given appropriate support; and to work with a wide range of sectors and institutions (including education, faith, health and criminal justice) where there are risks of radicalisation which need to be addressed”. (WLGA, Counter Terrorism and Prevent, 2011). This allows specialist officers to carry out their interventions, but without the contribution of initial referrals and intelligence from uniformed officers, individuals may go </w:t>
      </w:r>
      <w:r w:rsidR="00CD1914" w:rsidRPr="00C6015A">
        <w:rPr>
          <w:rFonts w:cstheme="minorHAnsi"/>
        </w:rPr>
        <w:t>unnoticed,</w:t>
      </w:r>
      <w:r w:rsidRPr="00C6015A">
        <w:rPr>
          <w:rFonts w:cstheme="minorHAnsi"/>
        </w:rPr>
        <w:t xml:space="preserve"> and the appropriate interventions may not be implemented. </w:t>
      </w:r>
    </w:p>
    <w:p w14:paraId="200E6F05" w14:textId="77777777" w:rsidR="0004470F" w:rsidRPr="00C6015A" w:rsidRDefault="0004470F" w:rsidP="0004470F">
      <w:pPr>
        <w:rPr>
          <w:rFonts w:cstheme="minorHAnsi"/>
        </w:rPr>
      </w:pPr>
      <w:r w:rsidRPr="00C6015A">
        <w:rPr>
          <w:rFonts w:cstheme="minorHAnsi"/>
        </w:rPr>
        <w:t xml:space="preserve">As part of their roles, officers are expected to submit referrals to Social Services where appropriate. Partnerships with the local authority are essential for information sharing with the purpose of safeguarding children and vulnerable adults. These referrals work hand in hand as where there is a role for police to deal with any offences, there may be a role for social services to deal with child protection matters, this may include placing children onto the child protection register, this ensures that children will be seen by a social worker on a biweekly basis. Social workers also have a duty of care to report any offences or suspicious activity to the police, thus painting a wider picture that police may not be privy to. Whilst social services may not come under the umbrella of community policing, the use of multiagency safeguarding hubs and strategy discussions means that families are discussed by a multitude of agencies whereby concerns are raised and outcomes are decided, this could include joint agency visits to the family by social services and police in order to deal with matter pertaining to criminal offences and child protection matters. </w:t>
      </w:r>
    </w:p>
    <w:p w14:paraId="172BE52E" w14:textId="79F02F99" w:rsidR="0004470F" w:rsidRPr="00C6015A" w:rsidRDefault="0004470F" w:rsidP="0004470F">
      <w:pPr>
        <w:rPr>
          <w:rFonts w:cstheme="minorHAnsi"/>
        </w:rPr>
      </w:pPr>
      <w:r w:rsidRPr="00C6015A">
        <w:rPr>
          <w:rFonts w:cstheme="minorHAnsi"/>
        </w:rPr>
        <w:t xml:space="preserve">Finally, without the contribution of community-based policing, Counter-Terrorism units would not have as much intelligence and information about individuals of interest as they do. Without the submission of referrals in order to begin intervention with people who may be displaying signs of extremist behaviour the outcome could be catastrophic. Without the submission of intelligence for development, counter-terrorism units may not have the first piece of information by which a person or group becomes of interest to them, this could allow the group or individual to remain undetected which could lead to them committing an act of violence. Ultimately, community policing has a unique vantage point in that officers are already rooted into communities and can gather information and intelligence, develop it further and disseminate it to those in the relevant units. Without officer observations and experiences, this could leave a gap in the proverbial net or even leave a vulnerable person at risk of radicalisation when intervention could have been easily provided. </w:t>
      </w:r>
    </w:p>
    <w:p w14:paraId="3E53DDF5" w14:textId="5024DEF4" w:rsidR="0004470F" w:rsidRPr="00C6015A" w:rsidRDefault="0004470F" w:rsidP="0004470F">
      <w:pPr>
        <w:rPr>
          <w:rFonts w:cstheme="minorHAnsi"/>
          <w:b/>
          <w:bCs/>
        </w:rPr>
      </w:pPr>
      <w:r w:rsidRPr="00C6015A">
        <w:rPr>
          <w:rFonts w:cstheme="minorHAnsi"/>
          <w:b/>
          <w:bCs/>
        </w:rPr>
        <w:t>Word Count 97</w:t>
      </w:r>
      <w:r w:rsidR="00CD1914" w:rsidRPr="00C6015A">
        <w:rPr>
          <w:rFonts w:cstheme="minorHAnsi"/>
          <w:b/>
          <w:bCs/>
        </w:rPr>
        <w:t>5</w:t>
      </w:r>
    </w:p>
    <w:p w14:paraId="11CCE4F5" w14:textId="74F0A88A" w:rsidR="0004470F" w:rsidRPr="00C6015A" w:rsidRDefault="0004470F" w:rsidP="0004470F">
      <w:pPr>
        <w:pStyle w:val="NormalWeb"/>
        <w:ind w:left="567" w:hanging="567"/>
        <w:rPr>
          <w:rFonts w:asciiTheme="minorHAnsi" w:hAnsiTheme="minorHAnsi" w:cstheme="minorHAnsi"/>
          <w:b/>
          <w:bCs/>
          <w:sz w:val="22"/>
          <w:szCs w:val="22"/>
        </w:rPr>
      </w:pPr>
      <w:r w:rsidRPr="00C6015A">
        <w:rPr>
          <w:rFonts w:asciiTheme="minorHAnsi" w:hAnsiTheme="minorHAnsi" w:cstheme="minorHAnsi"/>
          <w:b/>
          <w:bCs/>
          <w:sz w:val="22"/>
          <w:szCs w:val="22"/>
        </w:rPr>
        <w:t>Bibliography</w:t>
      </w:r>
    </w:p>
    <w:p w14:paraId="7C784E5C" w14:textId="77777777" w:rsidR="0004470F" w:rsidRPr="00C6015A" w:rsidRDefault="0004470F" w:rsidP="0004470F">
      <w:pPr>
        <w:pStyle w:val="NormalWeb"/>
        <w:ind w:left="567" w:hanging="567"/>
        <w:rPr>
          <w:rFonts w:asciiTheme="minorHAnsi" w:hAnsiTheme="minorHAnsi" w:cstheme="minorHAnsi"/>
          <w:sz w:val="22"/>
          <w:szCs w:val="22"/>
        </w:rPr>
      </w:pPr>
      <w:r w:rsidRPr="00C6015A">
        <w:rPr>
          <w:rFonts w:asciiTheme="minorHAnsi" w:hAnsiTheme="minorHAnsi" w:cstheme="minorHAnsi"/>
          <w:sz w:val="22"/>
          <w:szCs w:val="22"/>
        </w:rPr>
        <w:t xml:space="preserve">Moskalenko, S. </w:t>
      </w:r>
      <w:r w:rsidRPr="00C6015A">
        <w:rPr>
          <w:rFonts w:asciiTheme="minorHAnsi" w:hAnsiTheme="minorHAnsi" w:cstheme="minorHAnsi"/>
          <w:i/>
          <w:iCs/>
          <w:sz w:val="22"/>
          <w:szCs w:val="22"/>
        </w:rPr>
        <w:t>et al.</w:t>
      </w:r>
      <w:r w:rsidRPr="00C6015A">
        <w:rPr>
          <w:rFonts w:asciiTheme="minorHAnsi" w:hAnsiTheme="minorHAnsi" w:cstheme="minorHAnsi"/>
          <w:sz w:val="22"/>
          <w:szCs w:val="22"/>
        </w:rPr>
        <w:t xml:space="preserve"> (2022) ‘Incel ideology, radicalization and Mental Health’, </w:t>
      </w:r>
      <w:r w:rsidRPr="00C6015A">
        <w:rPr>
          <w:rFonts w:asciiTheme="minorHAnsi" w:hAnsiTheme="minorHAnsi" w:cstheme="minorHAnsi"/>
          <w:i/>
          <w:iCs/>
          <w:sz w:val="22"/>
          <w:szCs w:val="22"/>
        </w:rPr>
        <w:t>The Journal of Intelligence, Conflict, and Warfare</w:t>
      </w:r>
      <w:r w:rsidRPr="00C6015A">
        <w:rPr>
          <w:rFonts w:asciiTheme="minorHAnsi" w:hAnsiTheme="minorHAnsi" w:cstheme="minorHAnsi"/>
          <w:sz w:val="22"/>
          <w:szCs w:val="22"/>
        </w:rPr>
        <w:t>, 4(3), pp. 1–29. doi:10.21810/</w:t>
      </w:r>
      <w:proofErr w:type="gramStart"/>
      <w:r w:rsidRPr="00C6015A">
        <w:rPr>
          <w:rFonts w:asciiTheme="minorHAnsi" w:hAnsiTheme="minorHAnsi" w:cstheme="minorHAnsi"/>
          <w:sz w:val="22"/>
          <w:szCs w:val="22"/>
        </w:rPr>
        <w:t>jicw.v</w:t>
      </w:r>
      <w:proofErr w:type="gramEnd"/>
      <w:r w:rsidRPr="00C6015A">
        <w:rPr>
          <w:rFonts w:asciiTheme="minorHAnsi" w:hAnsiTheme="minorHAnsi" w:cstheme="minorHAnsi"/>
          <w:sz w:val="22"/>
          <w:szCs w:val="22"/>
        </w:rPr>
        <w:t xml:space="preserve">4i3.3817. </w:t>
      </w:r>
    </w:p>
    <w:p w14:paraId="2E632AF1" w14:textId="77777777" w:rsidR="0004470F" w:rsidRPr="00C6015A" w:rsidRDefault="0004470F" w:rsidP="0004470F">
      <w:pPr>
        <w:pStyle w:val="NormalWeb"/>
        <w:ind w:left="567" w:hanging="567"/>
        <w:rPr>
          <w:rFonts w:asciiTheme="minorHAnsi" w:hAnsiTheme="minorHAnsi" w:cstheme="minorHAnsi"/>
          <w:sz w:val="22"/>
          <w:szCs w:val="22"/>
        </w:rPr>
      </w:pPr>
      <w:r w:rsidRPr="00C6015A">
        <w:rPr>
          <w:rFonts w:asciiTheme="minorHAnsi" w:hAnsiTheme="minorHAnsi" w:cstheme="minorHAnsi"/>
          <w:sz w:val="22"/>
          <w:szCs w:val="22"/>
        </w:rPr>
        <w:t xml:space="preserve">Office, N.C.T.S. (2017) </w:t>
      </w:r>
      <w:r w:rsidRPr="00C6015A">
        <w:rPr>
          <w:rFonts w:asciiTheme="minorHAnsi" w:hAnsiTheme="minorHAnsi" w:cstheme="minorHAnsi"/>
          <w:i/>
          <w:iCs/>
          <w:sz w:val="22"/>
          <w:szCs w:val="22"/>
        </w:rPr>
        <w:t>[withdrawn] action counters terrorism</w:t>
      </w:r>
      <w:r w:rsidRPr="00C6015A">
        <w:rPr>
          <w:rFonts w:asciiTheme="minorHAnsi" w:hAnsiTheme="minorHAnsi" w:cstheme="minorHAnsi"/>
          <w:sz w:val="22"/>
          <w:szCs w:val="22"/>
        </w:rPr>
        <w:t xml:space="preserve">, </w:t>
      </w:r>
      <w:r w:rsidRPr="00C6015A">
        <w:rPr>
          <w:rFonts w:asciiTheme="minorHAnsi" w:hAnsiTheme="minorHAnsi" w:cstheme="minorHAnsi"/>
          <w:i/>
          <w:iCs/>
          <w:sz w:val="22"/>
          <w:szCs w:val="22"/>
        </w:rPr>
        <w:t>GOV.UK</w:t>
      </w:r>
      <w:r w:rsidRPr="00C6015A">
        <w:rPr>
          <w:rFonts w:asciiTheme="minorHAnsi" w:hAnsiTheme="minorHAnsi" w:cstheme="minorHAnsi"/>
          <w:sz w:val="22"/>
          <w:szCs w:val="22"/>
        </w:rPr>
        <w:t xml:space="preserve">. Available at: https://www.gov.uk/government/news/action-counters-terrorism (Accessed: 10 May 2023). </w:t>
      </w:r>
    </w:p>
    <w:p w14:paraId="125CD521" w14:textId="18CAE2C6" w:rsidR="0004470F" w:rsidRDefault="0004470F" w:rsidP="00C6015A">
      <w:pPr>
        <w:pStyle w:val="NormalWeb"/>
        <w:ind w:left="567" w:hanging="567"/>
        <w:rPr>
          <w:rFonts w:asciiTheme="minorHAnsi" w:hAnsiTheme="minorHAnsi" w:cstheme="minorHAnsi"/>
          <w:sz w:val="22"/>
          <w:szCs w:val="22"/>
        </w:rPr>
      </w:pPr>
      <w:r w:rsidRPr="00C6015A">
        <w:rPr>
          <w:rFonts w:asciiTheme="minorHAnsi" w:hAnsiTheme="minorHAnsi" w:cstheme="minorHAnsi"/>
          <w:i/>
          <w:iCs/>
          <w:sz w:val="22"/>
          <w:szCs w:val="22"/>
        </w:rPr>
        <w:t>Welcome to the Welsh Local Government Association</w:t>
      </w:r>
      <w:r w:rsidRPr="00C6015A">
        <w:rPr>
          <w:rFonts w:asciiTheme="minorHAnsi" w:hAnsiTheme="minorHAnsi" w:cstheme="minorHAnsi"/>
          <w:sz w:val="22"/>
          <w:szCs w:val="22"/>
        </w:rPr>
        <w:t xml:space="preserve"> (2011) </w:t>
      </w:r>
      <w:r w:rsidRPr="00C6015A">
        <w:rPr>
          <w:rFonts w:asciiTheme="minorHAnsi" w:hAnsiTheme="minorHAnsi" w:cstheme="minorHAnsi"/>
          <w:i/>
          <w:iCs/>
          <w:sz w:val="22"/>
          <w:szCs w:val="22"/>
        </w:rPr>
        <w:t>WLGA</w:t>
      </w:r>
      <w:r w:rsidRPr="00C6015A">
        <w:rPr>
          <w:rFonts w:asciiTheme="minorHAnsi" w:hAnsiTheme="minorHAnsi" w:cstheme="minorHAnsi"/>
          <w:sz w:val="22"/>
          <w:szCs w:val="22"/>
        </w:rPr>
        <w:t xml:space="preserve">. Available at: https://www.wlga.gov.uk/counter-terrorism-and-prevent#:~:text=The%20UK%20Government%E2%80%99s%20Counter%20Terrorism%20Strategy%20has%20been,go%20about%20their%20lives%20freely%20and%20with%20confidence%E2%80%99. (Accessed: 10 May 2023). </w:t>
      </w:r>
    </w:p>
    <w:p w14:paraId="02D1FF58" w14:textId="77777777" w:rsidR="00C6015A" w:rsidRPr="00C6015A" w:rsidRDefault="00C6015A" w:rsidP="00C6015A">
      <w:pPr>
        <w:pStyle w:val="NormalWeb"/>
        <w:ind w:left="567" w:hanging="567"/>
        <w:rPr>
          <w:rFonts w:asciiTheme="minorHAnsi" w:hAnsiTheme="minorHAnsi" w:cstheme="minorHAnsi"/>
          <w:sz w:val="22"/>
          <w:szCs w:val="22"/>
        </w:rPr>
      </w:pPr>
    </w:p>
    <w:p w14:paraId="6CE4C22E" w14:textId="77777777" w:rsidR="0004470F" w:rsidRPr="00C6015A" w:rsidRDefault="0004470F" w:rsidP="0004470F">
      <w:pPr>
        <w:ind w:right="531"/>
        <w:jc w:val="both"/>
        <w:rPr>
          <w:rFonts w:cstheme="minorHAnsi"/>
          <w:b/>
          <w:bCs/>
        </w:rPr>
      </w:pPr>
      <w:r w:rsidRPr="00C6015A">
        <w:rPr>
          <w:rFonts w:cstheme="minorHAnsi"/>
          <w:b/>
          <w:bCs/>
        </w:rPr>
        <w:lastRenderedPageBreak/>
        <w:t>Essay three:</w:t>
      </w:r>
    </w:p>
    <w:p w14:paraId="1EFA5D44" w14:textId="77777777" w:rsidR="0004470F" w:rsidRPr="00C6015A" w:rsidRDefault="0004470F" w:rsidP="0004470F">
      <w:pPr>
        <w:spacing w:line="257" w:lineRule="auto"/>
        <w:ind w:left="567" w:right="531"/>
        <w:rPr>
          <w:rFonts w:cstheme="minorHAnsi"/>
        </w:rPr>
      </w:pPr>
      <w:r w:rsidRPr="00C6015A">
        <w:rPr>
          <w:rFonts w:eastAsia="Calibri" w:cstheme="minorHAnsi"/>
          <w:u w:val="single"/>
        </w:rPr>
        <w:t>Critically evaluate</w:t>
      </w:r>
      <w:r w:rsidRPr="00C6015A">
        <w:rPr>
          <w:rFonts w:eastAsia="Calibri" w:cstheme="minorHAnsi"/>
        </w:rPr>
        <w:t xml:space="preserve"> methods used to communicate information and intelligence both within individual police forces and more widely. Are current methods effective, and how might they be improved? Your answer must be based on academic research, but you may </w:t>
      </w:r>
      <w:proofErr w:type="gramStart"/>
      <w:r w:rsidRPr="00C6015A">
        <w:rPr>
          <w:rFonts w:eastAsia="Calibri" w:cstheme="minorHAnsi"/>
        </w:rPr>
        <w:t>make reference</w:t>
      </w:r>
      <w:proofErr w:type="gramEnd"/>
      <w:r w:rsidRPr="00C6015A">
        <w:rPr>
          <w:rFonts w:eastAsia="Calibri" w:cstheme="minorHAnsi"/>
        </w:rPr>
        <w:t xml:space="preserve"> to recent, relevant examples.</w:t>
      </w:r>
    </w:p>
    <w:p w14:paraId="05D8CB9B" w14:textId="77777777" w:rsidR="0004470F" w:rsidRPr="00C6015A" w:rsidRDefault="0004470F" w:rsidP="0004470F">
      <w:pPr>
        <w:spacing w:line="257" w:lineRule="auto"/>
        <w:ind w:left="567" w:right="531"/>
        <w:rPr>
          <w:rFonts w:cstheme="minorHAnsi"/>
        </w:rPr>
      </w:pPr>
      <w:r w:rsidRPr="00C6015A">
        <w:rPr>
          <w:rFonts w:eastAsia="Calibri" w:cstheme="minorHAnsi"/>
          <w:b/>
          <w:bCs/>
        </w:rPr>
        <w:t xml:space="preserve">Word limit: </w:t>
      </w:r>
      <w:r w:rsidRPr="00C6015A">
        <w:rPr>
          <w:rFonts w:eastAsia="Calibri" w:cstheme="minorHAnsi"/>
        </w:rPr>
        <w:t>1000 words.</w:t>
      </w:r>
    </w:p>
    <w:p w14:paraId="4D7FA914" w14:textId="77777777" w:rsidR="0004470F" w:rsidRPr="00C6015A" w:rsidRDefault="0004470F" w:rsidP="0004470F">
      <w:pPr>
        <w:rPr>
          <w:rFonts w:cstheme="minorHAnsi"/>
        </w:rPr>
      </w:pPr>
    </w:p>
    <w:p w14:paraId="7CEC223E" w14:textId="1C80EBE3" w:rsidR="0004470F" w:rsidRPr="00C6015A" w:rsidRDefault="0004470F" w:rsidP="0004470F">
      <w:pPr>
        <w:rPr>
          <w:rFonts w:cstheme="minorHAnsi"/>
        </w:rPr>
      </w:pPr>
      <w:r w:rsidRPr="00C6015A">
        <w:rPr>
          <w:rFonts w:cstheme="minorHAnsi"/>
        </w:rPr>
        <w:t xml:space="preserve">There are several policing systems used nationally and internationally. ‘’There are two large national databases of information for police use in the UK: the Police National Computer (PNC) and the more recently established Police National database (PND)’ (Bryant &amp; Bryant, 2020). Police services have a system which they utilise on a local level. Within Gwent Police that system is Niche. The system is used to record crimes and hold information pertaining to investigations. Each incident is given a unique reference number and within is where officers will link related people, addresses, property, investigation and the case file. It is also utilised within custody when a person is arrested it stores the detainee’s custody risk assessment, picture, PACE clock and entitlements. Whilst other forces also use Niche, typically they are not interlinked, Gwent Police are able to see and access Niche </w:t>
      </w:r>
      <w:r w:rsidR="00CD1914" w:rsidRPr="00C6015A">
        <w:rPr>
          <w:rFonts w:cstheme="minorHAnsi"/>
        </w:rPr>
        <w:t>o</w:t>
      </w:r>
      <w:r w:rsidRPr="00C6015A">
        <w:rPr>
          <w:rFonts w:cstheme="minorHAnsi"/>
        </w:rPr>
        <w:t xml:space="preserve">ccurrences and </w:t>
      </w:r>
      <w:r w:rsidR="00CD1914" w:rsidRPr="00C6015A">
        <w:rPr>
          <w:rFonts w:cstheme="minorHAnsi"/>
        </w:rPr>
        <w:t>i</w:t>
      </w:r>
      <w:r w:rsidRPr="00C6015A">
        <w:rPr>
          <w:rFonts w:cstheme="minorHAnsi"/>
        </w:rPr>
        <w:t xml:space="preserve">ntelligence which relate to South Wales Police and vice versa, but that is the extent of its collaborative nature. Avon and Somerset also utilise the same system, but Gwent cannot access or view it. </w:t>
      </w:r>
    </w:p>
    <w:p w14:paraId="09EA8CFA" w14:textId="77777777" w:rsidR="0004470F" w:rsidRPr="00C6015A" w:rsidRDefault="0004470F" w:rsidP="0004470F">
      <w:pPr>
        <w:rPr>
          <w:rFonts w:cstheme="minorHAnsi"/>
        </w:rPr>
      </w:pPr>
      <w:r w:rsidRPr="00C6015A">
        <w:rPr>
          <w:rFonts w:cstheme="minorHAnsi"/>
        </w:rPr>
        <w:t>The Police National Computer (PNC) is used on a national basis. It records information relating to offences and convictions, vehicle and license information as well as information relating to firearms and shotgun certificate holders and circulating those that are wanted by police. Nationally, forces can view details of offenders however on the PNC but, they cannot view developing intelligence in other force areas.</w:t>
      </w:r>
    </w:p>
    <w:p w14:paraId="5647D550" w14:textId="18E61E83" w:rsidR="0004470F" w:rsidRPr="00C6015A" w:rsidRDefault="0004470F" w:rsidP="0004470F">
      <w:pPr>
        <w:rPr>
          <w:rFonts w:cstheme="minorHAnsi"/>
        </w:rPr>
      </w:pPr>
      <w:r w:rsidRPr="00C6015A">
        <w:rPr>
          <w:rFonts w:cstheme="minorHAnsi"/>
        </w:rPr>
        <w:t xml:space="preserve">The PNC was established in 1974 and whilst it stores a multitude of information which can be accessed by all forces it is outdated, the system itself is archaic and the language used to define ethnicity is not in keeping with the age in which we live. Following a technical issue in 2021 information pertaining to offenders was erased ‘According to a letter sent to the National Police Chiefs’ Council, more than 400,000 offence records, arrest records and person records may have been deleted, as well as tens of thousands of fingerprint records and DNA records, some of which had been marked for “indefinite retention”.’ (Grierson, 2021) The error presented police with an issue in that they would not have been properly advised when conducting searches using the system. </w:t>
      </w:r>
    </w:p>
    <w:p w14:paraId="739BE298" w14:textId="1493A769" w:rsidR="0004470F" w:rsidRPr="00C6015A" w:rsidRDefault="0004470F" w:rsidP="0004470F">
      <w:pPr>
        <w:rPr>
          <w:rFonts w:cstheme="minorHAnsi"/>
        </w:rPr>
      </w:pPr>
      <w:r w:rsidRPr="00C6015A">
        <w:rPr>
          <w:rFonts w:cstheme="minorHAnsi"/>
        </w:rPr>
        <w:t xml:space="preserve">In 2002, Holly Wells and Jessica Chapman two 10-year-old girls left a family event together and were murdered by Ian Huntley. The murder of the schoolgirls shook the nation but sparked the much-needed Bichard Inquiry regarding how police share information and intelligence and how that is shared with partner agencies such as schools, NHS and social services. ‘Allegations of Huntley’s sexual obsession with young girls can be traced back to August 1995, when the family of a </w:t>
      </w:r>
      <w:proofErr w:type="gramStart"/>
      <w:r w:rsidRPr="00C6015A">
        <w:rPr>
          <w:rFonts w:cstheme="minorHAnsi"/>
        </w:rPr>
        <w:t>school girl</w:t>
      </w:r>
      <w:proofErr w:type="gramEnd"/>
      <w:r w:rsidRPr="00C6015A">
        <w:rPr>
          <w:rFonts w:cstheme="minorHAnsi"/>
        </w:rPr>
        <w:t xml:space="preserve"> claimed he had sex with her. And yet even though both police and social services were to </w:t>
      </w:r>
      <w:proofErr w:type="spellStart"/>
      <w:proofErr w:type="gramStart"/>
      <w:r w:rsidRPr="00C6015A">
        <w:rPr>
          <w:rFonts w:cstheme="minorHAnsi"/>
        </w:rPr>
        <w:t>received</w:t>
      </w:r>
      <w:proofErr w:type="spellEnd"/>
      <w:proofErr w:type="gramEnd"/>
      <w:r w:rsidRPr="00C6015A">
        <w:rPr>
          <w:rFonts w:cstheme="minorHAnsi"/>
        </w:rPr>
        <w:t xml:space="preserve"> a string of accusations of rape against him over the years, he was still able to find work at a school close to the very innocence of childhood.’ (Giblin &amp; Richards, 2008</w:t>
      </w:r>
      <w:proofErr w:type="gramStart"/>
      <w:r w:rsidRPr="00C6015A">
        <w:rPr>
          <w:rFonts w:cstheme="minorHAnsi"/>
        </w:rPr>
        <w:t>)  As</w:t>
      </w:r>
      <w:proofErr w:type="gramEnd"/>
      <w:r w:rsidRPr="00C6015A">
        <w:rPr>
          <w:rFonts w:cstheme="minorHAnsi"/>
        </w:rPr>
        <w:t xml:space="preserve"> the investigation unfolded it was discovered that Huntley had been involved in investigations relating to sexual offences but was still successful in obtaining a role in a setting where he would have access to children. ‘The PND enables information and intelligence to be shared between police forces. It was set up in 2011 partly </w:t>
      </w:r>
      <w:r w:rsidRPr="00C6015A">
        <w:rPr>
          <w:rFonts w:cstheme="minorHAnsi"/>
        </w:rPr>
        <w:lastRenderedPageBreak/>
        <w:t>as a consequence of the inadequacies uncovered during the Bichard inquiry into the Soham Murders in 2002 and replaced the IMPACT Nominal index</w:t>
      </w:r>
      <w:proofErr w:type="gramStart"/>
      <w:r w:rsidRPr="00C6015A">
        <w:rPr>
          <w:rFonts w:cstheme="minorHAnsi"/>
        </w:rPr>
        <w:t>’(</w:t>
      </w:r>
      <w:proofErr w:type="gramEnd"/>
      <w:r w:rsidRPr="00C6015A">
        <w:rPr>
          <w:rFonts w:cstheme="minorHAnsi"/>
        </w:rPr>
        <w:t>Bryant &amp; Bryant, 2020).</w:t>
      </w:r>
    </w:p>
    <w:p w14:paraId="3DC57680" w14:textId="1196E8CB" w:rsidR="0004470F" w:rsidRPr="00C6015A" w:rsidRDefault="0004470F" w:rsidP="0004470F">
      <w:pPr>
        <w:rPr>
          <w:rFonts w:cstheme="minorHAnsi"/>
        </w:rPr>
      </w:pPr>
      <w:r w:rsidRPr="00C6015A">
        <w:rPr>
          <w:rFonts w:cstheme="minorHAnsi"/>
        </w:rPr>
        <w:t xml:space="preserve">Subsequently the Police National Database (PND) was established in 2011 following the recommendations of the Bichard Inquiry. PND allows the user to view convictions which they would find on PNC but the difference between the two is that the user can also view intelligence and </w:t>
      </w:r>
      <w:r w:rsidR="005E1353" w:rsidRPr="00C6015A">
        <w:rPr>
          <w:rFonts w:cstheme="minorHAnsi"/>
        </w:rPr>
        <w:t>discontinued</w:t>
      </w:r>
      <w:r w:rsidRPr="00C6015A">
        <w:rPr>
          <w:rFonts w:cstheme="minorHAnsi"/>
        </w:rPr>
        <w:t xml:space="preserve"> incidents from other forces. Not only is this beneficial for the purpose of disclosure and barring but for offenders travelling to different areas within the UK and committing further offences. Whilst PND bridges an information gap, there are only a certain people within forces who have access to it, and this presents the issue that there can be a delay in obtaining information relating to a nominal that lives outside of the local force area. ‘The Police National Database (PND), set up last year to ensure convicts and suspects could not hide across county borders, is set to hit one million searches.’ (Prickett, 2012</w:t>
      </w:r>
      <w:proofErr w:type="gramStart"/>
      <w:r w:rsidRPr="00C6015A">
        <w:rPr>
          <w:rFonts w:cstheme="minorHAnsi"/>
        </w:rPr>
        <w:t>)  Whilst</w:t>
      </w:r>
      <w:proofErr w:type="gramEnd"/>
      <w:r w:rsidRPr="00C6015A">
        <w:rPr>
          <w:rFonts w:cstheme="minorHAnsi"/>
        </w:rPr>
        <w:t xml:space="preserve"> the system was created as a reactive measure following the failings of agencies, this suggests that a year into its implementation within forces the system was being utilised. </w:t>
      </w:r>
    </w:p>
    <w:p w14:paraId="0717A02C" w14:textId="119D9F46" w:rsidR="0004470F" w:rsidRPr="00C6015A" w:rsidRDefault="0004470F" w:rsidP="0004470F">
      <w:pPr>
        <w:rPr>
          <w:rFonts w:cstheme="minorHAnsi"/>
        </w:rPr>
      </w:pPr>
      <w:r w:rsidRPr="00C6015A">
        <w:rPr>
          <w:rFonts w:cstheme="minorHAnsi"/>
        </w:rPr>
        <w:t xml:space="preserve">This is especially important when dealing with children at risk. When police and social services have strategy discussions about children the actions and outcomes are stored within local systems, meaning they cannot be viewed on PNC. Meaning where people present a risk to children or vulnerable adults if robust checks are not made using PND it could have a detrimental impact on the safety of those that are vulnerable. Strategy discussions are a way for police to share information with partner agencies such as social services, education and NHS to name but a few. Not only does this provide important information for the purpose of safeguarding those that are vulnerable, </w:t>
      </w:r>
      <w:r w:rsidR="005E1353" w:rsidRPr="00C6015A">
        <w:rPr>
          <w:rFonts w:cstheme="minorHAnsi"/>
        </w:rPr>
        <w:t>but it also</w:t>
      </w:r>
      <w:r w:rsidRPr="00C6015A">
        <w:rPr>
          <w:rFonts w:cstheme="minorHAnsi"/>
        </w:rPr>
        <w:t xml:space="preserve"> allows partner agencies to pass information to police which may not have been know or is key in developing intelligence. </w:t>
      </w:r>
    </w:p>
    <w:p w14:paraId="58777469" w14:textId="030B5104" w:rsidR="0004470F" w:rsidRPr="00C6015A" w:rsidRDefault="0004470F" w:rsidP="0004470F">
      <w:pPr>
        <w:rPr>
          <w:rFonts w:cstheme="minorHAnsi"/>
        </w:rPr>
      </w:pPr>
      <w:r w:rsidRPr="00C6015A">
        <w:rPr>
          <w:rFonts w:cstheme="minorHAnsi"/>
        </w:rPr>
        <w:t>Finally, whilst technology and methods being utilised within forces are more technological than ever, systems such as PNC are outdated and in need of rejuvenation or phasing out. Safeguarding vulnerable people and children is a multi-agency responsibility, and in order to do this appropriately technology needs to be developed Forces need to have a more collaborative approach when sharing information not only for the purpose of keeping the public safe but also for ease of operations and quality of service delivery and this could be achieved by a new national system, used by all forces, with functionality for forces to communicate with ease on a secure platform. Forces require systems that are reliable, present all the information necessary for their roles and that are user friendly. Current methods are effective, the purpose of the Bichard Inquiry was to correct the lapse in communication of information and intelligence between police forces and other agencies, response officers are presented with the information as and when they need it via their force control room operators, and police staff have access to information to inform disclosure and barring, vetting and information passed to social services for the purpose of strategy discussions which are used to appropriately determine actions for the purpose of safeguarding.</w:t>
      </w:r>
    </w:p>
    <w:p w14:paraId="71CB567A" w14:textId="40331722" w:rsidR="0004470F" w:rsidRPr="00C6015A" w:rsidRDefault="0004470F" w:rsidP="0004470F">
      <w:pPr>
        <w:rPr>
          <w:rFonts w:cstheme="minorHAnsi"/>
          <w:b/>
          <w:bCs/>
        </w:rPr>
      </w:pPr>
      <w:r w:rsidRPr="00C6015A">
        <w:rPr>
          <w:rFonts w:cstheme="minorHAnsi"/>
          <w:b/>
          <w:bCs/>
        </w:rPr>
        <w:t>Word Count 109</w:t>
      </w:r>
      <w:r w:rsidR="005E1353" w:rsidRPr="00C6015A">
        <w:rPr>
          <w:rFonts w:cstheme="minorHAnsi"/>
          <w:b/>
          <w:bCs/>
        </w:rPr>
        <w:t>0</w:t>
      </w:r>
    </w:p>
    <w:p w14:paraId="39D90AFA" w14:textId="28289350" w:rsidR="0004470F" w:rsidRPr="00C6015A" w:rsidRDefault="0004470F" w:rsidP="0004470F">
      <w:pPr>
        <w:rPr>
          <w:rFonts w:cstheme="minorHAnsi"/>
          <w:b/>
          <w:bCs/>
        </w:rPr>
      </w:pPr>
      <w:r w:rsidRPr="00C6015A">
        <w:rPr>
          <w:rFonts w:cstheme="minorHAnsi"/>
          <w:b/>
          <w:bCs/>
        </w:rPr>
        <w:t>Bibliography</w:t>
      </w:r>
    </w:p>
    <w:p w14:paraId="117CD60E" w14:textId="48DAC0F0" w:rsidR="0004470F" w:rsidRPr="00C6015A" w:rsidRDefault="0004470F" w:rsidP="0004470F">
      <w:pPr>
        <w:rPr>
          <w:rFonts w:cstheme="minorHAnsi"/>
        </w:rPr>
      </w:pPr>
      <w:r w:rsidRPr="00C6015A">
        <w:rPr>
          <w:rFonts w:cstheme="minorHAnsi"/>
        </w:rPr>
        <w:t xml:space="preserve">Bryant, R. and Bryant, S. (2020) Blackstone’s Handbook for Policing Students 2021. Oxford: Oxford University Press. </w:t>
      </w:r>
    </w:p>
    <w:p w14:paraId="2F9615F4" w14:textId="0B28A45D" w:rsidR="0004470F" w:rsidRPr="00C6015A" w:rsidRDefault="0004470F" w:rsidP="0004470F">
      <w:pPr>
        <w:rPr>
          <w:rFonts w:cstheme="minorHAnsi"/>
        </w:rPr>
      </w:pPr>
      <w:r w:rsidRPr="00C6015A">
        <w:rPr>
          <w:rFonts w:cstheme="minorHAnsi"/>
        </w:rPr>
        <w:t xml:space="preserve">Giblin, H. and Richards, S. (2008) Hailey’s story. London: John Blake. </w:t>
      </w:r>
    </w:p>
    <w:p w14:paraId="24D05A42" w14:textId="313629DA" w:rsidR="0004470F" w:rsidRPr="00C6015A" w:rsidRDefault="0004470F" w:rsidP="0004470F">
      <w:pPr>
        <w:rPr>
          <w:rFonts w:cstheme="minorHAnsi"/>
        </w:rPr>
      </w:pPr>
      <w:r w:rsidRPr="00C6015A">
        <w:rPr>
          <w:rFonts w:cstheme="minorHAnsi"/>
        </w:rPr>
        <w:lastRenderedPageBreak/>
        <w:t xml:space="preserve">Grierson, J. (2021) What the loss of records from the Police National Computer Means, The Guardian. Available at: https://www.theguardian.com/uk-news/2021/jan/15/what-the-loss-of-records-from-the-police-national-computer-means (Accessed: 03 June 2023). </w:t>
      </w:r>
    </w:p>
    <w:p w14:paraId="68235630" w14:textId="77777777" w:rsidR="0004470F" w:rsidRPr="00C6015A" w:rsidRDefault="0004470F" w:rsidP="0004470F">
      <w:pPr>
        <w:rPr>
          <w:rFonts w:cstheme="minorHAnsi"/>
        </w:rPr>
      </w:pPr>
      <w:r w:rsidRPr="00C6015A">
        <w:rPr>
          <w:rFonts w:cstheme="minorHAnsi"/>
        </w:rPr>
        <w:t>Prickett, K. (2012) Police database to hit 1M searches 10 years after Soham, BBC News. Available at: https://www.bbc.co.uk/news/uk-england-cambridgeshire-19253506 (Accessed: 03 June 2023).</w:t>
      </w:r>
    </w:p>
    <w:p w14:paraId="69079AE0" w14:textId="77777777" w:rsidR="0004470F" w:rsidRPr="00C6015A" w:rsidRDefault="0004470F" w:rsidP="0004470F">
      <w:pPr>
        <w:spacing w:line="257" w:lineRule="auto"/>
        <w:ind w:right="531"/>
        <w:rPr>
          <w:rFonts w:cstheme="minorHAnsi"/>
        </w:rPr>
      </w:pPr>
    </w:p>
    <w:p w14:paraId="58E18DCD" w14:textId="77777777" w:rsidR="0004470F" w:rsidRPr="00C6015A" w:rsidRDefault="0004470F" w:rsidP="0004470F">
      <w:pPr>
        <w:spacing w:line="257" w:lineRule="auto"/>
        <w:ind w:right="531"/>
        <w:rPr>
          <w:rFonts w:cstheme="minorHAnsi"/>
        </w:rPr>
      </w:pPr>
    </w:p>
    <w:p w14:paraId="773BDA85" w14:textId="77777777" w:rsidR="0004470F" w:rsidRPr="00C6015A" w:rsidRDefault="0004470F" w:rsidP="0004470F">
      <w:pPr>
        <w:spacing w:line="257" w:lineRule="auto"/>
        <w:ind w:right="531"/>
        <w:rPr>
          <w:rFonts w:cstheme="minorHAnsi"/>
        </w:rPr>
      </w:pPr>
    </w:p>
    <w:p w14:paraId="4A30C488" w14:textId="77777777" w:rsidR="0004470F" w:rsidRPr="00C6015A" w:rsidRDefault="0004470F" w:rsidP="0004470F">
      <w:pPr>
        <w:spacing w:line="257" w:lineRule="auto"/>
        <w:ind w:right="531"/>
        <w:rPr>
          <w:rFonts w:cstheme="minorHAnsi"/>
        </w:rPr>
      </w:pPr>
    </w:p>
    <w:p w14:paraId="6491D6E8" w14:textId="77777777" w:rsidR="0004470F" w:rsidRPr="00C6015A" w:rsidRDefault="0004470F" w:rsidP="0004470F">
      <w:pPr>
        <w:spacing w:line="257" w:lineRule="auto"/>
        <w:ind w:right="531"/>
        <w:rPr>
          <w:rFonts w:cstheme="minorHAnsi"/>
        </w:rPr>
      </w:pPr>
    </w:p>
    <w:p w14:paraId="5B5BDFE3" w14:textId="77777777" w:rsidR="0004470F" w:rsidRPr="00C6015A" w:rsidRDefault="0004470F" w:rsidP="0004470F">
      <w:pPr>
        <w:spacing w:line="257" w:lineRule="auto"/>
        <w:ind w:right="531"/>
        <w:rPr>
          <w:rFonts w:cstheme="minorHAnsi"/>
        </w:rPr>
      </w:pPr>
    </w:p>
    <w:p w14:paraId="5F232727" w14:textId="77777777" w:rsidR="0004470F" w:rsidRPr="00C6015A" w:rsidRDefault="0004470F" w:rsidP="0004470F">
      <w:pPr>
        <w:spacing w:line="257" w:lineRule="auto"/>
        <w:ind w:right="531"/>
        <w:rPr>
          <w:rFonts w:cstheme="minorHAnsi"/>
        </w:rPr>
      </w:pPr>
    </w:p>
    <w:p w14:paraId="7B03B537" w14:textId="77777777" w:rsidR="0004470F" w:rsidRPr="00C6015A" w:rsidRDefault="0004470F" w:rsidP="0004470F">
      <w:pPr>
        <w:spacing w:line="257" w:lineRule="auto"/>
        <w:ind w:right="531"/>
        <w:rPr>
          <w:rFonts w:cstheme="minorHAnsi"/>
        </w:rPr>
      </w:pPr>
    </w:p>
    <w:p w14:paraId="784FAB62" w14:textId="77777777" w:rsidR="0004470F" w:rsidRPr="00C6015A" w:rsidRDefault="0004470F" w:rsidP="0004470F">
      <w:pPr>
        <w:spacing w:line="257" w:lineRule="auto"/>
        <w:ind w:right="531"/>
        <w:rPr>
          <w:rFonts w:cstheme="minorHAnsi"/>
        </w:rPr>
      </w:pPr>
    </w:p>
    <w:p w14:paraId="6E22D972" w14:textId="77777777" w:rsidR="0004470F" w:rsidRPr="00C6015A" w:rsidRDefault="0004470F" w:rsidP="0004470F">
      <w:pPr>
        <w:spacing w:line="257" w:lineRule="auto"/>
        <w:ind w:right="531"/>
        <w:rPr>
          <w:rFonts w:cstheme="minorHAnsi"/>
        </w:rPr>
      </w:pPr>
    </w:p>
    <w:p w14:paraId="01CDDA42" w14:textId="77777777" w:rsidR="0004470F" w:rsidRPr="00C6015A" w:rsidRDefault="0004470F" w:rsidP="0004470F">
      <w:pPr>
        <w:spacing w:line="257" w:lineRule="auto"/>
        <w:ind w:right="531"/>
        <w:rPr>
          <w:rFonts w:cstheme="minorHAnsi"/>
        </w:rPr>
      </w:pPr>
    </w:p>
    <w:p w14:paraId="55B9EB0C" w14:textId="77777777" w:rsidR="0004470F" w:rsidRPr="00C6015A" w:rsidRDefault="0004470F" w:rsidP="0004470F">
      <w:pPr>
        <w:spacing w:line="257" w:lineRule="auto"/>
        <w:ind w:right="531"/>
        <w:rPr>
          <w:rFonts w:cstheme="minorHAnsi"/>
        </w:rPr>
      </w:pPr>
    </w:p>
    <w:p w14:paraId="06BC1694" w14:textId="77777777" w:rsidR="0004470F" w:rsidRPr="00C6015A" w:rsidRDefault="0004470F" w:rsidP="0004470F">
      <w:pPr>
        <w:spacing w:line="257" w:lineRule="auto"/>
        <w:ind w:right="531"/>
        <w:rPr>
          <w:rFonts w:cstheme="minorHAnsi"/>
        </w:rPr>
      </w:pPr>
    </w:p>
    <w:p w14:paraId="31C2F9D6" w14:textId="77777777" w:rsidR="0004470F" w:rsidRPr="00C6015A" w:rsidRDefault="0004470F" w:rsidP="0004470F">
      <w:pPr>
        <w:spacing w:line="257" w:lineRule="auto"/>
        <w:ind w:right="531"/>
        <w:rPr>
          <w:rFonts w:cstheme="minorHAnsi"/>
        </w:rPr>
      </w:pPr>
    </w:p>
    <w:p w14:paraId="70ED7E0A" w14:textId="77777777" w:rsidR="0004470F" w:rsidRPr="00C6015A" w:rsidRDefault="0004470F" w:rsidP="0004470F">
      <w:pPr>
        <w:spacing w:line="257" w:lineRule="auto"/>
        <w:ind w:right="531"/>
        <w:rPr>
          <w:rFonts w:cstheme="minorHAnsi"/>
        </w:rPr>
      </w:pPr>
    </w:p>
    <w:p w14:paraId="162852C1" w14:textId="77777777" w:rsidR="0004470F" w:rsidRPr="00C6015A" w:rsidRDefault="0004470F" w:rsidP="0004470F">
      <w:pPr>
        <w:spacing w:line="257" w:lineRule="auto"/>
        <w:ind w:right="531"/>
        <w:rPr>
          <w:rFonts w:cstheme="minorHAnsi"/>
        </w:rPr>
      </w:pPr>
    </w:p>
    <w:p w14:paraId="00D1E33A" w14:textId="77777777" w:rsidR="0004470F" w:rsidRPr="00C6015A" w:rsidRDefault="0004470F" w:rsidP="0004470F">
      <w:pPr>
        <w:spacing w:line="257" w:lineRule="auto"/>
        <w:ind w:right="531"/>
        <w:rPr>
          <w:rFonts w:cstheme="minorHAnsi"/>
        </w:rPr>
      </w:pPr>
    </w:p>
    <w:p w14:paraId="15D67363" w14:textId="77777777" w:rsidR="0004470F" w:rsidRPr="00C6015A" w:rsidRDefault="0004470F" w:rsidP="0004470F">
      <w:pPr>
        <w:spacing w:line="257" w:lineRule="auto"/>
        <w:ind w:right="531"/>
        <w:rPr>
          <w:rFonts w:cstheme="minorHAnsi"/>
        </w:rPr>
      </w:pPr>
    </w:p>
    <w:p w14:paraId="52B9DE42" w14:textId="77777777" w:rsidR="0004470F" w:rsidRPr="00C6015A" w:rsidRDefault="0004470F" w:rsidP="0004470F">
      <w:pPr>
        <w:spacing w:line="257" w:lineRule="auto"/>
        <w:ind w:right="531"/>
        <w:rPr>
          <w:rFonts w:cstheme="minorHAnsi"/>
        </w:rPr>
      </w:pPr>
    </w:p>
    <w:p w14:paraId="208603C8" w14:textId="77777777" w:rsidR="0004470F" w:rsidRPr="00C6015A" w:rsidRDefault="0004470F" w:rsidP="0004470F">
      <w:pPr>
        <w:spacing w:line="257" w:lineRule="auto"/>
        <w:ind w:right="531"/>
        <w:rPr>
          <w:rFonts w:cstheme="minorHAnsi"/>
        </w:rPr>
      </w:pPr>
    </w:p>
    <w:p w14:paraId="63CD6B99" w14:textId="77777777" w:rsidR="0004470F" w:rsidRPr="00C6015A" w:rsidRDefault="0004470F" w:rsidP="0004470F">
      <w:pPr>
        <w:spacing w:line="257" w:lineRule="auto"/>
        <w:ind w:right="531"/>
        <w:rPr>
          <w:rFonts w:cstheme="minorHAnsi"/>
        </w:rPr>
      </w:pPr>
    </w:p>
    <w:p w14:paraId="16476DC7" w14:textId="77777777" w:rsidR="005E1353" w:rsidRPr="00C6015A" w:rsidRDefault="005E1353" w:rsidP="0004470F">
      <w:pPr>
        <w:spacing w:line="257" w:lineRule="auto"/>
        <w:ind w:right="531"/>
        <w:rPr>
          <w:rFonts w:cstheme="minorHAnsi"/>
        </w:rPr>
      </w:pPr>
    </w:p>
    <w:p w14:paraId="54BA6AD1" w14:textId="77777777" w:rsidR="005E1353" w:rsidRPr="00C6015A" w:rsidRDefault="005E1353" w:rsidP="0004470F">
      <w:pPr>
        <w:spacing w:line="257" w:lineRule="auto"/>
        <w:ind w:right="531"/>
        <w:rPr>
          <w:rFonts w:cstheme="minorHAnsi"/>
        </w:rPr>
      </w:pPr>
    </w:p>
    <w:p w14:paraId="46C0D828" w14:textId="77777777" w:rsidR="005E1353" w:rsidRPr="00C6015A" w:rsidRDefault="005E1353" w:rsidP="0004470F">
      <w:pPr>
        <w:spacing w:line="257" w:lineRule="auto"/>
        <w:ind w:right="531"/>
        <w:rPr>
          <w:rFonts w:cstheme="minorHAnsi"/>
        </w:rPr>
      </w:pPr>
    </w:p>
    <w:p w14:paraId="5374AC35" w14:textId="77777777" w:rsidR="005E1353" w:rsidRPr="00C6015A" w:rsidRDefault="005E1353" w:rsidP="0004470F">
      <w:pPr>
        <w:spacing w:line="257" w:lineRule="auto"/>
        <w:ind w:right="531"/>
        <w:rPr>
          <w:rFonts w:cstheme="minorHAnsi"/>
        </w:rPr>
      </w:pPr>
    </w:p>
    <w:p w14:paraId="27D42DC6" w14:textId="77777777" w:rsidR="0004470F" w:rsidRDefault="0004470F" w:rsidP="0004470F">
      <w:pPr>
        <w:spacing w:line="257" w:lineRule="auto"/>
        <w:ind w:right="531"/>
        <w:rPr>
          <w:rFonts w:cstheme="minorHAnsi"/>
        </w:rPr>
      </w:pPr>
    </w:p>
    <w:p w14:paraId="4DC5C4CB" w14:textId="77777777" w:rsidR="00C6015A" w:rsidRPr="00C6015A" w:rsidRDefault="00C6015A" w:rsidP="0004470F">
      <w:pPr>
        <w:spacing w:line="257" w:lineRule="auto"/>
        <w:ind w:right="531"/>
        <w:rPr>
          <w:rFonts w:cstheme="minorHAnsi"/>
        </w:rPr>
      </w:pPr>
    </w:p>
    <w:p w14:paraId="5AA5BFD2" w14:textId="77777777" w:rsidR="0004470F" w:rsidRPr="00C6015A" w:rsidRDefault="0004470F" w:rsidP="0004470F">
      <w:pPr>
        <w:spacing w:line="257" w:lineRule="auto"/>
        <w:ind w:right="531"/>
        <w:rPr>
          <w:rFonts w:cstheme="minorHAnsi"/>
          <w:b/>
          <w:bCs/>
        </w:rPr>
      </w:pPr>
      <w:r w:rsidRPr="00C6015A">
        <w:rPr>
          <w:rFonts w:cstheme="minorHAnsi"/>
          <w:b/>
          <w:bCs/>
        </w:rPr>
        <w:lastRenderedPageBreak/>
        <w:t xml:space="preserve">Essay four: </w:t>
      </w:r>
    </w:p>
    <w:p w14:paraId="23BCC311" w14:textId="77777777" w:rsidR="0004470F" w:rsidRPr="00C6015A" w:rsidRDefault="0004470F" w:rsidP="0004470F">
      <w:pPr>
        <w:spacing w:line="257" w:lineRule="auto"/>
        <w:ind w:left="567" w:right="531"/>
        <w:rPr>
          <w:rFonts w:eastAsia="Calibri" w:cstheme="minorHAnsi"/>
        </w:rPr>
      </w:pPr>
      <w:r w:rsidRPr="00C6015A">
        <w:rPr>
          <w:rFonts w:eastAsia="Calibri" w:cstheme="minorHAnsi"/>
        </w:rPr>
        <w:t xml:space="preserve">What impact can personal bias have on investigations, and </w:t>
      </w:r>
      <w:r w:rsidRPr="00C6015A">
        <w:rPr>
          <w:rFonts w:eastAsia="Calibri" w:cstheme="minorHAnsi"/>
          <w:u w:val="single"/>
        </w:rPr>
        <w:t>how effective</w:t>
      </w:r>
      <w:r w:rsidRPr="00C6015A">
        <w:rPr>
          <w:rFonts w:eastAsia="Calibri" w:cstheme="minorHAnsi"/>
        </w:rPr>
        <w:t xml:space="preserve"> are the measures in place to prevent this? Your answer must be based on academic research rather than personal experience. </w:t>
      </w:r>
    </w:p>
    <w:p w14:paraId="1B942C9C" w14:textId="77777777" w:rsidR="0004470F" w:rsidRPr="00C6015A" w:rsidRDefault="0004470F" w:rsidP="0004470F">
      <w:pPr>
        <w:spacing w:line="257" w:lineRule="auto"/>
        <w:ind w:left="567" w:right="531"/>
        <w:rPr>
          <w:rFonts w:cstheme="minorHAnsi"/>
        </w:rPr>
      </w:pPr>
      <w:r w:rsidRPr="00C6015A">
        <w:rPr>
          <w:rFonts w:eastAsia="Calibri" w:cstheme="minorHAnsi"/>
          <w:b/>
          <w:bCs/>
        </w:rPr>
        <w:t xml:space="preserve">Word limit: </w:t>
      </w:r>
      <w:r w:rsidRPr="00C6015A">
        <w:rPr>
          <w:rFonts w:eastAsia="Calibri" w:cstheme="minorHAnsi"/>
        </w:rPr>
        <w:t xml:space="preserve">1000 words. </w:t>
      </w:r>
    </w:p>
    <w:p w14:paraId="1E801073" w14:textId="77777777" w:rsidR="0004470F" w:rsidRPr="00C6015A" w:rsidRDefault="0004470F" w:rsidP="0004470F">
      <w:pPr>
        <w:spacing w:line="257" w:lineRule="auto"/>
        <w:ind w:left="567" w:right="531"/>
        <w:rPr>
          <w:rFonts w:eastAsia="Calibri" w:cstheme="minorHAnsi"/>
        </w:rPr>
      </w:pPr>
      <w:r w:rsidRPr="00C6015A">
        <w:rPr>
          <w:rFonts w:eastAsia="Calibri" w:cstheme="minorHAnsi"/>
        </w:rPr>
        <w:t xml:space="preserve"> </w:t>
      </w:r>
    </w:p>
    <w:p w14:paraId="461CC965" w14:textId="69313E5C" w:rsidR="0004470F" w:rsidRPr="00C6015A" w:rsidRDefault="0004470F" w:rsidP="0004470F">
      <w:pPr>
        <w:rPr>
          <w:rFonts w:cstheme="minorHAnsi"/>
        </w:rPr>
      </w:pPr>
      <w:r w:rsidRPr="00C6015A">
        <w:rPr>
          <w:rFonts w:cstheme="minorHAnsi"/>
        </w:rPr>
        <w:t xml:space="preserve">Personal bias is part of the human condition. People are shaped by their experiences and thus bias is developed. When discussing personal biases, the connotations are inherently negative and that could be because the conversation tends to be around racial bias which of course has no place in modern life and especially in policing “To have personal biases is to be human. We all hold our own subjective world views and are influenced and shaped by our experiences, beliefs, values, education, family, friends, peers and others. Being aware of one's biases is vital to both personal well-being and professional success.” (Lindsay </w:t>
      </w:r>
      <w:proofErr w:type="spellStart"/>
      <w:r w:rsidRPr="00C6015A">
        <w:rPr>
          <w:rFonts w:cstheme="minorHAnsi"/>
        </w:rPr>
        <w:t>Northon</w:t>
      </w:r>
      <w:proofErr w:type="spellEnd"/>
      <w:r w:rsidRPr="00C6015A">
        <w:rPr>
          <w:rFonts w:cstheme="minorHAnsi"/>
        </w:rPr>
        <w:t>, 2019)</w:t>
      </w:r>
    </w:p>
    <w:p w14:paraId="60310A63" w14:textId="21323D6B" w:rsidR="0004470F" w:rsidRPr="00C6015A" w:rsidRDefault="0004470F" w:rsidP="0004470F">
      <w:pPr>
        <w:rPr>
          <w:rFonts w:cstheme="minorHAnsi"/>
        </w:rPr>
      </w:pPr>
      <w:r w:rsidRPr="00C6015A">
        <w:rPr>
          <w:rFonts w:cstheme="minorHAnsi"/>
        </w:rPr>
        <w:t xml:space="preserve">Fundamentally, the role of a police officer is to be an independent evidence gatherer, impartiality should sit at the centre of an investigation, after all the age-old saying is innocent until proven guilty. “The guiding principle is that personal factors must play no part in an officer’s decision making unless the police have information or intelligence that gives a specific description of a person likely to be carrying a prohibited item with reference to personal factors. Personal factors must be treated as irrelevant to the decision of </w:t>
      </w:r>
      <w:proofErr w:type="gramStart"/>
      <w:r w:rsidRPr="00C6015A">
        <w:rPr>
          <w:rFonts w:cstheme="minorHAnsi"/>
        </w:rPr>
        <w:t>whether or not</w:t>
      </w:r>
      <w:proofErr w:type="gramEnd"/>
      <w:r w:rsidRPr="00C6015A">
        <w:rPr>
          <w:rFonts w:cstheme="minorHAnsi"/>
        </w:rPr>
        <w:t xml:space="preserve"> to stop and/or search the person.” (College of Policing, 2016) Personal bias can manifest itself in many forms and this can make an investigation problematic as where impartiality and independence in required, the officer’s actions are not without an agenda, and this can affect all forms of evidence gathering.</w:t>
      </w:r>
    </w:p>
    <w:p w14:paraId="42984C2E" w14:textId="53DC6969" w:rsidR="0004470F" w:rsidRPr="00C6015A" w:rsidRDefault="0004470F" w:rsidP="0004470F">
      <w:pPr>
        <w:rPr>
          <w:rFonts w:cstheme="minorHAnsi"/>
        </w:rPr>
      </w:pPr>
      <w:r w:rsidRPr="00C6015A">
        <w:rPr>
          <w:rFonts w:cstheme="minorHAnsi"/>
        </w:rPr>
        <w:t>“Everyone holds implicit beliefs about various social groups, and these biases can have a negative impact in our social, study, and work environments. Implicit biases are harmful because they influence the way we perceive and interact with others — and can lead us to depersonalize people from different groups based on perceived characteristics.” (Maryville University, 2021) Similarly, when interviewing a person, the premise is to allow them to provide their version of events in relation to an incident. When allowing personal bias to impact their perception of a person or situation, the interview could become obstruct</w:t>
      </w:r>
      <w:r w:rsidR="005E1353" w:rsidRPr="00C6015A">
        <w:rPr>
          <w:rFonts w:cstheme="minorHAnsi"/>
        </w:rPr>
        <w:t>ed</w:t>
      </w:r>
      <w:r w:rsidRPr="00C6015A">
        <w:rPr>
          <w:rFonts w:cstheme="minorHAnsi"/>
        </w:rPr>
        <w:t xml:space="preserve"> as the line of questioning is not about the police agenda, it becomes the officer’s agenda. This could the focus away from disproving or proving the offence and becomes an exercise in satisfying the officer’s agenda which could detrimentally impact the quality of the evidence collected.</w:t>
      </w:r>
    </w:p>
    <w:p w14:paraId="67AF4AF6" w14:textId="77777777" w:rsidR="0004470F" w:rsidRPr="00C6015A" w:rsidRDefault="0004470F" w:rsidP="0004470F">
      <w:pPr>
        <w:rPr>
          <w:rFonts w:cstheme="minorHAnsi"/>
        </w:rPr>
      </w:pPr>
      <w:r w:rsidRPr="00C6015A">
        <w:rPr>
          <w:rFonts w:cstheme="minorHAnsi"/>
        </w:rPr>
        <w:t xml:space="preserve">“The literature on confirmation bias provides an insight into the effect that holding a presumption of guilt could have on suspect interviews. Nickerson (1998) describes confirmation bias as ‘the seeking or interpreting of evidence in ways that are partial to existing beliefs, expectations, or a hypothesis in hand’ (p. 175). This can involve both seeking information that confirms a belief, while not seeking, and even avoiding, information that disconfirms the belief.” (Hill et al., 2010) Best practice in interviewing says that there should be two interviewing officers, one making notes and a lead interviewer. It is also best practice to prepare a question set prior to interviewing this is an effective way of ensuring that the officer is following a standardised set of questions that are pertinent to the investigation. A second officer being present in the interview is also a way in which the interview remains impartial as they can address missed questions. </w:t>
      </w:r>
    </w:p>
    <w:p w14:paraId="4ADBBFCB" w14:textId="77777777" w:rsidR="0004470F" w:rsidRPr="00C6015A" w:rsidRDefault="0004470F" w:rsidP="0004470F">
      <w:pPr>
        <w:rPr>
          <w:rFonts w:cstheme="minorHAnsi"/>
        </w:rPr>
      </w:pPr>
    </w:p>
    <w:p w14:paraId="6B8DFE2D" w14:textId="32967A14" w:rsidR="0004470F" w:rsidRPr="00C6015A" w:rsidRDefault="0004470F" w:rsidP="0004470F">
      <w:pPr>
        <w:rPr>
          <w:rFonts w:cstheme="minorHAnsi"/>
        </w:rPr>
      </w:pPr>
      <w:r w:rsidRPr="00C6015A">
        <w:rPr>
          <w:rFonts w:cstheme="minorHAnsi"/>
        </w:rPr>
        <w:lastRenderedPageBreak/>
        <w:t xml:space="preserve">Police stop and search powers have been a </w:t>
      </w:r>
      <w:r w:rsidR="005E1353" w:rsidRPr="00C6015A">
        <w:rPr>
          <w:rFonts w:cstheme="minorHAnsi"/>
        </w:rPr>
        <w:t>source</w:t>
      </w:r>
      <w:r w:rsidRPr="00C6015A">
        <w:rPr>
          <w:rFonts w:cstheme="minorHAnsi"/>
        </w:rPr>
        <w:t xml:space="preserve"> of contention for some time. When conducting a stop and search, like any use of a police power there are procedures in place to ensure that it is used for a legitimate policing purpose. “As the duty prohibits discrimination, harassment or victimisation based on protected characteristics, it is unlawful for an officer to base the decision to stop and/or search a person on protected characteristics. Protected characteristics are age, disability, gender reassignment, marriage and civil partnership, pregnancy and maternity, race, religion or belief, sex and sexual orientation.” (College of Policing, 2016) When conducting a search officer are guided by the pneumonic GOWISLEY and this ensures that the persons rights are protected in that they are given justification as to why they are being searched, what power they are being searched under and that they are entitled to a copy of the search which the officer completes on their mobile phone. This process also holds the officer accountable for justifying why the search took place and what power that officer was utilising in to affect the search. The use of technology for this purpose is also a way of ensuring accountability and minimising personal bias, the use of mobile phones and body worn video means that there is no excuse for officers to not follow the correct procedures and ensure that the public are aware that if they feel as though the search was unfair or conducted with bias, the forms or footage can be reviewed by the professional standards department. </w:t>
      </w:r>
    </w:p>
    <w:p w14:paraId="0E189AF1" w14:textId="0715E660" w:rsidR="0004470F" w:rsidRPr="00C6015A" w:rsidRDefault="0004470F" w:rsidP="0004470F">
      <w:pPr>
        <w:rPr>
          <w:rFonts w:cstheme="minorHAnsi"/>
        </w:rPr>
      </w:pPr>
      <w:r w:rsidRPr="00C6015A">
        <w:rPr>
          <w:rFonts w:cstheme="minorHAnsi"/>
        </w:rPr>
        <w:t xml:space="preserve">Whilst there are some processes in place to address bias in policing practice, such as stop and search forms, GOWISELY and best practice in interviewing, unfortunately they will only work to a superficial extent. They will be completed because they must be. “People with a high degree of self-awareness are likely to be more adept in one of the most critical competencies for HR professionals, Ethical Practice. When you realize what your personal triggers are—triggers that contribute to the creation of personal biases—you can actively manage, mitigate or avoid them. In the workplace, developing self-awareness helps you navigate potential obstacles to career success. The </w:t>
      </w:r>
      <w:proofErr w:type="gramStart"/>
      <w:r w:rsidRPr="00C6015A">
        <w:rPr>
          <w:rFonts w:cstheme="minorHAnsi"/>
        </w:rPr>
        <w:t>ultimate goal</w:t>
      </w:r>
      <w:proofErr w:type="gramEnd"/>
      <w:r w:rsidRPr="00C6015A">
        <w:rPr>
          <w:rFonts w:cstheme="minorHAnsi"/>
        </w:rPr>
        <w:t xml:space="preserve"> is to achieve happiness through building and maintaining healthy relationships.” (Lindsay </w:t>
      </w:r>
      <w:proofErr w:type="spellStart"/>
      <w:r w:rsidRPr="00C6015A">
        <w:rPr>
          <w:rFonts w:cstheme="minorHAnsi"/>
        </w:rPr>
        <w:t>Northon</w:t>
      </w:r>
      <w:proofErr w:type="spellEnd"/>
      <w:r w:rsidRPr="00C6015A">
        <w:rPr>
          <w:rFonts w:cstheme="minorHAnsi"/>
        </w:rPr>
        <w:t xml:space="preserve">, 2019) ultimately, to address personal bias officers must look within themselves and engage in education and self-reflection of their own volition. Eradicating personal bias in oneself can only be achieved through personal reflection, which is something that requires practice, and it could be suggested that this cannot be achieved through a single training session. </w:t>
      </w:r>
    </w:p>
    <w:p w14:paraId="4938EAC7" w14:textId="51D6151D" w:rsidR="0004470F" w:rsidRPr="00C6015A" w:rsidRDefault="0004470F" w:rsidP="0004470F">
      <w:pPr>
        <w:rPr>
          <w:rFonts w:cstheme="minorHAnsi"/>
          <w:b/>
          <w:bCs/>
        </w:rPr>
      </w:pPr>
      <w:r w:rsidRPr="00C6015A">
        <w:rPr>
          <w:rFonts w:cstheme="minorHAnsi"/>
          <w:b/>
          <w:bCs/>
        </w:rPr>
        <w:t>Word Count 970</w:t>
      </w:r>
    </w:p>
    <w:p w14:paraId="5CE6023F" w14:textId="3DBAFAEB" w:rsidR="0004470F" w:rsidRPr="00C6015A" w:rsidRDefault="0004470F" w:rsidP="0004470F">
      <w:pPr>
        <w:rPr>
          <w:rFonts w:cstheme="minorHAnsi"/>
          <w:b/>
          <w:bCs/>
        </w:rPr>
      </w:pPr>
      <w:r w:rsidRPr="00C6015A">
        <w:rPr>
          <w:rFonts w:cstheme="minorHAnsi"/>
          <w:b/>
          <w:bCs/>
        </w:rPr>
        <w:t>Bibliography</w:t>
      </w:r>
    </w:p>
    <w:p w14:paraId="00B67515" w14:textId="6E339823" w:rsidR="0004470F" w:rsidRPr="00C6015A" w:rsidRDefault="0004470F" w:rsidP="0004470F">
      <w:pPr>
        <w:rPr>
          <w:rFonts w:cstheme="minorHAnsi"/>
        </w:rPr>
      </w:pPr>
      <w:r w:rsidRPr="00C6015A">
        <w:rPr>
          <w:rFonts w:cstheme="minorHAnsi"/>
        </w:rPr>
        <w:t xml:space="preserve">College of Policing (2016) Fair, College of Policing. Available at: https://www.college.police.uk/app/stop-and-search/fair (Accessed: 23 May 2023). </w:t>
      </w:r>
    </w:p>
    <w:p w14:paraId="5627AC73" w14:textId="4C605772" w:rsidR="0004470F" w:rsidRPr="00C6015A" w:rsidRDefault="0004470F" w:rsidP="0004470F">
      <w:pPr>
        <w:rPr>
          <w:rFonts w:cstheme="minorHAnsi"/>
        </w:rPr>
      </w:pPr>
      <w:r w:rsidRPr="00C6015A">
        <w:rPr>
          <w:rFonts w:cstheme="minorHAnsi"/>
        </w:rPr>
        <w:t xml:space="preserve">Hill, C., Memon, A. and McGeorge, P. (2010) ‘The role of confirmation bias in suspect interviews: A systematic evaluation’, Legal and Criminological Psychology, 13(2), pp. 357–371. doi:10.1348/135532507x238682. </w:t>
      </w:r>
    </w:p>
    <w:p w14:paraId="315794CB" w14:textId="0C86B79B" w:rsidR="0004470F" w:rsidRPr="00C6015A" w:rsidRDefault="0004470F" w:rsidP="0004470F">
      <w:pPr>
        <w:rPr>
          <w:rFonts w:cstheme="minorHAnsi"/>
        </w:rPr>
      </w:pPr>
      <w:r w:rsidRPr="00C6015A">
        <w:rPr>
          <w:rFonts w:cstheme="minorHAnsi"/>
        </w:rPr>
        <w:t xml:space="preserve">Lindsay </w:t>
      </w:r>
      <w:proofErr w:type="spellStart"/>
      <w:r w:rsidRPr="00C6015A">
        <w:rPr>
          <w:rFonts w:cstheme="minorHAnsi"/>
        </w:rPr>
        <w:t>Northon</w:t>
      </w:r>
      <w:proofErr w:type="spellEnd"/>
      <w:r w:rsidRPr="00C6015A">
        <w:rPr>
          <w:rFonts w:cstheme="minorHAnsi"/>
        </w:rPr>
        <w:t xml:space="preserve">, M.A. (2019) Become aware of personal bias, and you’ll improve ethical practice, SHRM. Available at: https://www.shrm.org/resourcesandtools/hr-topics/behavioral-competencies/ethical-practice/pages/become-aware-of-personal-bias-and-improve-ethical-practice-.aspx (Accessed: 23 May 2023). </w:t>
      </w:r>
    </w:p>
    <w:p w14:paraId="0BF85BE8" w14:textId="07F3FC40" w:rsidR="0004470F" w:rsidRPr="00C6015A" w:rsidRDefault="0004470F" w:rsidP="0004470F">
      <w:pPr>
        <w:spacing w:line="257" w:lineRule="auto"/>
        <w:ind w:right="531"/>
        <w:rPr>
          <w:rFonts w:eastAsia="Calibri" w:cstheme="minorHAnsi"/>
        </w:rPr>
      </w:pPr>
      <w:r w:rsidRPr="00C6015A">
        <w:rPr>
          <w:rFonts w:cstheme="minorHAnsi"/>
        </w:rPr>
        <w:t>Maryville University (2021) Addressing implicit bias: How to identify your own, Maryville Online. Available at: https://online.maryville.edu/blog/addressing-implicit-bias/ (</w:t>
      </w:r>
      <w:proofErr w:type="spellStart"/>
      <w:r w:rsidRPr="00C6015A">
        <w:rPr>
          <w:rFonts w:cstheme="minorHAnsi"/>
        </w:rPr>
        <w:t>Acces</w:t>
      </w:r>
      <w:proofErr w:type="spellEnd"/>
    </w:p>
    <w:p w14:paraId="2E885A66" w14:textId="77777777" w:rsidR="0004470F" w:rsidRPr="00C6015A" w:rsidRDefault="0004470F" w:rsidP="0004470F">
      <w:pPr>
        <w:spacing w:line="257" w:lineRule="auto"/>
        <w:ind w:left="567" w:right="531"/>
        <w:rPr>
          <w:rFonts w:eastAsia="Calibri" w:cstheme="minorHAnsi"/>
        </w:rPr>
      </w:pPr>
    </w:p>
    <w:p w14:paraId="3461DDAC" w14:textId="77777777" w:rsidR="00C6015A" w:rsidRDefault="00C6015A" w:rsidP="0004470F">
      <w:pPr>
        <w:spacing w:line="257" w:lineRule="auto"/>
        <w:ind w:right="531"/>
        <w:rPr>
          <w:rFonts w:eastAsia="Calibri" w:cstheme="minorHAnsi"/>
        </w:rPr>
      </w:pPr>
    </w:p>
    <w:p w14:paraId="57C0F045" w14:textId="371B7B9C" w:rsidR="0004470F" w:rsidRPr="00C6015A" w:rsidRDefault="0004470F" w:rsidP="0004470F">
      <w:pPr>
        <w:spacing w:line="257" w:lineRule="auto"/>
        <w:ind w:right="531"/>
        <w:rPr>
          <w:rFonts w:cstheme="minorHAnsi"/>
        </w:rPr>
      </w:pPr>
      <w:r w:rsidRPr="00C6015A">
        <w:rPr>
          <w:rFonts w:eastAsia="Calibri" w:cstheme="minorHAnsi"/>
          <w:b/>
          <w:bCs/>
        </w:rPr>
        <w:lastRenderedPageBreak/>
        <w:t xml:space="preserve">Essay five: </w:t>
      </w:r>
    </w:p>
    <w:p w14:paraId="1FCE7D28" w14:textId="77777777" w:rsidR="0004470F" w:rsidRPr="00C6015A" w:rsidRDefault="0004470F" w:rsidP="0004470F">
      <w:pPr>
        <w:spacing w:line="257" w:lineRule="auto"/>
        <w:ind w:left="567" w:right="531"/>
        <w:rPr>
          <w:rFonts w:eastAsia="Calibri" w:cstheme="minorHAnsi"/>
        </w:rPr>
      </w:pPr>
      <w:r w:rsidRPr="00C6015A">
        <w:rPr>
          <w:rFonts w:eastAsia="Calibri" w:cstheme="minorHAnsi"/>
        </w:rPr>
        <w:t xml:space="preserve">What characteristics or factors increase the risk of exploitation by Serious or Organised Crime Gangs? Your answer should </w:t>
      </w:r>
      <w:r w:rsidRPr="00C6015A">
        <w:rPr>
          <w:rFonts w:eastAsia="Calibri" w:cstheme="minorHAnsi"/>
          <w:u w:val="single"/>
        </w:rPr>
        <w:t>examine</w:t>
      </w:r>
      <w:r w:rsidRPr="00C6015A">
        <w:rPr>
          <w:rFonts w:eastAsia="Calibri" w:cstheme="minorHAnsi"/>
        </w:rPr>
        <w:t xml:space="preserve"> both the psychological and socio-economic characteristics of victims of exploitation.</w:t>
      </w:r>
    </w:p>
    <w:p w14:paraId="4FA42532" w14:textId="77777777" w:rsidR="0004470F" w:rsidRPr="00C6015A" w:rsidRDefault="0004470F" w:rsidP="0004470F">
      <w:pPr>
        <w:spacing w:line="257" w:lineRule="auto"/>
        <w:ind w:left="567" w:right="531"/>
        <w:rPr>
          <w:rFonts w:eastAsia="Calibri" w:cstheme="minorHAnsi"/>
        </w:rPr>
      </w:pPr>
      <w:r w:rsidRPr="00C6015A">
        <w:rPr>
          <w:rFonts w:eastAsia="Calibri" w:cstheme="minorHAnsi"/>
        </w:rPr>
        <w:t xml:space="preserve">Your answer must be based on academic research, but you may </w:t>
      </w:r>
      <w:proofErr w:type="gramStart"/>
      <w:r w:rsidRPr="00C6015A">
        <w:rPr>
          <w:rFonts w:eastAsia="Calibri" w:cstheme="minorHAnsi"/>
        </w:rPr>
        <w:t>make reference</w:t>
      </w:r>
      <w:proofErr w:type="gramEnd"/>
      <w:r w:rsidRPr="00C6015A">
        <w:rPr>
          <w:rFonts w:eastAsia="Calibri" w:cstheme="minorHAnsi"/>
        </w:rPr>
        <w:t xml:space="preserve"> to relevant case studies.</w:t>
      </w:r>
    </w:p>
    <w:p w14:paraId="6733DBCF" w14:textId="77777777" w:rsidR="0004470F" w:rsidRPr="00C6015A" w:rsidRDefault="0004470F" w:rsidP="0004470F">
      <w:pPr>
        <w:spacing w:line="257" w:lineRule="auto"/>
        <w:ind w:left="567" w:right="531"/>
        <w:rPr>
          <w:rFonts w:eastAsia="Calibri" w:cstheme="minorHAnsi"/>
        </w:rPr>
      </w:pPr>
      <w:r w:rsidRPr="00C6015A">
        <w:rPr>
          <w:rFonts w:eastAsia="Calibri" w:cstheme="minorHAnsi"/>
          <w:b/>
          <w:bCs/>
        </w:rPr>
        <w:t xml:space="preserve">Word limit: </w:t>
      </w:r>
      <w:r w:rsidRPr="00C6015A">
        <w:rPr>
          <w:rFonts w:eastAsia="Calibri" w:cstheme="minorHAnsi"/>
        </w:rPr>
        <w:t xml:space="preserve">1000 words. </w:t>
      </w:r>
    </w:p>
    <w:p w14:paraId="3DC3761D" w14:textId="77777777" w:rsidR="0004470F" w:rsidRPr="00C6015A" w:rsidRDefault="0004470F" w:rsidP="0004470F">
      <w:pPr>
        <w:rPr>
          <w:rFonts w:cstheme="minorHAnsi"/>
        </w:rPr>
      </w:pPr>
    </w:p>
    <w:p w14:paraId="5128C967" w14:textId="044DA78E" w:rsidR="0004470F" w:rsidRPr="00C6015A" w:rsidRDefault="0004470F" w:rsidP="0004470F">
      <w:pPr>
        <w:rPr>
          <w:rFonts w:cstheme="minorHAnsi"/>
        </w:rPr>
      </w:pPr>
      <w:r w:rsidRPr="00C6015A">
        <w:rPr>
          <w:rFonts w:cstheme="minorHAnsi"/>
        </w:rPr>
        <w:t xml:space="preserve">Organised Crime Groups/Gangs (OCG) develop sophisticated networks in order to operate. This includes the exploitation of vulnerable people within our communities such as children and vulnerable adults. The term “County Lines” has been coined to define the activity of OCG’s in expanding their operations into other areas within the country. Areas in the North/ Northeast of Wales are an example of being particularly at risk given their proximity to Liverpool which is a major city. </w:t>
      </w:r>
    </w:p>
    <w:p w14:paraId="771643AF" w14:textId="75ADD7CB" w:rsidR="0004470F" w:rsidRPr="00C6015A" w:rsidRDefault="0004470F" w:rsidP="0004470F">
      <w:pPr>
        <w:rPr>
          <w:rFonts w:cstheme="minorHAnsi"/>
        </w:rPr>
      </w:pPr>
      <w:r w:rsidRPr="00C6015A">
        <w:rPr>
          <w:rFonts w:cstheme="minorHAnsi"/>
        </w:rPr>
        <w:t xml:space="preserve">‘'Cuckooing' is the term used to describe the practice where professional drug dealers/Crime Gangs take over the property of an adult at risk and use it as a place from which to run their drugs business/ crime activity.’(Cheshire East Safeguarding Adults Board, No Date) Adults who are vulnerable due to age, disability or substance abuse are at a particular risk of cuckooing due to their limited ability to defend or care for themselves, particularly if they live alone in semi-independent living circumstance, this means perpetrators of this type of exploitation can evade the attention of care and support staff or remain present under the guise of friendship and support whilst still using the persons home as a base for illicit activity and using threats of violence as a way of enforcing silence and compliance from their victim. Similarly, adults who are vulnerable due to their own substance misuse issues are particularly vulnerable to this kind of exploitation as gangs </w:t>
      </w:r>
      <w:r w:rsidR="005E1353" w:rsidRPr="00C6015A">
        <w:rPr>
          <w:rFonts w:cstheme="minorHAnsi"/>
        </w:rPr>
        <w:t>may</w:t>
      </w:r>
      <w:r w:rsidRPr="00C6015A">
        <w:rPr>
          <w:rFonts w:cstheme="minorHAnsi"/>
        </w:rPr>
        <w:t xml:space="preserve"> supply the victim with drugs. </w:t>
      </w:r>
    </w:p>
    <w:p w14:paraId="51AD7557" w14:textId="5F2D055B" w:rsidR="0004470F" w:rsidRPr="00C6015A" w:rsidRDefault="0004470F" w:rsidP="0004470F">
      <w:pPr>
        <w:rPr>
          <w:rFonts w:cstheme="minorHAnsi"/>
        </w:rPr>
      </w:pPr>
      <w:r w:rsidRPr="00C6015A">
        <w:rPr>
          <w:rFonts w:cstheme="minorHAnsi"/>
        </w:rPr>
        <w:t xml:space="preserve">OCG’s will use the property to store and deal drugs from whilst making the environment hostile for the victim and putting the victim in a situation where they are too intimidated to make anyone aware or to report it to the police ‘A criminal will often befriend a vulnerable person in order to exploit them and use their property.  The person is usually intimidated and too scared to report it to anyone.’ (Salford Safeguarding Adults Board, No Date). Gang members </w:t>
      </w:r>
      <w:r w:rsidR="005E1353" w:rsidRPr="00C6015A">
        <w:rPr>
          <w:rFonts w:cstheme="minorHAnsi"/>
        </w:rPr>
        <w:t xml:space="preserve">can </w:t>
      </w:r>
      <w:r w:rsidRPr="00C6015A">
        <w:rPr>
          <w:rFonts w:cstheme="minorHAnsi"/>
        </w:rPr>
        <w:t xml:space="preserve">use the property to have parties, cause damage and cause the property to be embroiled in rival gang issues, in some cases causing the victim to leave their home.  </w:t>
      </w:r>
    </w:p>
    <w:p w14:paraId="067B75FB" w14:textId="452381AD" w:rsidR="0004470F" w:rsidRPr="00C6015A" w:rsidRDefault="0004470F" w:rsidP="0004470F">
      <w:pPr>
        <w:rPr>
          <w:rFonts w:cstheme="minorHAnsi"/>
        </w:rPr>
      </w:pPr>
      <w:r w:rsidRPr="00C6015A">
        <w:rPr>
          <w:rFonts w:cstheme="minorHAnsi"/>
        </w:rPr>
        <w:t>‘A common feature in county lines drug supply is the exploitation of young and vulnerable people. The dealers will frequently target children and adults - often with mental health or addiction problems - to act as drug runners or move cash so they can stay under the radar of law enforcement.’ (National Crime Agency, 2018) OCG’s target children by grooming them, providing them with security, pseudo friendship and acceptance. For children who have difficulties at home due to substance abuse, physical or sexual abuse and poverty, the offer of an alternative life where they have a group of friends and money can seem like a lucrative offer. Youth and naivety present OCG’s with an opportunity that a person is less likely to be defiant and may be easier to coerce, not only to commit offences such as drug dealing but to commit acts of violence in order to show loyalty to a certain group or person.</w:t>
      </w:r>
    </w:p>
    <w:p w14:paraId="4969DCD3" w14:textId="77777777" w:rsidR="0004470F" w:rsidRPr="00C6015A" w:rsidRDefault="0004470F" w:rsidP="0004470F">
      <w:pPr>
        <w:rPr>
          <w:rFonts w:cstheme="minorHAnsi"/>
        </w:rPr>
      </w:pPr>
    </w:p>
    <w:p w14:paraId="7D495ECB" w14:textId="77777777" w:rsidR="0004470F" w:rsidRPr="00C6015A" w:rsidRDefault="0004470F" w:rsidP="0004470F">
      <w:pPr>
        <w:rPr>
          <w:rFonts w:cstheme="minorHAnsi"/>
        </w:rPr>
      </w:pPr>
    </w:p>
    <w:p w14:paraId="60569265" w14:textId="7E329526" w:rsidR="0004470F" w:rsidRPr="00C6015A" w:rsidRDefault="0004470F" w:rsidP="0004470F">
      <w:pPr>
        <w:rPr>
          <w:rFonts w:cstheme="minorHAnsi"/>
        </w:rPr>
      </w:pPr>
      <w:r w:rsidRPr="00C6015A">
        <w:rPr>
          <w:rFonts w:cstheme="minorHAnsi"/>
        </w:rPr>
        <w:t xml:space="preserve">‘Localised grooming, for the purposes of this Report, is a model of child sexual exploitation in which a group of abusers target vulnerable children, including, but not confined to, those who are looked after by a local authority. The group typically makes initial contact with victims in a public place such as a park, cinema, on the street or at a friend’s house. The children are offered gifts and treats—takeaway food, sweets, cigarettes, alcohol or drugs—in exchange for sex, sometimes with dozens of men on the same occasion’. (UK Parliament, 2013) The most notable case of exploitation is the Rochdale case whereby a group of young girls were groomed into sexual activity with several older men. The group groomed the victims by giving them drugs, alcohol and food in exchange for sex. The case highlighted failings and negligence by Greater Manchester Police. </w:t>
      </w:r>
    </w:p>
    <w:p w14:paraId="176DC178" w14:textId="7D148107" w:rsidR="0004470F" w:rsidRPr="00C6015A" w:rsidRDefault="0004470F" w:rsidP="0004470F">
      <w:pPr>
        <w:rPr>
          <w:rFonts w:cstheme="minorHAnsi"/>
        </w:rPr>
      </w:pPr>
      <w:r w:rsidRPr="00C6015A">
        <w:rPr>
          <w:rFonts w:cstheme="minorHAnsi"/>
        </w:rPr>
        <w:t xml:space="preserve">‘City Hall has published new analysis confirming a strong link between serious youth violence and Londoners affected by deprivation, poor mental health and poverty.’ (City of London, 2021) Poverty plays a role in the commission of crime. In areas that are higher in financial depravation and lower in employment levels, criminality can be fostered, this is particularly pertinent during the current cost of living crisis and could be due to the need to survive. OCG’s use this to their advantage, knowing that people who are struggling financially makes it easier to exploit them to do things like selling or storing drugs. This can make a person financially </w:t>
      </w:r>
      <w:r w:rsidR="00C6015A" w:rsidRPr="00C6015A">
        <w:rPr>
          <w:rFonts w:cstheme="minorHAnsi"/>
        </w:rPr>
        <w:t>dependent</w:t>
      </w:r>
      <w:r w:rsidRPr="00C6015A">
        <w:rPr>
          <w:rFonts w:cstheme="minorHAnsi"/>
        </w:rPr>
        <w:t xml:space="preserve"> on the group and could make it difficult to move away from.</w:t>
      </w:r>
    </w:p>
    <w:p w14:paraId="73893F83" w14:textId="16A6F450" w:rsidR="0004470F" w:rsidRPr="00C6015A" w:rsidRDefault="0004470F" w:rsidP="0004470F">
      <w:pPr>
        <w:rPr>
          <w:rFonts w:cstheme="minorHAnsi"/>
        </w:rPr>
      </w:pPr>
      <w:r w:rsidRPr="00C6015A">
        <w:rPr>
          <w:rFonts w:cstheme="minorHAnsi"/>
        </w:rPr>
        <w:t xml:space="preserve">Children in foster care or who are under local authority care are also at risk of exploitation by OCG’s. The lack of parental intervention can present an opportunity to OCG members as a way of showing affection, love and acceptance with the intention of making it conditional and transactional. ‘Of the 28 young people that were interviewed, 8 of these (32%) shared that they had a direct experience of sexual exploitation, and there were another 8 young people that had been indirectly involved. Of the 8 that were directly involved, three were male and five were female. It is very clear from the young people’s descriptions that although there are similarities between them, </w:t>
      </w:r>
      <w:proofErr w:type="gramStart"/>
      <w:r w:rsidRPr="00C6015A">
        <w:rPr>
          <w:rFonts w:cstheme="minorHAnsi"/>
        </w:rPr>
        <w:t>a number of</w:t>
      </w:r>
      <w:proofErr w:type="gramEnd"/>
      <w:r w:rsidRPr="00C6015A">
        <w:rPr>
          <w:rFonts w:cstheme="minorHAnsi"/>
        </w:rPr>
        <w:t xml:space="preserve"> young people had very different experiences of sexual exploitation.</w:t>
      </w:r>
      <w:r w:rsidR="00C6015A" w:rsidRPr="00C6015A">
        <w:rPr>
          <w:rFonts w:cstheme="minorHAnsi"/>
        </w:rPr>
        <w:t>’ (</w:t>
      </w:r>
      <w:r w:rsidRPr="00C6015A">
        <w:rPr>
          <w:rFonts w:cstheme="minorHAnsi"/>
        </w:rPr>
        <w:t xml:space="preserve">DILLANE et al, 2005). Children who are looked after by foster carers or by the local authority are in a less familiar and secure position to build trust with the people caring for them, this may be due to movement within the system or breakdowns in relationships with carers meaning young people </w:t>
      </w:r>
      <w:r w:rsidR="00C6015A" w:rsidRPr="00C6015A">
        <w:rPr>
          <w:rFonts w:cstheme="minorHAnsi"/>
        </w:rPr>
        <w:t>won’t</w:t>
      </w:r>
      <w:r w:rsidRPr="00C6015A">
        <w:rPr>
          <w:rFonts w:cstheme="minorHAnsi"/>
        </w:rPr>
        <w:t xml:space="preserve"> have a person they trust enough to disclose to if they are a victim of exploitation. </w:t>
      </w:r>
    </w:p>
    <w:p w14:paraId="358848AE" w14:textId="1341C0B7" w:rsidR="0004470F" w:rsidRPr="00C6015A" w:rsidRDefault="0004470F" w:rsidP="0004470F">
      <w:pPr>
        <w:rPr>
          <w:rFonts w:cstheme="minorHAnsi"/>
        </w:rPr>
      </w:pPr>
      <w:r w:rsidRPr="00C6015A">
        <w:rPr>
          <w:rFonts w:cstheme="minorHAnsi"/>
        </w:rPr>
        <w:t xml:space="preserve">Where there is vulnerability there is room for exploitation. OCG’s operating in communities by exploiting children, vulnerable adults and those struggling financially can only be disrupted using a multi-agency approach. Facilitation of better training for those working with those groups to identify the signs of exploitation and better engagement within the communities most at risk of exploitation as those most likely to be exploited are under the care of an authority or are isolated from society. </w:t>
      </w:r>
    </w:p>
    <w:p w14:paraId="0C289E8E" w14:textId="5B2AC7D9" w:rsidR="0004470F" w:rsidRPr="00C6015A" w:rsidRDefault="0004470F" w:rsidP="0004470F">
      <w:pPr>
        <w:rPr>
          <w:rFonts w:cstheme="minorHAnsi"/>
          <w:b/>
          <w:bCs/>
        </w:rPr>
      </w:pPr>
      <w:r w:rsidRPr="00C6015A">
        <w:rPr>
          <w:rFonts w:cstheme="minorHAnsi"/>
          <w:b/>
          <w:bCs/>
        </w:rPr>
        <w:t>Word Count - 1040</w:t>
      </w:r>
    </w:p>
    <w:p w14:paraId="0D57669C" w14:textId="77777777" w:rsidR="0004470F" w:rsidRPr="00C6015A" w:rsidRDefault="0004470F" w:rsidP="0004470F">
      <w:pPr>
        <w:rPr>
          <w:rFonts w:cstheme="minorHAnsi"/>
          <w:b/>
          <w:bCs/>
        </w:rPr>
      </w:pPr>
      <w:r w:rsidRPr="00C6015A">
        <w:rPr>
          <w:rFonts w:cstheme="minorHAnsi"/>
          <w:b/>
          <w:bCs/>
        </w:rPr>
        <w:t xml:space="preserve">Bibliography </w:t>
      </w:r>
    </w:p>
    <w:p w14:paraId="6D632E58" w14:textId="28F5076E" w:rsidR="0004470F" w:rsidRPr="00C6015A" w:rsidRDefault="0004470F" w:rsidP="0004470F">
      <w:pPr>
        <w:rPr>
          <w:rFonts w:cstheme="minorHAnsi"/>
        </w:rPr>
      </w:pPr>
      <w:r w:rsidRPr="00C6015A">
        <w:rPr>
          <w:rFonts w:cstheme="minorHAnsi"/>
        </w:rPr>
        <w:t xml:space="preserve">County lines (2018) National Crime Agency. Available at: https://www.nationalcrimeagency.gov.uk/what-we-do/crime-threats/drug-trafficking/county-lines (Accessed: 03 June 2023). </w:t>
      </w:r>
    </w:p>
    <w:p w14:paraId="41391E03" w14:textId="00932B69" w:rsidR="0004470F" w:rsidRPr="00C6015A" w:rsidRDefault="0004470F" w:rsidP="0004470F">
      <w:pPr>
        <w:rPr>
          <w:rFonts w:cstheme="minorHAnsi"/>
        </w:rPr>
      </w:pPr>
      <w:r w:rsidRPr="00C6015A">
        <w:rPr>
          <w:rFonts w:cstheme="minorHAnsi"/>
        </w:rPr>
        <w:t xml:space="preserve">Cuckooing (no date) Salford Safeguarding Adults Board. Available at: https://safeguardingadults.salford.gov.uk/professionals/exploitation/cuckooing/ (Accessed: 03 June 2023). </w:t>
      </w:r>
    </w:p>
    <w:p w14:paraId="2B1AC855" w14:textId="1A8878E8" w:rsidR="0004470F" w:rsidRPr="00C6015A" w:rsidRDefault="0004470F" w:rsidP="0004470F">
      <w:pPr>
        <w:rPr>
          <w:rFonts w:cstheme="minorHAnsi"/>
        </w:rPr>
      </w:pPr>
      <w:r w:rsidRPr="00C6015A">
        <w:rPr>
          <w:rFonts w:cstheme="minorHAnsi"/>
        </w:rPr>
        <w:lastRenderedPageBreak/>
        <w:t xml:space="preserve">Cuckooing / County Lines (no date) Cuckooing / county lines. Available at: http://www.stopadultabuse.org.uk/what-is-abuse/cuckooing-county-lines.aspx (Accessed: 03 June 2023). </w:t>
      </w:r>
    </w:p>
    <w:p w14:paraId="1455D6CE" w14:textId="5EFFE887" w:rsidR="0004470F" w:rsidRPr="00C6015A" w:rsidRDefault="0004470F" w:rsidP="0004470F">
      <w:pPr>
        <w:rPr>
          <w:rFonts w:cstheme="minorHAnsi"/>
        </w:rPr>
      </w:pPr>
      <w:r w:rsidRPr="00C6015A">
        <w:rPr>
          <w:rFonts w:cstheme="minorHAnsi"/>
        </w:rPr>
        <w:t>Dillane, J., Hill, M. and Munro, C., 2005. A study of sexual exploitation of looked after and accommodated young people. Centre for the Study of Children &amp; Society.</w:t>
      </w:r>
    </w:p>
    <w:p w14:paraId="731871EE" w14:textId="2C1C9153" w:rsidR="0004470F" w:rsidRPr="00C6015A" w:rsidRDefault="0004470F" w:rsidP="0004470F">
      <w:pPr>
        <w:rPr>
          <w:rFonts w:cstheme="minorHAnsi"/>
        </w:rPr>
      </w:pPr>
      <w:r w:rsidRPr="00C6015A">
        <w:rPr>
          <w:rFonts w:cstheme="minorHAnsi"/>
        </w:rPr>
        <w:t xml:space="preserve">House of Commons. (2013) Child sexual exploitation and the response to localised grooming. London: UK Parliament. </w:t>
      </w:r>
    </w:p>
    <w:p w14:paraId="0BD79EDE" w14:textId="77777777" w:rsidR="0004470F" w:rsidRPr="00C6015A" w:rsidRDefault="0004470F" w:rsidP="0004470F">
      <w:pPr>
        <w:rPr>
          <w:rFonts w:cstheme="minorHAnsi"/>
        </w:rPr>
      </w:pPr>
      <w:r w:rsidRPr="00C6015A">
        <w:rPr>
          <w:rFonts w:cstheme="minorHAnsi"/>
        </w:rPr>
        <w:t>The link between poverty and violent crime (2021) London City Hall. Available at: https://www.london.gov.uk/city-hall-blog/link-between-poverty-and-violent-crime (Accessed: 03 June 2023).</w:t>
      </w:r>
    </w:p>
    <w:p w14:paraId="69F6513C" w14:textId="77777777" w:rsidR="0004470F" w:rsidRPr="00C6015A" w:rsidRDefault="0004470F" w:rsidP="0004470F">
      <w:pPr>
        <w:rPr>
          <w:rFonts w:cstheme="minorHAnsi"/>
        </w:rPr>
      </w:pPr>
    </w:p>
    <w:p w14:paraId="2997598B" w14:textId="77777777" w:rsidR="0004470F" w:rsidRPr="00C6015A" w:rsidRDefault="0004470F" w:rsidP="0004470F">
      <w:pPr>
        <w:rPr>
          <w:rFonts w:cstheme="minorHAnsi"/>
        </w:rPr>
      </w:pPr>
    </w:p>
    <w:p w14:paraId="56395019" w14:textId="77777777" w:rsidR="00F1756F" w:rsidRDefault="00F1756F"/>
    <w:sectPr w:rsidR="00F175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653023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70F"/>
    <w:rsid w:val="0004470F"/>
    <w:rsid w:val="005E1353"/>
    <w:rsid w:val="00C6015A"/>
    <w:rsid w:val="00CD1914"/>
    <w:rsid w:val="00F17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2E6A7"/>
  <w15:chartTrackingRefBased/>
  <w15:docId w15:val="{BFD3F4B2-056F-4371-930C-3DE6DF921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70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0447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10</Pages>
  <Words>4470</Words>
  <Characters>25484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Kristie Lloyd</dc:creator>
  <cp:keywords/>
  <dc:description/>
  <cp:lastModifiedBy>Kristie Lloyd</cp:lastModifiedBy>
  <cp:revision>1</cp:revision>
  <dcterms:created xsi:type="dcterms:W3CDTF">2023-06-04T17:03:00Z</dcterms:created>
  <dcterms:modified xsi:type="dcterms:W3CDTF">2023-06-04T17:36:00Z</dcterms:modified>
</cp:coreProperties>
</file>