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96F807" w14:textId="35A44979" w:rsidR="00EC5B12" w:rsidRDefault="00F20986">
      <w:r w:rsidRPr="00E051D0">
        <w:rPr>
          <w:rFonts w:ascii="Arial" w:eastAsia="Times New Roman" w:hAnsi="Arial" w:cs="Arial"/>
          <w:b/>
          <w:bCs/>
          <w:noProof/>
          <w:kern w:val="0"/>
          <w:sz w:val="32"/>
          <w:szCs w:val="32"/>
          <w:lang w:eastAsia="en-GB"/>
          <w14:ligatures w14:val="none"/>
        </w:rPr>
        <w:drawing>
          <wp:anchor distT="0" distB="0" distL="114300" distR="114300" simplePos="0" relativeHeight="251659264" behindDoc="1" locked="0" layoutInCell="1" allowOverlap="1" wp14:anchorId="7AA36A77" wp14:editId="12AE0584">
            <wp:simplePos x="0" y="0"/>
            <wp:positionH relativeFrom="margin">
              <wp:posOffset>642620</wp:posOffset>
            </wp:positionH>
            <wp:positionV relativeFrom="page">
              <wp:posOffset>447675</wp:posOffset>
            </wp:positionV>
            <wp:extent cx="4500245" cy="2038350"/>
            <wp:effectExtent l="0" t="0" r="0" b="0"/>
            <wp:wrapTight wrapText="bothSides">
              <wp:wrapPolygon edited="0">
                <wp:start x="0" y="0"/>
                <wp:lineTo x="0" y="21398"/>
                <wp:lineTo x="21487" y="21398"/>
                <wp:lineTo x="21487" y="0"/>
                <wp:lineTo x="0" y="0"/>
              </wp:wrapPolygon>
            </wp:wrapTight>
            <wp:docPr id="125028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28959" name=""/>
                    <pic:cNvPicPr/>
                  </pic:nvPicPr>
                  <pic:blipFill>
                    <a:blip r:embed="rId6">
                      <a:extLst>
                        <a:ext uri="{28A0092B-C50C-407E-A947-70E740481C1C}">
                          <a14:useLocalDpi xmlns:a14="http://schemas.microsoft.com/office/drawing/2010/main" val="0"/>
                        </a:ext>
                      </a:extLst>
                    </a:blip>
                    <a:stretch>
                      <a:fillRect/>
                    </a:stretch>
                  </pic:blipFill>
                  <pic:spPr>
                    <a:xfrm>
                      <a:off x="0" y="0"/>
                      <a:ext cx="4500245" cy="2038350"/>
                    </a:xfrm>
                    <a:prstGeom prst="rect">
                      <a:avLst/>
                    </a:prstGeom>
                  </pic:spPr>
                </pic:pic>
              </a:graphicData>
            </a:graphic>
            <wp14:sizeRelH relativeFrom="margin">
              <wp14:pctWidth>0</wp14:pctWidth>
            </wp14:sizeRelH>
            <wp14:sizeRelV relativeFrom="margin">
              <wp14:pctHeight>0</wp14:pctHeight>
            </wp14:sizeRelV>
          </wp:anchor>
        </w:drawing>
      </w:r>
    </w:p>
    <w:p w14:paraId="5D28784B" w14:textId="77777777" w:rsidR="00F667BD" w:rsidRPr="00F667BD" w:rsidRDefault="00F667BD" w:rsidP="00F667BD"/>
    <w:p w14:paraId="15D4B6EE" w14:textId="77777777" w:rsidR="00F667BD" w:rsidRPr="00F667BD" w:rsidRDefault="00F667BD" w:rsidP="00F667BD"/>
    <w:p w14:paraId="25780F41" w14:textId="77777777" w:rsidR="00F667BD" w:rsidRPr="00F667BD" w:rsidRDefault="00F667BD" w:rsidP="00F667BD"/>
    <w:p w14:paraId="07CF86F6" w14:textId="77777777" w:rsidR="00F667BD" w:rsidRDefault="00F667BD" w:rsidP="00F667BD"/>
    <w:p w14:paraId="139FD330" w14:textId="63D4D805" w:rsidR="00F667BD" w:rsidRDefault="00F667BD" w:rsidP="00F667BD">
      <w:pPr>
        <w:spacing w:line="480" w:lineRule="auto"/>
        <w:rPr>
          <w:rFonts w:ascii="Arial" w:hAnsi="Arial" w:cs="Arial"/>
          <w:i/>
          <w:iCs/>
        </w:rPr>
      </w:pPr>
      <w:r>
        <w:rPr>
          <w:rFonts w:ascii="Arial" w:hAnsi="Arial" w:cs="Arial"/>
          <w:b/>
          <w:bCs/>
          <w:sz w:val="56"/>
          <w:szCs w:val="56"/>
        </w:rPr>
        <w:t xml:space="preserve">BA(Hons) Business Management </w:t>
      </w:r>
    </w:p>
    <w:p w14:paraId="757581F2" w14:textId="77777777" w:rsidR="00F667BD" w:rsidRDefault="00F667BD" w:rsidP="00F667BD">
      <w:pPr>
        <w:spacing w:line="600" w:lineRule="auto"/>
        <w:rPr>
          <w:rFonts w:ascii="Arial" w:hAnsi="Arial" w:cs="Arial"/>
          <w:b/>
          <w:bCs/>
          <w:sz w:val="36"/>
          <w:szCs w:val="36"/>
        </w:rPr>
      </w:pPr>
    </w:p>
    <w:p w14:paraId="380712E1" w14:textId="77777777" w:rsidR="00F667BD" w:rsidRPr="007B1BEA" w:rsidRDefault="00F667BD" w:rsidP="00F667BD">
      <w:pPr>
        <w:spacing w:line="600" w:lineRule="auto"/>
        <w:rPr>
          <w:rFonts w:ascii="Arial" w:hAnsi="Arial" w:cs="Arial"/>
          <w:b/>
          <w:bCs/>
          <w:sz w:val="36"/>
          <w:szCs w:val="36"/>
        </w:rPr>
      </w:pPr>
      <w:r w:rsidRPr="007B1BEA">
        <w:rPr>
          <w:rFonts w:ascii="Arial" w:hAnsi="Arial" w:cs="Arial"/>
          <w:b/>
          <w:bCs/>
          <w:sz w:val="36"/>
          <w:szCs w:val="36"/>
        </w:rPr>
        <w:t>Student Name:</w:t>
      </w:r>
      <w:r>
        <w:rPr>
          <w:rFonts w:ascii="Arial" w:hAnsi="Arial" w:cs="Arial"/>
          <w:b/>
          <w:bCs/>
          <w:sz w:val="36"/>
          <w:szCs w:val="36"/>
        </w:rPr>
        <w:t xml:space="preserve"> </w:t>
      </w:r>
      <w:r w:rsidRPr="00F11CD9">
        <w:rPr>
          <w:rFonts w:ascii="Arial" w:hAnsi="Arial" w:cs="Arial"/>
          <w:sz w:val="36"/>
          <w:szCs w:val="36"/>
        </w:rPr>
        <w:t>Natalia Jitari</w:t>
      </w:r>
    </w:p>
    <w:p w14:paraId="026C2639" w14:textId="77777777" w:rsidR="00F667BD" w:rsidRPr="007B1BEA" w:rsidRDefault="00F667BD" w:rsidP="00F667BD">
      <w:pPr>
        <w:spacing w:line="600" w:lineRule="auto"/>
        <w:rPr>
          <w:rFonts w:ascii="Arial" w:hAnsi="Arial" w:cs="Arial"/>
          <w:b/>
          <w:bCs/>
          <w:sz w:val="36"/>
          <w:szCs w:val="36"/>
        </w:rPr>
      </w:pPr>
      <w:r w:rsidRPr="007B1BEA">
        <w:rPr>
          <w:rFonts w:ascii="Arial" w:hAnsi="Arial" w:cs="Arial"/>
          <w:b/>
          <w:bCs/>
          <w:sz w:val="36"/>
          <w:szCs w:val="36"/>
        </w:rPr>
        <w:t>Student Number:</w:t>
      </w:r>
      <w:r>
        <w:rPr>
          <w:rFonts w:ascii="Arial" w:hAnsi="Arial" w:cs="Arial"/>
          <w:b/>
          <w:bCs/>
          <w:sz w:val="36"/>
          <w:szCs w:val="36"/>
        </w:rPr>
        <w:t xml:space="preserve"> </w:t>
      </w:r>
      <w:r w:rsidRPr="00466ED9">
        <w:rPr>
          <w:rFonts w:ascii="Arial" w:hAnsi="Arial" w:cs="Arial"/>
          <w:sz w:val="36"/>
          <w:szCs w:val="36"/>
        </w:rPr>
        <w:t>2239910</w:t>
      </w:r>
    </w:p>
    <w:p w14:paraId="0A02FC14" w14:textId="20D0EB8C" w:rsidR="00F667BD" w:rsidRPr="00D774F5" w:rsidRDefault="00F667BD" w:rsidP="00F667BD">
      <w:pPr>
        <w:spacing w:line="360" w:lineRule="auto"/>
        <w:rPr>
          <w:rFonts w:ascii="Arial" w:hAnsi="Arial" w:cs="Arial"/>
          <w:sz w:val="36"/>
          <w:szCs w:val="36"/>
        </w:rPr>
      </w:pPr>
      <w:r w:rsidRPr="007B1BEA">
        <w:rPr>
          <w:rFonts w:ascii="Arial" w:hAnsi="Arial" w:cs="Arial"/>
          <w:b/>
          <w:bCs/>
          <w:sz w:val="36"/>
          <w:szCs w:val="36"/>
        </w:rPr>
        <w:t>Course Name:</w:t>
      </w:r>
      <w:r w:rsidRPr="007B1BEA">
        <w:rPr>
          <w:rFonts w:ascii="Arial" w:hAnsi="Arial" w:cs="Arial"/>
          <w:sz w:val="36"/>
          <w:szCs w:val="36"/>
        </w:rPr>
        <w:t xml:space="preserve"> </w:t>
      </w:r>
      <w:r w:rsidR="001F7E2C">
        <w:rPr>
          <w:rFonts w:ascii="Arial" w:hAnsi="Arial" w:cs="Arial"/>
          <w:b/>
          <w:bCs/>
          <w:sz w:val="40"/>
          <w:szCs w:val="40"/>
        </w:rPr>
        <w:t>International Business Communication</w:t>
      </w:r>
      <w:r w:rsidR="00872488">
        <w:rPr>
          <w:rFonts w:ascii="Arial" w:hAnsi="Arial" w:cs="Arial"/>
          <w:b/>
          <w:bCs/>
          <w:sz w:val="40"/>
          <w:szCs w:val="40"/>
        </w:rPr>
        <w:t xml:space="preserve"> (LCBB</w:t>
      </w:r>
      <w:r w:rsidR="00A43B38">
        <w:rPr>
          <w:rFonts w:ascii="Arial" w:hAnsi="Arial" w:cs="Arial"/>
          <w:b/>
          <w:bCs/>
          <w:sz w:val="40"/>
          <w:szCs w:val="40"/>
        </w:rPr>
        <w:t>6023_LON)</w:t>
      </w:r>
    </w:p>
    <w:p w14:paraId="2F8D348E" w14:textId="0204F7AE" w:rsidR="00F667BD" w:rsidRDefault="00F667BD" w:rsidP="00F667BD">
      <w:pPr>
        <w:spacing w:line="600" w:lineRule="auto"/>
        <w:rPr>
          <w:rFonts w:ascii="Arial" w:hAnsi="Arial" w:cs="Arial"/>
          <w:sz w:val="36"/>
          <w:szCs w:val="36"/>
        </w:rPr>
      </w:pPr>
      <w:r w:rsidRPr="007B1BEA">
        <w:rPr>
          <w:rFonts w:ascii="Arial" w:hAnsi="Arial" w:cs="Arial"/>
          <w:b/>
          <w:bCs/>
          <w:sz w:val="36"/>
          <w:szCs w:val="36"/>
        </w:rPr>
        <w:t xml:space="preserve">Lecturer Name: </w:t>
      </w:r>
      <w:proofErr w:type="spellStart"/>
      <w:r w:rsidR="002D6FB7">
        <w:rPr>
          <w:rFonts w:ascii="Arial" w:hAnsi="Arial" w:cs="Arial"/>
          <w:sz w:val="36"/>
          <w:szCs w:val="36"/>
        </w:rPr>
        <w:t>Rexon</w:t>
      </w:r>
      <w:proofErr w:type="spellEnd"/>
      <w:r w:rsidR="002D6FB7">
        <w:rPr>
          <w:rFonts w:ascii="Arial" w:hAnsi="Arial" w:cs="Arial"/>
          <w:sz w:val="36"/>
          <w:szCs w:val="36"/>
        </w:rPr>
        <w:t xml:space="preserve"> </w:t>
      </w:r>
      <w:proofErr w:type="spellStart"/>
      <w:r w:rsidR="001D1474">
        <w:rPr>
          <w:rFonts w:ascii="Arial" w:hAnsi="Arial" w:cs="Arial"/>
          <w:sz w:val="36"/>
          <w:szCs w:val="36"/>
        </w:rPr>
        <w:t>Nting</w:t>
      </w:r>
      <w:proofErr w:type="spellEnd"/>
    </w:p>
    <w:p w14:paraId="5725F947" w14:textId="77777777" w:rsidR="00F667BD" w:rsidRPr="007B1BEA" w:rsidRDefault="00F667BD" w:rsidP="00F667BD">
      <w:pPr>
        <w:spacing w:line="600" w:lineRule="auto"/>
        <w:rPr>
          <w:rFonts w:ascii="Arial" w:hAnsi="Arial" w:cs="Arial"/>
          <w:sz w:val="36"/>
          <w:szCs w:val="36"/>
        </w:rPr>
      </w:pPr>
    </w:p>
    <w:p w14:paraId="66D8F13E" w14:textId="77777777" w:rsidR="00F667BD" w:rsidRDefault="00F667BD" w:rsidP="00F667BD">
      <w:pPr>
        <w:spacing w:line="600" w:lineRule="auto"/>
        <w:rPr>
          <w:rFonts w:ascii="Arial" w:hAnsi="Arial" w:cs="Arial"/>
          <w:sz w:val="36"/>
          <w:szCs w:val="36"/>
        </w:rPr>
      </w:pPr>
      <w:r w:rsidRPr="007B1BEA">
        <w:rPr>
          <w:rFonts w:ascii="Arial" w:hAnsi="Arial" w:cs="Arial"/>
          <w:b/>
          <w:bCs/>
          <w:sz w:val="36"/>
          <w:szCs w:val="36"/>
        </w:rPr>
        <w:t>Session</w:t>
      </w:r>
      <w:r w:rsidRPr="007B1BEA">
        <w:rPr>
          <w:rFonts w:ascii="Arial" w:hAnsi="Arial" w:cs="Arial"/>
          <w:sz w:val="36"/>
          <w:szCs w:val="36"/>
        </w:rPr>
        <w:t xml:space="preserve">: </w:t>
      </w:r>
      <w:r>
        <w:rPr>
          <w:rFonts w:ascii="Arial" w:hAnsi="Arial" w:cs="Arial"/>
          <w:sz w:val="36"/>
          <w:szCs w:val="36"/>
        </w:rPr>
        <w:t>June</w:t>
      </w:r>
      <w:r w:rsidRPr="007B1BEA">
        <w:rPr>
          <w:rFonts w:ascii="Arial" w:hAnsi="Arial" w:cs="Arial"/>
          <w:sz w:val="36"/>
          <w:szCs w:val="36"/>
        </w:rPr>
        <w:t xml:space="preserve"> </w:t>
      </w:r>
      <w:r w:rsidRPr="00466ED9">
        <w:rPr>
          <w:rFonts w:ascii="Arial" w:hAnsi="Arial" w:cs="Arial"/>
          <w:sz w:val="36"/>
          <w:szCs w:val="36"/>
        </w:rPr>
        <w:t>202</w:t>
      </w:r>
      <w:r>
        <w:rPr>
          <w:rFonts w:ascii="Arial" w:hAnsi="Arial" w:cs="Arial"/>
          <w:sz w:val="36"/>
          <w:szCs w:val="36"/>
        </w:rPr>
        <w:t>6</w:t>
      </w:r>
      <w:r w:rsidRPr="00466ED9">
        <w:rPr>
          <w:rFonts w:ascii="Arial" w:hAnsi="Arial" w:cs="Arial"/>
          <w:sz w:val="36"/>
          <w:szCs w:val="36"/>
        </w:rPr>
        <w:t xml:space="preserve"> </w:t>
      </w:r>
    </w:p>
    <w:p w14:paraId="7914159E" w14:textId="77777777" w:rsidR="00221299" w:rsidRDefault="00221299" w:rsidP="00F667BD">
      <w:pPr>
        <w:spacing w:line="600" w:lineRule="auto"/>
        <w:rPr>
          <w:rFonts w:ascii="Arial" w:hAnsi="Arial" w:cs="Arial"/>
          <w:sz w:val="36"/>
          <w:szCs w:val="36"/>
        </w:rPr>
      </w:pPr>
    </w:p>
    <w:p w14:paraId="78619C01" w14:textId="1480D2E9" w:rsidR="00221299" w:rsidRDefault="00221299" w:rsidP="0012185B">
      <w:pPr>
        <w:spacing w:line="600" w:lineRule="auto"/>
        <w:jc w:val="center"/>
        <w:rPr>
          <w:rFonts w:ascii="Arial" w:hAnsi="Arial" w:cs="Arial"/>
          <w:b/>
          <w:bCs/>
          <w:sz w:val="36"/>
          <w:szCs w:val="36"/>
        </w:rPr>
      </w:pPr>
      <w:r w:rsidRPr="0012185B">
        <w:rPr>
          <w:rFonts w:ascii="Arial" w:hAnsi="Arial" w:cs="Arial"/>
          <w:b/>
          <w:bCs/>
          <w:sz w:val="36"/>
          <w:szCs w:val="36"/>
        </w:rPr>
        <w:lastRenderedPageBreak/>
        <w:t>Table of content</w:t>
      </w:r>
    </w:p>
    <w:p w14:paraId="478EF7E7" w14:textId="01D813EF" w:rsidR="00571C80" w:rsidRDefault="00571C80" w:rsidP="00E02D77">
      <w:pPr>
        <w:spacing w:after="0" w:line="360" w:lineRule="auto"/>
        <w:jc w:val="center"/>
        <w:rPr>
          <w:rFonts w:ascii="Arial" w:eastAsia="Times New Roman" w:hAnsi="Arial" w:cs="Arial"/>
          <w:b/>
          <w:bCs/>
          <w:kern w:val="0"/>
          <w:sz w:val="32"/>
          <w:szCs w:val="32"/>
          <w:lang w:eastAsia="en-GB"/>
          <w14:ligatures w14:val="none"/>
        </w:rPr>
      </w:pPr>
      <w:r w:rsidRPr="00363A08">
        <w:rPr>
          <w:rFonts w:ascii="Arial" w:eastAsia="Times New Roman" w:hAnsi="Arial" w:cs="Arial"/>
          <w:b/>
          <w:bCs/>
          <w:kern w:val="0"/>
          <w:sz w:val="32"/>
          <w:szCs w:val="32"/>
          <w:lang w:eastAsia="en-GB"/>
          <w14:ligatures w14:val="none"/>
        </w:rPr>
        <w:t>Introduction</w:t>
      </w:r>
      <w:r w:rsidR="00092436">
        <w:rPr>
          <w:rFonts w:ascii="Arial" w:eastAsia="Times New Roman" w:hAnsi="Arial" w:cs="Arial"/>
          <w:b/>
          <w:bCs/>
          <w:kern w:val="0"/>
          <w:sz w:val="32"/>
          <w:szCs w:val="32"/>
          <w:lang w:eastAsia="en-GB"/>
          <w14:ligatures w14:val="none"/>
        </w:rPr>
        <w:t>……………………………………………………</w:t>
      </w:r>
      <w:proofErr w:type="gramStart"/>
      <w:r w:rsidR="00E02D77">
        <w:rPr>
          <w:rFonts w:ascii="Arial" w:eastAsia="Times New Roman" w:hAnsi="Arial" w:cs="Arial"/>
          <w:b/>
          <w:bCs/>
          <w:kern w:val="0"/>
          <w:sz w:val="32"/>
          <w:szCs w:val="32"/>
          <w:lang w:eastAsia="en-GB"/>
          <w14:ligatures w14:val="none"/>
        </w:rPr>
        <w:t>….</w:t>
      </w:r>
      <w:r w:rsidR="00092436">
        <w:rPr>
          <w:rFonts w:ascii="Arial" w:eastAsia="Times New Roman" w:hAnsi="Arial" w:cs="Arial"/>
          <w:b/>
          <w:bCs/>
          <w:kern w:val="0"/>
          <w:sz w:val="32"/>
          <w:szCs w:val="32"/>
          <w:lang w:eastAsia="en-GB"/>
          <w14:ligatures w14:val="none"/>
        </w:rPr>
        <w:t>.</w:t>
      </w:r>
      <w:proofErr w:type="gramEnd"/>
      <w:r w:rsidR="00092436">
        <w:rPr>
          <w:rFonts w:ascii="Arial" w:eastAsia="Times New Roman" w:hAnsi="Arial" w:cs="Arial"/>
          <w:b/>
          <w:bCs/>
          <w:kern w:val="0"/>
          <w:sz w:val="32"/>
          <w:szCs w:val="32"/>
          <w:lang w:eastAsia="en-GB"/>
          <w14:ligatures w14:val="none"/>
        </w:rPr>
        <w:t>3</w:t>
      </w:r>
    </w:p>
    <w:p w14:paraId="4AE0DAA0" w14:textId="1EFE97FE" w:rsidR="00092436" w:rsidRDefault="00571C80" w:rsidP="00E02D77">
      <w:pPr>
        <w:spacing w:after="0" w:line="360" w:lineRule="auto"/>
        <w:jc w:val="right"/>
        <w:rPr>
          <w:rFonts w:ascii="Arial" w:eastAsia="Times New Roman" w:hAnsi="Arial" w:cs="Arial"/>
          <w:b/>
          <w:bCs/>
          <w:kern w:val="0"/>
          <w:sz w:val="32"/>
          <w:szCs w:val="32"/>
          <w:lang w:eastAsia="en-GB"/>
          <w14:ligatures w14:val="none"/>
        </w:rPr>
      </w:pPr>
      <w:r w:rsidRPr="00363A08">
        <w:rPr>
          <w:rFonts w:ascii="Arial" w:eastAsia="Times New Roman" w:hAnsi="Arial" w:cs="Arial"/>
          <w:b/>
          <w:bCs/>
          <w:kern w:val="0"/>
          <w:sz w:val="32"/>
          <w:szCs w:val="32"/>
          <w:lang w:eastAsia="en-GB"/>
          <w14:ligatures w14:val="none"/>
        </w:rPr>
        <w:t>Main Body</w:t>
      </w:r>
      <w:r w:rsidR="00092436">
        <w:rPr>
          <w:rFonts w:ascii="Arial" w:eastAsia="Times New Roman" w:hAnsi="Arial" w:cs="Arial"/>
          <w:b/>
          <w:bCs/>
          <w:kern w:val="0"/>
          <w:sz w:val="32"/>
          <w:szCs w:val="32"/>
          <w:lang w:eastAsia="en-GB"/>
          <w14:ligatures w14:val="none"/>
        </w:rPr>
        <w:t>………………………………………………………</w:t>
      </w:r>
      <w:proofErr w:type="gramStart"/>
      <w:r w:rsidR="00E02D77">
        <w:rPr>
          <w:rFonts w:ascii="Arial" w:eastAsia="Times New Roman" w:hAnsi="Arial" w:cs="Arial"/>
          <w:b/>
          <w:bCs/>
          <w:kern w:val="0"/>
          <w:sz w:val="32"/>
          <w:szCs w:val="32"/>
          <w:lang w:eastAsia="en-GB"/>
          <w14:ligatures w14:val="none"/>
        </w:rPr>
        <w:t>…</w:t>
      </w:r>
      <w:r w:rsidR="00092436">
        <w:rPr>
          <w:rFonts w:ascii="Arial" w:eastAsia="Times New Roman" w:hAnsi="Arial" w:cs="Arial"/>
          <w:b/>
          <w:bCs/>
          <w:kern w:val="0"/>
          <w:sz w:val="32"/>
          <w:szCs w:val="32"/>
          <w:lang w:eastAsia="en-GB"/>
          <w14:ligatures w14:val="none"/>
        </w:rPr>
        <w:t>.</w:t>
      </w:r>
      <w:r w:rsidR="00E02D77">
        <w:rPr>
          <w:rFonts w:ascii="Arial" w:eastAsia="Times New Roman" w:hAnsi="Arial" w:cs="Arial"/>
          <w:b/>
          <w:bCs/>
          <w:kern w:val="0"/>
          <w:sz w:val="32"/>
          <w:szCs w:val="32"/>
          <w:lang w:eastAsia="en-GB"/>
          <w14:ligatures w14:val="none"/>
        </w:rPr>
        <w:t>.</w:t>
      </w:r>
      <w:proofErr w:type="gramEnd"/>
      <w:r w:rsidR="00092436">
        <w:rPr>
          <w:rFonts w:ascii="Arial" w:eastAsia="Times New Roman" w:hAnsi="Arial" w:cs="Arial"/>
          <w:b/>
          <w:bCs/>
          <w:kern w:val="0"/>
          <w:sz w:val="32"/>
          <w:szCs w:val="32"/>
          <w:lang w:eastAsia="en-GB"/>
          <w14:ligatures w14:val="none"/>
        </w:rPr>
        <w:t>3</w:t>
      </w:r>
    </w:p>
    <w:p w14:paraId="34B8EF53" w14:textId="5340C5B0" w:rsidR="00092436" w:rsidRDefault="00092436" w:rsidP="00E02D77">
      <w:pPr>
        <w:spacing w:after="0" w:line="360" w:lineRule="auto"/>
        <w:jc w:val="center"/>
        <w:rPr>
          <w:rFonts w:ascii="Arial" w:eastAsia="Times New Roman" w:hAnsi="Arial" w:cs="Arial"/>
          <w:b/>
          <w:bCs/>
          <w:kern w:val="0"/>
          <w:sz w:val="32"/>
          <w:szCs w:val="32"/>
          <w:lang w:eastAsia="en-GB"/>
          <w14:ligatures w14:val="none"/>
        </w:rPr>
      </w:pPr>
      <w:r w:rsidRPr="00363A08">
        <w:rPr>
          <w:rFonts w:ascii="Arial" w:eastAsia="Times New Roman" w:hAnsi="Arial" w:cs="Arial"/>
          <w:b/>
          <w:bCs/>
          <w:kern w:val="36"/>
          <w:sz w:val="32"/>
          <w:szCs w:val="32"/>
          <w:lang w:eastAsia="en-GB"/>
          <w14:ligatures w14:val="none"/>
        </w:rPr>
        <w:t>Conclusion</w:t>
      </w:r>
      <w:r>
        <w:rPr>
          <w:rFonts w:ascii="Arial" w:eastAsia="Times New Roman" w:hAnsi="Arial" w:cs="Arial"/>
          <w:b/>
          <w:bCs/>
          <w:kern w:val="36"/>
          <w:sz w:val="32"/>
          <w:szCs w:val="32"/>
          <w:lang w:eastAsia="en-GB"/>
          <w14:ligatures w14:val="none"/>
        </w:rPr>
        <w:t>…………………………………………………………7</w:t>
      </w:r>
    </w:p>
    <w:p w14:paraId="64A38A93" w14:textId="7656F883" w:rsidR="00092436" w:rsidRPr="00092436" w:rsidRDefault="00092436" w:rsidP="00E02D77">
      <w:pPr>
        <w:spacing w:after="0" w:line="360" w:lineRule="auto"/>
        <w:jc w:val="center"/>
        <w:rPr>
          <w:rFonts w:ascii="Arial" w:eastAsia="Times New Roman" w:hAnsi="Arial" w:cs="Arial"/>
          <w:b/>
          <w:bCs/>
          <w:kern w:val="0"/>
          <w:sz w:val="32"/>
          <w:szCs w:val="32"/>
          <w:lang w:eastAsia="en-GB"/>
          <w14:ligatures w14:val="none"/>
        </w:rPr>
      </w:pPr>
      <w:r>
        <w:rPr>
          <w:rFonts w:ascii="Arial" w:eastAsia="Times New Roman" w:hAnsi="Arial" w:cs="Arial"/>
          <w:b/>
          <w:bCs/>
          <w:kern w:val="36"/>
          <w:sz w:val="32"/>
          <w:szCs w:val="32"/>
          <w:lang w:eastAsia="en-GB"/>
          <w14:ligatures w14:val="none"/>
        </w:rPr>
        <w:t>References………………………………………………………</w:t>
      </w:r>
      <w:r w:rsidR="00E02D77">
        <w:rPr>
          <w:rFonts w:ascii="Arial" w:eastAsia="Times New Roman" w:hAnsi="Arial" w:cs="Arial"/>
          <w:b/>
          <w:bCs/>
          <w:kern w:val="36"/>
          <w:sz w:val="32"/>
          <w:szCs w:val="32"/>
          <w:lang w:eastAsia="en-GB"/>
          <w14:ligatures w14:val="none"/>
        </w:rPr>
        <w:t>…9</w:t>
      </w:r>
    </w:p>
    <w:p w14:paraId="7CB44D60" w14:textId="77777777" w:rsidR="00092436" w:rsidRPr="00363A08" w:rsidRDefault="00092436" w:rsidP="00571C80">
      <w:pPr>
        <w:spacing w:after="0" w:line="360" w:lineRule="auto"/>
        <w:jc w:val="both"/>
        <w:rPr>
          <w:rFonts w:ascii="Arial" w:eastAsia="Times New Roman" w:hAnsi="Arial" w:cs="Arial"/>
          <w:b/>
          <w:bCs/>
          <w:kern w:val="0"/>
          <w:sz w:val="32"/>
          <w:szCs w:val="32"/>
          <w:lang w:eastAsia="en-GB"/>
          <w14:ligatures w14:val="none"/>
        </w:rPr>
      </w:pPr>
    </w:p>
    <w:p w14:paraId="45022428" w14:textId="77777777" w:rsidR="00571C80" w:rsidRPr="00363A08" w:rsidRDefault="00571C80" w:rsidP="00571C80">
      <w:pPr>
        <w:spacing w:after="0" w:line="360" w:lineRule="auto"/>
        <w:jc w:val="both"/>
        <w:rPr>
          <w:rFonts w:ascii="Arial" w:eastAsia="Times New Roman" w:hAnsi="Arial" w:cs="Arial"/>
          <w:b/>
          <w:bCs/>
          <w:kern w:val="0"/>
          <w:sz w:val="32"/>
          <w:szCs w:val="32"/>
          <w:lang w:eastAsia="en-GB"/>
          <w14:ligatures w14:val="none"/>
        </w:rPr>
      </w:pPr>
    </w:p>
    <w:p w14:paraId="2306664A" w14:textId="77777777" w:rsidR="00571C80" w:rsidRDefault="00571C80" w:rsidP="0012185B">
      <w:pPr>
        <w:spacing w:line="600" w:lineRule="auto"/>
        <w:jc w:val="center"/>
        <w:rPr>
          <w:rFonts w:ascii="Arial" w:hAnsi="Arial" w:cs="Arial"/>
          <w:b/>
          <w:bCs/>
          <w:sz w:val="36"/>
          <w:szCs w:val="36"/>
        </w:rPr>
      </w:pPr>
    </w:p>
    <w:p w14:paraId="62D2CD1D" w14:textId="77777777" w:rsidR="0012185B" w:rsidRPr="0012185B" w:rsidRDefault="0012185B" w:rsidP="0012185B">
      <w:pPr>
        <w:spacing w:line="600" w:lineRule="auto"/>
        <w:jc w:val="center"/>
        <w:rPr>
          <w:rFonts w:ascii="Arial" w:hAnsi="Arial" w:cs="Arial"/>
          <w:b/>
          <w:bCs/>
          <w:sz w:val="36"/>
          <w:szCs w:val="36"/>
        </w:rPr>
      </w:pPr>
    </w:p>
    <w:p w14:paraId="58815778" w14:textId="77777777" w:rsidR="00AE796D" w:rsidRDefault="00AE796D" w:rsidP="00F667BD">
      <w:pPr>
        <w:spacing w:line="600" w:lineRule="auto"/>
        <w:rPr>
          <w:rFonts w:ascii="Arial" w:hAnsi="Arial" w:cs="Arial"/>
          <w:sz w:val="36"/>
          <w:szCs w:val="36"/>
        </w:rPr>
      </w:pPr>
    </w:p>
    <w:p w14:paraId="6DEAB628" w14:textId="77777777" w:rsidR="00AE796D" w:rsidRDefault="00AE796D" w:rsidP="00F667BD">
      <w:pPr>
        <w:spacing w:line="600" w:lineRule="auto"/>
        <w:rPr>
          <w:rFonts w:ascii="Arial" w:hAnsi="Arial" w:cs="Arial"/>
          <w:sz w:val="36"/>
          <w:szCs w:val="36"/>
        </w:rPr>
      </w:pPr>
    </w:p>
    <w:p w14:paraId="1F848B69" w14:textId="77777777" w:rsidR="00AE796D" w:rsidRDefault="00AE796D" w:rsidP="00F667BD">
      <w:pPr>
        <w:spacing w:line="600" w:lineRule="auto"/>
        <w:rPr>
          <w:rFonts w:ascii="Arial" w:hAnsi="Arial" w:cs="Arial"/>
          <w:sz w:val="36"/>
          <w:szCs w:val="36"/>
        </w:rPr>
      </w:pPr>
    </w:p>
    <w:p w14:paraId="00B940DA" w14:textId="77777777" w:rsidR="00AE796D" w:rsidRDefault="00AE796D" w:rsidP="00F667BD">
      <w:pPr>
        <w:spacing w:line="600" w:lineRule="auto"/>
        <w:rPr>
          <w:rFonts w:ascii="Arial" w:hAnsi="Arial" w:cs="Arial"/>
          <w:sz w:val="36"/>
          <w:szCs w:val="36"/>
        </w:rPr>
      </w:pPr>
    </w:p>
    <w:p w14:paraId="4E29088F" w14:textId="77777777" w:rsidR="00AE796D" w:rsidRDefault="00AE796D" w:rsidP="00F667BD">
      <w:pPr>
        <w:spacing w:line="600" w:lineRule="auto"/>
        <w:rPr>
          <w:rFonts w:ascii="Arial" w:hAnsi="Arial" w:cs="Arial"/>
          <w:sz w:val="36"/>
          <w:szCs w:val="36"/>
        </w:rPr>
      </w:pPr>
    </w:p>
    <w:p w14:paraId="6AE33E55" w14:textId="77777777" w:rsidR="00092436" w:rsidRDefault="00092436" w:rsidP="00363A08">
      <w:pPr>
        <w:spacing w:after="0" w:line="360" w:lineRule="auto"/>
        <w:jc w:val="both"/>
        <w:rPr>
          <w:rFonts w:ascii="Arial" w:hAnsi="Arial" w:cs="Arial"/>
          <w:sz w:val="36"/>
          <w:szCs w:val="36"/>
        </w:rPr>
      </w:pPr>
    </w:p>
    <w:p w14:paraId="352B5686" w14:textId="77777777" w:rsidR="00092436" w:rsidRDefault="00092436" w:rsidP="00363A08">
      <w:pPr>
        <w:spacing w:after="0" w:line="360" w:lineRule="auto"/>
        <w:jc w:val="both"/>
        <w:rPr>
          <w:rFonts w:ascii="Arial" w:hAnsi="Arial" w:cs="Arial"/>
          <w:sz w:val="36"/>
          <w:szCs w:val="36"/>
        </w:rPr>
      </w:pPr>
    </w:p>
    <w:p w14:paraId="3D7783F3" w14:textId="11713543" w:rsidR="00092436" w:rsidRPr="00363A08" w:rsidRDefault="00363A08" w:rsidP="00363A08">
      <w:pPr>
        <w:spacing w:after="0" w:line="360" w:lineRule="auto"/>
        <w:jc w:val="both"/>
        <w:rPr>
          <w:rFonts w:ascii="Arial" w:eastAsia="Times New Roman" w:hAnsi="Arial" w:cs="Arial"/>
          <w:b/>
          <w:bCs/>
          <w:kern w:val="0"/>
          <w:sz w:val="32"/>
          <w:szCs w:val="32"/>
          <w:lang w:eastAsia="en-GB"/>
          <w14:ligatures w14:val="none"/>
        </w:rPr>
      </w:pPr>
      <w:r w:rsidRPr="00363A08">
        <w:rPr>
          <w:rFonts w:ascii="Arial" w:eastAsia="Times New Roman" w:hAnsi="Arial" w:cs="Arial"/>
          <w:b/>
          <w:bCs/>
          <w:kern w:val="0"/>
          <w:sz w:val="32"/>
          <w:szCs w:val="32"/>
          <w:lang w:eastAsia="en-GB"/>
          <w14:ligatures w14:val="none"/>
        </w:rPr>
        <w:lastRenderedPageBreak/>
        <w:t>Introduction</w:t>
      </w:r>
    </w:p>
    <w:p w14:paraId="26FB8182" w14:textId="77777777" w:rsidR="00092436" w:rsidRDefault="00092436" w:rsidP="00363A08">
      <w:pPr>
        <w:spacing w:after="0" w:line="360" w:lineRule="auto"/>
        <w:jc w:val="both"/>
        <w:rPr>
          <w:rFonts w:ascii="Arial" w:eastAsia="Times New Roman" w:hAnsi="Arial" w:cs="Arial"/>
          <w:kern w:val="0"/>
          <w:sz w:val="24"/>
          <w:szCs w:val="24"/>
          <w:lang w:eastAsia="en-GB"/>
          <w14:ligatures w14:val="none"/>
        </w:rPr>
      </w:pPr>
    </w:p>
    <w:p w14:paraId="12589B20" w14:textId="3F15160B" w:rsidR="00363A08" w:rsidRDefault="00363A08" w:rsidP="00363A08">
      <w:pPr>
        <w:spacing w:after="0" w:line="360" w:lineRule="auto"/>
        <w:jc w:val="both"/>
        <w:rPr>
          <w:rFonts w:ascii="Arial" w:eastAsia="Times New Roman" w:hAnsi="Arial" w:cs="Arial"/>
          <w:kern w:val="0"/>
          <w:sz w:val="24"/>
          <w:szCs w:val="24"/>
          <w:lang w:eastAsia="en-GB"/>
          <w14:ligatures w14:val="none"/>
        </w:rPr>
      </w:pPr>
      <w:r w:rsidRPr="00363A08">
        <w:rPr>
          <w:rFonts w:ascii="Arial" w:eastAsia="Times New Roman" w:hAnsi="Arial" w:cs="Arial"/>
          <w:kern w:val="0"/>
          <w:sz w:val="24"/>
          <w:szCs w:val="24"/>
          <w:lang w:eastAsia="en-GB"/>
          <w14:ligatures w14:val="none"/>
        </w:rPr>
        <w:t>The essay will provide an overview of both the UK-based car manufacturer, Rolls-Royce, and its partner in Japan, IHI Corporation. To understand the cultural differences and variations in communication style, appropriate theoretical frameworks will be applied, such as Hofstede’s Cultural Dimensions Theory and two other theories. This essay will critically analyse differences in communication patterns in the UK and Japan through the lens of decision-making, conflict regulation, and leadership communication. Recommendations will be provided in this essay to enhance the method of communication in the UK and Japan for the two companies.  </w:t>
      </w:r>
    </w:p>
    <w:p w14:paraId="6BC15E98" w14:textId="110BF23C" w:rsidR="00363A08" w:rsidRPr="00363A08" w:rsidRDefault="00363A08" w:rsidP="00363A08">
      <w:pPr>
        <w:spacing w:after="0" w:line="360" w:lineRule="auto"/>
        <w:jc w:val="both"/>
        <w:rPr>
          <w:rFonts w:ascii="Arial" w:eastAsia="Times New Roman" w:hAnsi="Arial" w:cs="Arial"/>
          <w:kern w:val="0"/>
          <w:sz w:val="24"/>
          <w:szCs w:val="24"/>
          <w:lang w:eastAsia="en-GB"/>
          <w14:ligatures w14:val="none"/>
        </w:rPr>
      </w:pPr>
      <w:r w:rsidRPr="00363A08">
        <w:rPr>
          <w:rFonts w:ascii="Arial" w:eastAsia="Times New Roman" w:hAnsi="Arial" w:cs="Arial"/>
          <w:kern w:val="0"/>
          <w:sz w:val="24"/>
          <w:szCs w:val="24"/>
          <w:lang w:eastAsia="en-GB"/>
          <w14:ligatures w14:val="none"/>
        </w:rPr>
        <w:t xml:space="preserve">      </w:t>
      </w:r>
    </w:p>
    <w:p w14:paraId="7456E3AD" w14:textId="77777777" w:rsidR="00363A08" w:rsidRPr="00363A08" w:rsidRDefault="00363A08" w:rsidP="00363A08">
      <w:pPr>
        <w:spacing w:after="0" w:line="360" w:lineRule="auto"/>
        <w:jc w:val="both"/>
        <w:rPr>
          <w:rFonts w:ascii="Arial" w:eastAsia="Times New Roman" w:hAnsi="Arial" w:cs="Arial"/>
          <w:b/>
          <w:bCs/>
          <w:kern w:val="0"/>
          <w:sz w:val="32"/>
          <w:szCs w:val="32"/>
          <w:lang w:eastAsia="en-GB"/>
          <w14:ligatures w14:val="none"/>
        </w:rPr>
      </w:pPr>
      <w:r w:rsidRPr="00363A08">
        <w:rPr>
          <w:rFonts w:ascii="Arial" w:eastAsia="Times New Roman" w:hAnsi="Arial" w:cs="Arial"/>
          <w:b/>
          <w:bCs/>
          <w:kern w:val="0"/>
          <w:sz w:val="32"/>
          <w:szCs w:val="32"/>
          <w:lang w:eastAsia="en-GB"/>
          <w14:ligatures w14:val="none"/>
        </w:rPr>
        <w:t>Main Body</w:t>
      </w:r>
    </w:p>
    <w:p w14:paraId="44696ACB" w14:textId="5DA1A210" w:rsidR="00363A08" w:rsidRPr="00363A08" w:rsidRDefault="00363A08" w:rsidP="00363A08">
      <w:pPr>
        <w:spacing w:before="240" w:after="120" w:line="360" w:lineRule="auto"/>
        <w:jc w:val="both"/>
        <w:outlineLvl w:val="0"/>
        <w:rPr>
          <w:rFonts w:ascii="Arial" w:eastAsia="Times New Roman" w:hAnsi="Arial" w:cs="Arial"/>
          <w:kern w:val="36"/>
          <w:sz w:val="24"/>
          <w:szCs w:val="24"/>
          <w:lang w:eastAsia="en-GB"/>
          <w14:ligatures w14:val="none"/>
        </w:rPr>
      </w:pPr>
      <w:r w:rsidRPr="00363A08">
        <w:rPr>
          <w:rFonts w:ascii="Arial" w:eastAsia="Times New Roman" w:hAnsi="Arial" w:cs="Arial"/>
          <w:kern w:val="36"/>
          <w:sz w:val="24"/>
          <w:szCs w:val="24"/>
          <w:lang w:eastAsia="en-GB"/>
          <w14:ligatures w14:val="none"/>
        </w:rPr>
        <w:t>Rolls-Royce was established in 1904 through the collaboration of Charles Rolls and Sir Henry Royce and is headquartered in London, UK. The Chief Executive Officer (CEO) is Tufan Ergin-</w:t>
      </w:r>
      <w:proofErr w:type="spellStart"/>
      <w:r w:rsidRPr="00363A08">
        <w:rPr>
          <w:rFonts w:ascii="Arial" w:eastAsia="Times New Roman" w:hAnsi="Arial" w:cs="Arial"/>
          <w:kern w:val="36"/>
          <w:sz w:val="24"/>
          <w:szCs w:val="24"/>
          <w:lang w:eastAsia="en-GB"/>
          <w14:ligatures w14:val="none"/>
        </w:rPr>
        <w:t>Bilgic</w:t>
      </w:r>
      <w:proofErr w:type="spellEnd"/>
      <w:r w:rsidRPr="00363A08">
        <w:rPr>
          <w:rFonts w:ascii="Arial" w:eastAsia="Times New Roman" w:hAnsi="Arial" w:cs="Arial"/>
          <w:kern w:val="36"/>
          <w:sz w:val="24"/>
          <w:szCs w:val="24"/>
          <w:lang w:eastAsia="en-GB"/>
          <w14:ligatures w14:val="none"/>
        </w:rPr>
        <w:t xml:space="preserve">, and the company currently has 43,162 workers. Rolls-Royce implements, enhances, and produces service-collaborated power systems for application in the air, on land, and at sea. The organisation operates across a wide range of segments, including Power Systems, Civil Aerospace, </w:t>
      </w:r>
      <w:proofErr w:type="spellStart"/>
      <w:r>
        <w:rPr>
          <w:rFonts w:ascii="Arial" w:eastAsia="Times New Roman" w:hAnsi="Arial" w:cs="Arial"/>
          <w:kern w:val="36"/>
          <w:sz w:val="24"/>
          <w:szCs w:val="24"/>
          <w:lang w:eastAsia="en-GB"/>
          <w14:ligatures w14:val="none"/>
        </w:rPr>
        <w:t>Defense</w:t>
      </w:r>
      <w:proofErr w:type="spellEnd"/>
      <w:r>
        <w:rPr>
          <w:rFonts w:ascii="Arial" w:eastAsia="Times New Roman" w:hAnsi="Arial" w:cs="Arial"/>
          <w:kern w:val="36"/>
          <w:sz w:val="24"/>
          <w:szCs w:val="24"/>
          <w:lang w:eastAsia="en-GB"/>
          <w14:ligatures w14:val="none"/>
        </w:rPr>
        <w:t>,</w:t>
      </w:r>
      <w:r w:rsidRPr="00363A08">
        <w:rPr>
          <w:rFonts w:ascii="Arial" w:eastAsia="Times New Roman" w:hAnsi="Arial" w:cs="Arial"/>
          <w:kern w:val="36"/>
          <w:sz w:val="24"/>
          <w:szCs w:val="24"/>
          <w:lang w:eastAsia="en-GB"/>
          <w14:ligatures w14:val="none"/>
        </w:rPr>
        <w:t xml:space="preserve"> and New Markets. Rolls-Royce operates in the engineering and manufacturing sector and has achieved revenue of £18.20 billion at the end of 2025 (Forbes, 2026).</w:t>
      </w:r>
    </w:p>
    <w:p w14:paraId="1B32CCD5" w14:textId="77777777" w:rsidR="00363A08" w:rsidRPr="00363A08" w:rsidRDefault="00363A08" w:rsidP="00363A08">
      <w:pPr>
        <w:spacing w:after="0" w:line="360" w:lineRule="auto"/>
        <w:jc w:val="both"/>
        <w:rPr>
          <w:rFonts w:ascii="Arial" w:eastAsia="Times New Roman" w:hAnsi="Arial" w:cs="Arial"/>
          <w:kern w:val="0"/>
          <w:sz w:val="24"/>
          <w:szCs w:val="24"/>
          <w:lang w:eastAsia="en-GB"/>
          <w14:ligatures w14:val="none"/>
        </w:rPr>
      </w:pPr>
      <w:r w:rsidRPr="00363A08">
        <w:rPr>
          <w:rFonts w:ascii="Arial" w:eastAsia="Times New Roman" w:hAnsi="Arial" w:cs="Arial"/>
          <w:kern w:val="0"/>
          <w:sz w:val="24"/>
          <w:szCs w:val="24"/>
          <w:lang w:eastAsia="en-GB"/>
          <w14:ligatures w14:val="none"/>
        </w:rPr>
        <w:t>IHI Corporation was founded in 1853, is headquartered in Tokyo, Japan, and produces industrial products and machinery. The company's major operations include manufacturing, sales, and services in power systems, nuclear energy, carbon solutions, transport systems, and aero engines. IHI's main products include a broad range of technologies, such as ammonia combustion technology, carbon capture and utilisation technologies, biomass combustion technology, and machinery and systems for defence and industrial applications. The company has 26,224 employees and, at the end of 2025, had net revenue of £7.97 billion (Global Data, 2026).</w:t>
      </w:r>
    </w:p>
    <w:p w14:paraId="06E8CE1D" w14:textId="77777777" w:rsidR="00363A08" w:rsidRPr="00363A08" w:rsidRDefault="00363A08" w:rsidP="00363A08">
      <w:pPr>
        <w:spacing w:after="0" w:line="360" w:lineRule="auto"/>
        <w:jc w:val="both"/>
        <w:rPr>
          <w:rFonts w:ascii="Arial" w:eastAsia="Times New Roman" w:hAnsi="Arial" w:cs="Arial"/>
          <w:kern w:val="0"/>
          <w:sz w:val="24"/>
          <w:szCs w:val="24"/>
          <w:lang w:eastAsia="en-GB"/>
          <w14:ligatures w14:val="none"/>
        </w:rPr>
      </w:pPr>
      <w:r w:rsidRPr="00363A08">
        <w:rPr>
          <w:rFonts w:ascii="Arial" w:eastAsia="Times New Roman" w:hAnsi="Arial" w:cs="Arial"/>
          <w:kern w:val="0"/>
          <w:sz w:val="24"/>
          <w:szCs w:val="24"/>
          <w:lang w:eastAsia="en-GB"/>
          <w14:ligatures w14:val="none"/>
        </w:rPr>
        <w:t xml:space="preserve">In the current global environment, cultural integration helps international teams foster cultural diversity in an innovative, adaptable, and effective way. By collaborating with a wide range of viewpoints and experiences, companies can utilise the power of diversity to foster creativity and innovation (Cadahing, 2026). In today's rapidly </w:t>
      </w:r>
      <w:r w:rsidRPr="00363A08">
        <w:rPr>
          <w:rFonts w:ascii="Arial" w:eastAsia="Times New Roman" w:hAnsi="Arial" w:cs="Arial"/>
          <w:kern w:val="0"/>
          <w:sz w:val="24"/>
          <w:szCs w:val="24"/>
          <w:lang w:eastAsia="en-GB"/>
          <w14:ligatures w14:val="none"/>
        </w:rPr>
        <w:lastRenderedPageBreak/>
        <w:t xml:space="preserve">evolving business environment, innovation is a tool for organisations to remain competitive and relevant. Companies that promote a culture of innovation encourage their workforce to think innovatively, take on challenges, and implement innovative ideas. This kind of culture leads organisations to implement cutting-edge products and services, along with increased workforce involvement, which enhances business performance (LinkedIn, 2023). These components would enable Rolls-Royce to adapt effectively to Japan's work culture while expanding </w:t>
      </w:r>
      <w:proofErr w:type="spellStart"/>
      <w:r w:rsidRPr="00363A08">
        <w:rPr>
          <w:rFonts w:ascii="Arial" w:eastAsia="Times New Roman" w:hAnsi="Arial" w:cs="Arial"/>
          <w:kern w:val="0"/>
          <w:sz w:val="24"/>
          <w:szCs w:val="24"/>
          <w:lang w:eastAsia="en-GB"/>
          <w14:ligatures w14:val="none"/>
        </w:rPr>
        <w:t>itsusiness</w:t>
      </w:r>
      <w:proofErr w:type="spellEnd"/>
      <w:r w:rsidRPr="00363A08">
        <w:rPr>
          <w:rFonts w:ascii="Arial" w:eastAsia="Times New Roman" w:hAnsi="Arial" w:cs="Arial"/>
          <w:kern w:val="0"/>
          <w:sz w:val="24"/>
          <w:szCs w:val="24"/>
          <w:lang w:eastAsia="en-GB"/>
          <w14:ligatures w14:val="none"/>
        </w:rPr>
        <w:t xml:space="preserve"> by collaborating with IHI Corporation. The company will also be able to promote its business among customers in the international market.</w:t>
      </w:r>
    </w:p>
    <w:p w14:paraId="2C37F3FF" w14:textId="77777777" w:rsidR="00363A08" w:rsidRPr="00363A08" w:rsidRDefault="00363A08" w:rsidP="00363A08">
      <w:pPr>
        <w:spacing w:after="0" w:line="360" w:lineRule="auto"/>
        <w:jc w:val="both"/>
        <w:rPr>
          <w:rFonts w:ascii="Arial" w:eastAsia="Times New Roman" w:hAnsi="Arial" w:cs="Arial"/>
          <w:kern w:val="0"/>
          <w:sz w:val="24"/>
          <w:szCs w:val="24"/>
          <w:lang w:eastAsia="en-GB"/>
          <w14:ligatures w14:val="none"/>
        </w:rPr>
      </w:pPr>
      <w:r w:rsidRPr="00363A08">
        <w:rPr>
          <w:rFonts w:ascii="Arial" w:eastAsia="Times New Roman" w:hAnsi="Arial" w:cs="Arial"/>
          <w:kern w:val="0"/>
          <w:sz w:val="24"/>
          <w:szCs w:val="24"/>
          <w:lang w:eastAsia="en-GB"/>
          <w14:ligatures w14:val="none"/>
        </w:rPr>
        <w:t>Japan scored 54 on the power distance index of Hofstede’s Cultural Dimensions Model, reflecting that Japanese individuals remain aware of their hierarchical position and act accordingly. While collaborating with IHI Corporation, Rolls-Royce might find it difficult to enter the Japanese market and expand its business because of the country's very slow, agreement-based decision-making process. On the other hand, by scoring 35 on this index, the UK shows confidence that the inequalities prevailing in the country’s society must be reduced. On the motivation toward accomplishment and success index, Japan scored 95, and the UK scored 66. In the uncertainty avoidance index, Japan and the UK scored 92 and 35, respectively; in the long-term orientation index, Japan and the UK scored 100 and 60, respectively. In the indulgence index, Japan and the UK scored 42 and 69, respectively. This also suggests that people born into a lower class should not be restricted from pursuing their goals. A stable sense of fair regulation supports the idea that individuals in the UK must be treated equally. This factor has enabled Rolls-Royce to conduct its business operations in the country flexibly, which it might not be able to do in Japan, where it collaborated with IHI Corporation because of the strict, dominating nature of hierarchical individuals (The Culture Factor, 2026).</w:t>
      </w:r>
    </w:p>
    <w:p w14:paraId="79983FB8" w14:textId="77777777" w:rsidR="00363A08" w:rsidRPr="00363A08" w:rsidRDefault="00363A08" w:rsidP="00363A08">
      <w:pPr>
        <w:spacing w:after="0" w:line="360" w:lineRule="auto"/>
        <w:jc w:val="both"/>
        <w:rPr>
          <w:rFonts w:ascii="Arial" w:eastAsia="Times New Roman" w:hAnsi="Arial" w:cs="Arial"/>
          <w:kern w:val="0"/>
          <w:sz w:val="24"/>
          <w:szCs w:val="24"/>
          <w:lang w:eastAsia="en-GB"/>
          <w14:ligatures w14:val="none"/>
        </w:rPr>
      </w:pPr>
      <w:r w:rsidRPr="00363A08">
        <w:rPr>
          <w:rFonts w:ascii="Arial" w:eastAsia="Times New Roman" w:hAnsi="Arial" w:cs="Arial"/>
          <w:kern w:val="0"/>
          <w:sz w:val="24"/>
          <w:szCs w:val="24"/>
          <w:lang w:eastAsia="en-GB"/>
          <w14:ligatures w14:val="none"/>
        </w:rPr>
        <w:t xml:space="preserve">Applying Hall’s High-Context and Low-Context Theory to the UK and Japan highlights that the UK is a low-context culture compared with Japan's high-context culture. When communicating with individuals in the UK, Rolls-Royce must convey its opinions on business matters accurately and to the point, rather than adding extra information. Local people want action-oriented problem-solving, along with clear decisions, facts, and logic from the company when discussing business topics. Because of the low-context culture in the UK, individualism is discouraged; hence, the company would find that the regional individuals have a strong tendency to provide adverse feedback </w:t>
      </w:r>
      <w:r w:rsidRPr="00363A08">
        <w:rPr>
          <w:rFonts w:ascii="Arial" w:eastAsia="Times New Roman" w:hAnsi="Arial" w:cs="Arial"/>
          <w:kern w:val="0"/>
          <w:sz w:val="24"/>
          <w:szCs w:val="24"/>
          <w:lang w:eastAsia="en-GB"/>
          <w14:ligatures w14:val="none"/>
        </w:rPr>
        <w:lastRenderedPageBreak/>
        <w:t>regarding their business operations directly. In contrast, when communicating with people in Japan, Rolls-Royce can more flexibly share feedback on business functions, as they emphasise maintaining group harmony rather than seeking individual opinions. The regional people of the country focus heavily on the development of stable relationships, showing gratitude, and interacting effectively with the company (McIvor, 2022). This would enable Rolls-Royce to expand its operations in Japan by collaborating with IHI Corporation.</w:t>
      </w:r>
    </w:p>
    <w:p w14:paraId="60D17DFD" w14:textId="77777777" w:rsidR="00363A08" w:rsidRPr="00363A08" w:rsidRDefault="00363A08" w:rsidP="00363A08">
      <w:pPr>
        <w:spacing w:after="0" w:line="360" w:lineRule="auto"/>
        <w:jc w:val="both"/>
        <w:rPr>
          <w:rFonts w:ascii="Arial" w:eastAsia="Times New Roman" w:hAnsi="Arial" w:cs="Arial"/>
          <w:kern w:val="0"/>
          <w:sz w:val="24"/>
          <w:szCs w:val="24"/>
          <w:lang w:eastAsia="en-GB"/>
          <w14:ligatures w14:val="none"/>
        </w:rPr>
      </w:pPr>
      <w:r w:rsidRPr="00363A08">
        <w:rPr>
          <w:rFonts w:ascii="Arial" w:eastAsia="Times New Roman" w:hAnsi="Arial" w:cs="Arial"/>
          <w:kern w:val="0"/>
          <w:sz w:val="24"/>
          <w:szCs w:val="24"/>
          <w:lang w:eastAsia="en-GB"/>
          <w14:ligatures w14:val="none"/>
        </w:rPr>
        <w:t>Applying Trompenaars' Seven Dimensions Framework to the UK shows that it occupies a stable position, focusing on individualism, universalism, and particular behaviours. The country emphasises hugely on universal, individualistic, and sequential values that overshadow the establishment of personal relationships by Rolls-Royce with its local individuals. UK hierarchy teaches its individuals to concentrate on offering their specific opinions, personal freedom, and making decisions on their own. On the other hand, Japan gives importance to the establishment of group harmony, fact-based relationships, and simultaneous and flexible regulation of time. Communalism, group agreement, workforce harmony, and an integrative official personality overrule the acquisition of individual opinions. The country enables its individuals to maintain a balance between their personal and professional lives through the development of their essential trust towards it (</w:t>
      </w:r>
      <w:proofErr w:type="spellStart"/>
      <w:r w:rsidRPr="00363A08">
        <w:rPr>
          <w:rFonts w:ascii="Arial" w:eastAsia="Times New Roman" w:hAnsi="Arial" w:cs="Arial"/>
          <w:kern w:val="0"/>
          <w:sz w:val="24"/>
          <w:szCs w:val="24"/>
          <w:lang w:eastAsia="en-GB"/>
          <w14:ligatures w14:val="none"/>
        </w:rPr>
        <w:t>Ziliute</w:t>
      </w:r>
      <w:proofErr w:type="spellEnd"/>
      <w:r w:rsidRPr="00363A08">
        <w:rPr>
          <w:rFonts w:ascii="Arial" w:eastAsia="Times New Roman" w:hAnsi="Arial" w:cs="Arial"/>
          <w:kern w:val="0"/>
          <w:sz w:val="24"/>
          <w:szCs w:val="24"/>
          <w:lang w:eastAsia="en-GB"/>
          <w14:ligatures w14:val="none"/>
        </w:rPr>
        <w:t>, 2024). This would allow Rolls-Royce to expand its business functions in Japan by collaborating with IHI Corporation.  </w:t>
      </w:r>
    </w:p>
    <w:p w14:paraId="5FDB2E65" w14:textId="77777777" w:rsidR="00363A08" w:rsidRPr="00363A08" w:rsidRDefault="00363A08" w:rsidP="00363A08">
      <w:pPr>
        <w:spacing w:after="0" w:line="360" w:lineRule="auto"/>
        <w:jc w:val="both"/>
        <w:rPr>
          <w:rFonts w:ascii="Arial" w:eastAsia="Times New Roman" w:hAnsi="Arial" w:cs="Arial"/>
          <w:kern w:val="0"/>
          <w:sz w:val="24"/>
          <w:szCs w:val="24"/>
          <w:lang w:eastAsia="en-GB"/>
          <w14:ligatures w14:val="none"/>
        </w:rPr>
      </w:pPr>
      <w:r w:rsidRPr="00363A08">
        <w:rPr>
          <w:rFonts w:ascii="Arial" w:eastAsia="Times New Roman" w:hAnsi="Arial" w:cs="Arial"/>
          <w:kern w:val="0"/>
          <w:sz w:val="24"/>
          <w:szCs w:val="24"/>
          <w:lang w:eastAsia="en-GB"/>
          <w14:ligatures w14:val="none"/>
        </w:rPr>
        <w:t>In the UK, the British population has a preference for politeness, and this is shaped by the explicit wording in the communication process. It mostly uses indirect ways of communication between two individuals. It is helpful in building clarity and collaboration in both in-person and virtual part of the settings. Rolls-Royce should use implied and soft language in the communication process (</w:t>
      </w:r>
      <w:proofErr w:type="spellStart"/>
      <w:r w:rsidRPr="00363A08">
        <w:rPr>
          <w:rFonts w:ascii="Arial" w:eastAsia="Times New Roman" w:hAnsi="Arial" w:cs="Arial"/>
          <w:kern w:val="0"/>
          <w:sz w:val="24"/>
          <w:szCs w:val="24"/>
          <w:lang w:eastAsia="en-GB"/>
          <w14:ligatures w14:val="none"/>
        </w:rPr>
        <w:t>Commisceo</w:t>
      </w:r>
      <w:proofErr w:type="spellEnd"/>
      <w:r w:rsidRPr="00363A08">
        <w:rPr>
          <w:rFonts w:ascii="Arial" w:eastAsia="Times New Roman" w:hAnsi="Arial" w:cs="Arial"/>
          <w:kern w:val="0"/>
          <w:sz w:val="24"/>
          <w:szCs w:val="24"/>
          <w:lang w:eastAsia="en-GB"/>
          <w14:ligatures w14:val="none"/>
        </w:rPr>
        <w:t xml:space="preserve"> Global, 2026). In Japanese culture, the communication style is indirect and high-context. It often relies on implicit cues, body language, and focuses on gestures, tone, and eye contact. This population also focuses on non-verbal communication, which is reflected in facial expressions, silence, space, and body language. Rolls-Royce should consider this point in maintaining the communication channel in Japan (</w:t>
      </w:r>
      <w:proofErr w:type="spellStart"/>
      <w:r w:rsidRPr="00363A08">
        <w:rPr>
          <w:rFonts w:ascii="Arial" w:eastAsia="Times New Roman" w:hAnsi="Arial" w:cs="Arial"/>
          <w:kern w:val="0"/>
          <w:sz w:val="24"/>
          <w:szCs w:val="24"/>
          <w:lang w:eastAsia="en-GB"/>
          <w14:ligatures w14:val="none"/>
        </w:rPr>
        <w:t>Daijob</w:t>
      </w:r>
      <w:proofErr w:type="spellEnd"/>
      <w:r w:rsidRPr="00363A08">
        <w:rPr>
          <w:rFonts w:ascii="Arial" w:eastAsia="Times New Roman" w:hAnsi="Arial" w:cs="Arial"/>
          <w:kern w:val="0"/>
          <w:sz w:val="24"/>
          <w:szCs w:val="24"/>
          <w:lang w:eastAsia="en-GB"/>
          <w14:ligatures w14:val="none"/>
        </w:rPr>
        <w:t>, 2025).</w:t>
      </w:r>
    </w:p>
    <w:p w14:paraId="768FD093" w14:textId="77777777" w:rsidR="00363A08" w:rsidRPr="00363A08" w:rsidRDefault="00363A08" w:rsidP="00363A08">
      <w:pPr>
        <w:spacing w:after="0" w:line="360" w:lineRule="auto"/>
        <w:jc w:val="both"/>
        <w:rPr>
          <w:rFonts w:ascii="Arial" w:eastAsia="Times New Roman" w:hAnsi="Arial" w:cs="Arial"/>
          <w:kern w:val="0"/>
          <w:sz w:val="24"/>
          <w:szCs w:val="24"/>
          <w:lang w:eastAsia="en-GB"/>
          <w14:ligatures w14:val="none"/>
        </w:rPr>
      </w:pPr>
      <w:r w:rsidRPr="00363A08">
        <w:rPr>
          <w:rFonts w:ascii="Arial" w:eastAsia="Times New Roman" w:hAnsi="Arial" w:cs="Arial"/>
          <w:kern w:val="0"/>
          <w:sz w:val="24"/>
          <w:szCs w:val="24"/>
          <w:lang w:eastAsia="en-GB"/>
          <w14:ligatures w14:val="none"/>
        </w:rPr>
        <w:t xml:space="preserve">In Japan, companies will be exploring the cultural norms that present collectivism and social harmony; these factors will be used in the decision-making approach. It should focus on consensus-building mechanisms, which will carry out the examination of </w:t>
      </w:r>
      <w:r w:rsidRPr="00363A08">
        <w:rPr>
          <w:rFonts w:ascii="Arial" w:eastAsia="Times New Roman" w:hAnsi="Arial" w:cs="Arial"/>
          <w:kern w:val="0"/>
          <w:sz w:val="24"/>
          <w:szCs w:val="24"/>
          <w:lang w:eastAsia="en-GB"/>
          <w14:ligatures w14:val="none"/>
        </w:rPr>
        <w:lastRenderedPageBreak/>
        <w:t>inclusivity, mitigating conflict, and it will promoting long-term stability. Japanese population is given preference in the slow decision-making approach. It will try to focus on the preservation of cultural identity. It must be considered by Rolls-Royce management (KAWAGUCHI, 2024). In the UK, companies are making decisions after in-depth evaluation. It is influenced by the availability of feasible options, which will increase the capacity for change. It must use a hybrid approach in the process of completing tasks in the firm. It mostly focuses on the long-term decision-making approach. It focuses on robust decision-making, which covers uncertainty and socio-economic changes (Stanton and Roelich, 2021).</w:t>
      </w:r>
    </w:p>
    <w:p w14:paraId="06418939" w14:textId="77777777" w:rsidR="00363A08" w:rsidRPr="00363A08" w:rsidRDefault="00363A08" w:rsidP="00363A08">
      <w:pPr>
        <w:spacing w:after="0" w:line="360" w:lineRule="auto"/>
        <w:jc w:val="both"/>
        <w:rPr>
          <w:rFonts w:ascii="Arial" w:eastAsia="Times New Roman" w:hAnsi="Arial" w:cs="Arial"/>
          <w:kern w:val="0"/>
          <w:sz w:val="24"/>
          <w:szCs w:val="24"/>
          <w:lang w:eastAsia="en-GB"/>
          <w14:ligatures w14:val="none"/>
        </w:rPr>
      </w:pPr>
      <w:r w:rsidRPr="00363A08">
        <w:rPr>
          <w:rFonts w:ascii="Arial" w:eastAsia="Times New Roman" w:hAnsi="Arial" w:cs="Arial"/>
          <w:kern w:val="0"/>
          <w:sz w:val="24"/>
          <w:szCs w:val="24"/>
          <w:lang w:eastAsia="en-GB"/>
          <w14:ligatures w14:val="none"/>
        </w:rPr>
        <w:t>In Japan, leaders of the company mostly use contextual and indirect forms of communication. These leaders consider the communication style sensitive to nuance and aligned with the tone, timing, and silence rather than explicit statements. In Japan, silence plays an important role in the communication channel, which is acknowledged with politeness and fairness in the communication approach.  For the implementation of an effective communication channel that will be used by the leaders, it is required that the participants be patient, careful in listening, and confirm the message (Global Business Culture, 2026). In the UK, leaders of management mostly use hierarchies for the communication process. It is mostly using the flat and paper work on the point of the taking the decision. It uses indirect ways of communication. Rolls-Royce should consider this point at the time of international expansion (Friisberg, 2026).</w:t>
      </w:r>
    </w:p>
    <w:p w14:paraId="1B39FFE3" w14:textId="77777777" w:rsidR="00363A08" w:rsidRPr="00363A08" w:rsidRDefault="00363A08" w:rsidP="00363A08">
      <w:pPr>
        <w:spacing w:after="0" w:line="360" w:lineRule="auto"/>
        <w:jc w:val="both"/>
        <w:rPr>
          <w:rFonts w:ascii="Arial" w:eastAsia="Times New Roman" w:hAnsi="Arial" w:cs="Arial"/>
          <w:kern w:val="0"/>
          <w:sz w:val="24"/>
          <w:szCs w:val="24"/>
          <w:lang w:eastAsia="en-GB"/>
          <w14:ligatures w14:val="none"/>
        </w:rPr>
      </w:pPr>
      <w:r w:rsidRPr="00363A08">
        <w:rPr>
          <w:rFonts w:ascii="Arial" w:eastAsia="Times New Roman" w:hAnsi="Arial" w:cs="Arial"/>
          <w:kern w:val="0"/>
          <w:sz w:val="24"/>
          <w:szCs w:val="24"/>
          <w:lang w:eastAsia="en-GB"/>
          <w14:ligatures w14:val="none"/>
        </w:rPr>
        <w:t>In 2024, it is shown that 58.1% of the employees in Japan are listening to their supervisor and completing their work according to their style. This will lead to conflict between the supervisor and employees. However, it will be solved with harmony and patience (</w:t>
      </w:r>
      <w:proofErr w:type="spellStart"/>
      <w:r w:rsidRPr="00363A08">
        <w:rPr>
          <w:rFonts w:ascii="Arial" w:eastAsia="Times New Roman" w:hAnsi="Arial" w:cs="Arial"/>
          <w:kern w:val="0"/>
          <w:sz w:val="24"/>
          <w:szCs w:val="24"/>
          <w:lang w:eastAsia="en-GB"/>
          <w14:ligatures w14:val="none"/>
        </w:rPr>
        <w:t>GaijinPot</w:t>
      </w:r>
      <w:proofErr w:type="spellEnd"/>
      <w:r w:rsidRPr="00363A08">
        <w:rPr>
          <w:rFonts w:ascii="Arial" w:eastAsia="Times New Roman" w:hAnsi="Arial" w:cs="Arial"/>
          <w:kern w:val="0"/>
          <w:sz w:val="24"/>
          <w:szCs w:val="24"/>
          <w:lang w:eastAsia="en-GB"/>
          <w14:ligatures w14:val="none"/>
        </w:rPr>
        <w:t>, 2026). In the UK, conflict between supervisors and employees will be solved with clarity and collaboration in both in-person and virtual settings (</w:t>
      </w:r>
      <w:proofErr w:type="spellStart"/>
      <w:r w:rsidRPr="00363A08">
        <w:rPr>
          <w:rFonts w:ascii="Arial" w:eastAsia="Times New Roman" w:hAnsi="Arial" w:cs="Arial"/>
          <w:kern w:val="0"/>
          <w:sz w:val="24"/>
          <w:szCs w:val="24"/>
          <w:lang w:eastAsia="en-GB"/>
          <w14:ligatures w14:val="none"/>
        </w:rPr>
        <w:t>Commisceo</w:t>
      </w:r>
      <w:proofErr w:type="spellEnd"/>
      <w:r w:rsidRPr="00363A08">
        <w:rPr>
          <w:rFonts w:ascii="Arial" w:eastAsia="Times New Roman" w:hAnsi="Arial" w:cs="Arial"/>
          <w:kern w:val="0"/>
          <w:sz w:val="24"/>
          <w:szCs w:val="24"/>
          <w:lang w:eastAsia="en-GB"/>
          <w14:ligatures w14:val="none"/>
        </w:rPr>
        <w:t xml:space="preserve"> Global, 2026).</w:t>
      </w:r>
    </w:p>
    <w:p w14:paraId="1B1A7970" w14:textId="77777777" w:rsidR="00363A08" w:rsidRPr="00363A08" w:rsidRDefault="00363A08" w:rsidP="00363A08">
      <w:pPr>
        <w:spacing w:after="0" w:line="360" w:lineRule="auto"/>
        <w:jc w:val="both"/>
        <w:rPr>
          <w:rFonts w:ascii="Arial" w:eastAsia="Times New Roman" w:hAnsi="Arial" w:cs="Arial"/>
          <w:kern w:val="0"/>
          <w:sz w:val="24"/>
          <w:szCs w:val="24"/>
          <w:lang w:eastAsia="en-GB"/>
          <w14:ligatures w14:val="none"/>
        </w:rPr>
      </w:pPr>
      <w:r w:rsidRPr="00363A08">
        <w:rPr>
          <w:rFonts w:ascii="Arial" w:eastAsia="Times New Roman" w:hAnsi="Arial" w:cs="Arial"/>
          <w:kern w:val="0"/>
          <w:sz w:val="24"/>
          <w:szCs w:val="24"/>
          <w:lang w:eastAsia="en-GB"/>
          <w14:ligatures w14:val="none"/>
        </w:rPr>
        <w:t>Meetings in Japan primarily align with the forms of the decision-making approach. It confirms the understanding of the relationship with the different team members. It must focus on formality, courtesy, and attention to the process of completing the task. It plays an important role in the exchange of information rather than transactional efficiency (Global Business Culture, 2026). In the United Kingdom, leaders hold meetings to maintain relationships without making specific decisions. It is based on conversation rituals that focus on the establishment of trust and collaboration before making important decisions (Friisberg, 2026).</w:t>
      </w:r>
    </w:p>
    <w:p w14:paraId="61B18C96" w14:textId="77777777" w:rsidR="00363A08" w:rsidRPr="00363A08" w:rsidRDefault="00363A08" w:rsidP="00363A08">
      <w:pPr>
        <w:spacing w:after="0" w:line="360" w:lineRule="auto"/>
        <w:jc w:val="both"/>
        <w:rPr>
          <w:rFonts w:ascii="Arial" w:eastAsia="Times New Roman" w:hAnsi="Arial" w:cs="Arial"/>
          <w:kern w:val="0"/>
          <w:sz w:val="24"/>
          <w:szCs w:val="24"/>
          <w:lang w:eastAsia="en-GB"/>
          <w14:ligatures w14:val="none"/>
        </w:rPr>
      </w:pPr>
      <w:r w:rsidRPr="00363A08">
        <w:rPr>
          <w:rFonts w:ascii="Arial" w:eastAsia="Times New Roman" w:hAnsi="Arial" w:cs="Arial"/>
          <w:kern w:val="0"/>
          <w:sz w:val="24"/>
          <w:szCs w:val="24"/>
          <w:lang w:eastAsia="en-GB"/>
          <w14:ligatures w14:val="none"/>
        </w:rPr>
        <w:lastRenderedPageBreak/>
        <w:t xml:space="preserve">From a perspective of recommendations, Rolls-Royce will keep constant development at the core of its car manufacturing operations while collaborating with IHI Corporation to effectively conduct its business in the country. The company will promote a culture of continuous innovation in Japan, where its workforce will be motivated to recognise and reduce waste, streamline business methods, and achieve effective productivity. This dedication of Rolls-Royce would ensure that Japanese car manufacturers remain at the forefront of technical progress, along with the maintenance of a competitive edge in the country’s car market. The company must develop goodwill for the manufacture of high-quality cars while integrating with IHI Corporation to flexibly conduct its business in Japan. Rolls-Royce must maintain the concept of the art of preparing things, which would highlight the company's precise attention to providing information regarding car manufacturing, which is incorporated in Japanese culture. Ranging from accurate engineering in automotive production to cutting-edge electronics, the company must give importance to the maintenance of quality at each stage of manufacturing. By emphasising the supply of efficient products, Rolls-Royce can be capable of acquiring the faith and loyalty of its global customers in the Japanese car manufacturing market. While collaborating with IHI Corporation, the company must emphasise the establishment of integration and partnerships with local business partners. Rolls-Royce must function collaboratively with suppliers, convey knowledge, and promote long-term relationships with them. This integrative practice would ensure the development of a strong supply chain, streamlined logistics, and adoption of effective manufacturing techniques by the company. Moreover, Rolls-Royce must try to expand its integration beyond the boundaries of the car manufacturing sector by frequently integrating with </w:t>
      </w:r>
      <w:proofErr w:type="gramStart"/>
      <w:r w:rsidRPr="00363A08">
        <w:rPr>
          <w:rFonts w:ascii="Arial" w:eastAsia="Times New Roman" w:hAnsi="Arial" w:cs="Arial"/>
          <w:kern w:val="0"/>
          <w:sz w:val="24"/>
          <w:szCs w:val="24"/>
          <w:lang w:eastAsia="en-GB"/>
          <w14:ligatures w14:val="none"/>
        </w:rPr>
        <w:t>Universities</w:t>
      </w:r>
      <w:proofErr w:type="gramEnd"/>
      <w:r w:rsidRPr="00363A08">
        <w:rPr>
          <w:rFonts w:ascii="Arial" w:eastAsia="Times New Roman" w:hAnsi="Arial" w:cs="Arial"/>
          <w:kern w:val="0"/>
          <w:sz w:val="24"/>
          <w:szCs w:val="24"/>
          <w:lang w:eastAsia="en-GB"/>
          <w14:ligatures w14:val="none"/>
        </w:rPr>
        <w:t>, research organisations, and competitors to regulate innovation and deal with general problems (</w:t>
      </w:r>
      <w:proofErr w:type="spellStart"/>
      <w:r w:rsidRPr="00363A08">
        <w:rPr>
          <w:rFonts w:ascii="Arial" w:eastAsia="Times New Roman" w:hAnsi="Arial" w:cs="Arial"/>
          <w:kern w:val="0"/>
          <w:sz w:val="24"/>
          <w:szCs w:val="24"/>
          <w:lang w:eastAsia="en-GB"/>
          <w14:ligatures w14:val="none"/>
        </w:rPr>
        <w:t>Seibushoko</w:t>
      </w:r>
      <w:proofErr w:type="spellEnd"/>
      <w:r w:rsidRPr="00363A08">
        <w:rPr>
          <w:rFonts w:ascii="Arial" w:eastAsia="Times New Roman" w:hAnsi="Arial" w:cs="Arial"/>
          <w:kern w:val="0"/>
          <w:sz w:val="24"/>
          <w:szCs w:val="24"/>
          <w:lang w:eastAsia="en-GB"/>
          <w14:ligatures w14:val="none"/>
        </w:rPr>
        <w:t xml:space="preserve">, 2023).         </w:t>
      </w:r>
    </w:p>
    <w:p w14:paraId="736B3A98" w14:textId="77777777" w:rsidR="00363A08" w:rsidRPr="00363A08" w:rsidRDefault="00363A08" w:rsidP="00363A08">
      <w:pPr>
        <w:spacing w:before="240" w:after="120" w:line="360" w:lineRule="auto"/>
        <w:jc w:val="both"/>
        <w:outlineLvl w:val="0"/>
        <w:rPr>
          <w:rFonts w:ascii="Arial" w:eastAsia="Times New Roman" w:hAnsi="Arial" w:cs="Arial"/>
          <w:b/>
          <w:bCs/>
          <w:kern w:val="36"/>
          <w:sz w:val="32"/>
          <w:szCs w:val="32"/>
          <w:lang w:eastAsia="en-GB"/>
          <w14:ligatures w14:val="none"/>
        </w:rPr>
      </w:pPr>
      <w:r w:rsidRPr="00363A08">
        <w:rPr>
          <w:rFonts w:ascii="Arial" w:eastAsia="Times New Roman" w:hAnsi="Arial" w:cs="Arial"/>
          <w:b/>
          <w:bCs/>
          <w:kern w:val="36"/>
          <w:sz w:val="32"/>
          <w:szCs w:val="32"/>
          <w:lang w:eastAsia="en-GB"/>
          <w14:ligatures w14:val="none"/>
        </w:rPr>
        <w:t>Conclusion</w:t>
      </w:r>
    </w:p>
    <w:p w14:paraId="73B3CCD5" w14:textId="77777777" w:rsidR="00363A08" w:rsidRDefault="00363A08" w:rsidP="00363A08">
      <w:pPr>
        <w:spacing w:after="0" w:line="360" w:lineRule="auto"/>
        <w:jc w:val="both"/>
        <w:rPr>
          <w:rFonts w:ascii="Arial" w:eastAsia="Times New Roman" w:hAnsi="Arial" w:cs="Arial"/>
          <w:kern w:val="0"/>
          <w:sz w:val="24"/>
          <w:szCs w:val="24"/>
          <w:lang w:eastAsia="en-GB"/>
          <w14:ligatures w14:val="none"/>
        </w:rPr>
      </w:pPr>
      <w:r w:rsidRPr="00363A08">
        <w:rPr>
          <w:rFonts w:ascii="Arial" w:eastAsia="Times New Roman" w:hAnsi="Arial" w:cs="Arial"/>
          <w:kern w:val="0"/>
          <w:sz w:val="24"/>
          <w:szCs w:val="24"/>
          <w:lang w:eastAsia="en-GB"/>
          <w14:ligatures w14:val="none"/>
        </w:rPr>
        <w:t xml:space="preserve">This section of the research focused on the UK-based automotive company Rolls-Royce and its partner company in Japan, IHI Corporation. It highlighted knowledge about the different types of theories and models that presented the changes in the communication style between the UK and Japan. It described information about Japanese culture; the communication style is described as indirect and high-context. </w:t>
      </w:r>
      <w:r w:rsidRPr="00363A08">
        <w:rPr>
          <w:rFonts w:ascii="Arial" w:eastAsia="Times New Roman" w:hAnsi="Arial" w:cs="Arial"/>
          <w:kern w:val="0"/>
          <w:sz w:val="24"/>
          <w:szCs w:val="24"/>
          <w:lang w:eastAsia="en-GB"/>
          <w14:ligatures w14:val="none"/>
        </w:rPr>
        <w:lastRenderedPageBreak/>
        <w:t>It often relies on implicit cues, body language, and focuses on gestures, tone, and eye contact. It was shown that the British population has a preference for politeness and is shaped by explicit wording in the process of communication process.</w:t>
      </w:r>
    </w:p>
    <w:p w14:paraId="02C77350" w14:textId="77777777" w:rsidR="006500AD" w:rsidRDefault="006500AD" w:rsidP="00363A08">
      <w:pPr>
        <w:spacing w:after="0" w:line="360" w:lineRule="auto"/>
        <w:jc w:val="both"/>
        <w:rPr>
          <w:rFonts w:ascii="Arial" w:eastAsia="Times New Roman" w:hAnsi="Arial" w:cs="Arial"/>
          <w:kern w:val="0"/>
          <w:sz w:val="24"/>
          <w:szCs w:val="24"/>
          <w:lang w:eastAsia="en-GB"/>
          <w14:ligatures w14:val="none"/>
        </w:rPr>
      </w:pPr>
    </w:p>
    <w:p w14:paraId="598D014D" w14:textId="77777777" w:rsidR="006500AD" w:rsidRDefault="006500AD" w:rsidP="00363A08">
      <w:pPr>
        <w:spacing w:after="0" w:line="360" w:lineRule="auto"/>
        <w:jc w:val="both"/>
        <w:rPr>
          <w:rFonts w:ascii="Arial" w:eastAsia="Times New Roman" w:hAnsi="Arial" w:cs="Arial"/>
          <w:kern w:val="0"/>
          <w:sz w:val="24"/>
          <w:szCs w:val="24"/>
          <w:lang w:eastAsia="en-GB"/>
          <w14:ligatures w14:val="none"/>
        </w:rPr>
      </w:pPr>
    </w:p>
    <w:p w14:paraId="3B467090" w14:textId="77777777" w:rsidR="006500AD" w:rsidRDefault="006500AD" w:rsidP="00363A08">
      <w:pPr>
        <w:spacing w:after="0" w:line="360" w:lineRule="auto"/>
        <w:jc w:val="both"/>
        <w:rPr>
          <w:rFonts w:ascii="Arial" w:eastAsia="Times New Roman" w:hAnsi="Arial" w:cs="Arial"/>
          <w:kern w:val="0"/>
          <w:sz w:val="24"/>
          <w:szCs w:val="24"/>
          <w:lang w:eastAsia="en-GB"/>
          <w14:ligatures w14:val="none"/>
        </w:rPr>
      </w:pPr>
    </w:p>
    <w:p w14:paraId="2ACD3389" w14:textId="77777777" w:rsidR="006500AD" w:rsidRDefault="006500AD" w:rsidP="00363A08">
      <w:pPr>
        <w:spacing w:after="0" w:line="360" w:lineRule="auto"/>
        <w:jc w:val="both"/>
        <w:rPr>
          <w:rFonts w:ascii="Arial" w:eastAsia="Times New Roman" w:hAnsi="Arial" w:cs="Arial"/>
          <w:kern w:val="0"/>
          <w:sz w:val="24"/>
          <w:szCs w:val="24"/>
          <w:lang w:eastAsia="en-GB"/>
          <w14:ligatures w14:val="none"/>
        </w:rPr>
      </w:pPr>
    </w:p>
    <w:p w14:paraId="0F57D267" w14:textId="77777777" w:rsidR="006500AD" w:rsidRDefault="006500AD" w:rsidP="00363A08">
      <w:pPr>
        <w:spacing w:after="0" w:line="360" w:lineRule="auto"/>
        <w:jc w:val="both"/>
        <w:rPr>
          <w:rFonts w:ascii="Arial" w:eastAsia="Times New Roman" w:hAnsi="Arial" w:cs="Arial"/>
          <w:kern w:val="0"/>
          <w:sz w:val="24"/>
          <w:szCs w:val="24"/>
          <w:lang w:eastAsia="en-GB"/>
          <w14:ligatures w14:val="none"/>
        </w:rPr>
      </w:pPr>
    </w:p>
    <w:p w14:paraId="314360EF" w14:textId="77777777" w:rsidR="006500AD" w:rsidRDefault="006500AD" w:rsidP="00363A08">
      <w:pPr>
        <w:spacing w:after="0" w:line="360" w:lineRule="auto"/>
        <w:jc w:val="both"/>
        <w:rPr>
          <w:rFonts w:ascii="Arial" w:eastAsia="Times New Roman" w:hAnsi="Arial" w:cs="Arial"/>
          <w:kern w:val="0"/>
          <w:sz w:val="24"/>
          <w:szCs w:val="24"/>
          <w:lang w:eastAsia="en-GB"/>
          <w14:ligatures w14:val="none"/>
        </w:rPr>
      </w:pPr>
    </w:p>
    <w:p w14:paraId="3F2740D4" w14:textId="77777777" w:rsidR="006500AD" w:rsidRDefault="006500AD" w:rsidP="00363A08">
      <w:pPr>
        <w:spacing w:after="0" w:line="360" w:lineRule="auto"/>
        <w:jc w:val="both"/>
        <w:rPr>
          <w:rFonts w:ascii="Arial" w:eastAsia="Times New Roman" w:hAnsi="Arial" w:cs="Arial"/>
          <w:kern w:val="0"/>
          <w:sz w:val="24"/>
          <w:szCs w:val="24"/>
          <w:lang w:eastAsia="en-GB"/>
          <w14:ligatures w14:val="none"/>
        </w:rPr>
      </w:pPr>
    </w:p>
    <w:p w14:paraId="6A7DCDF8" w14:textId="77777777" w:rsidR="006500AD" w:rsidRDefault="006500AD" w:rsidP="00363A08">
      <w:pPr>
        <w:spacing w:after="0" w:line="360" w:lineRule="auto"/>
        <w:jc w:val="both"/>
        <w:rPr>
          <w:rFonts w:ascii="Arial" w:eastAsia="Times New Roman" w:hAnsi="Arial" w:cs="Arial"/>
          <w:kern w:val="0"/>
          <w:sz w:val="24"/>
          <w:szCs w:val="24"/>
          <w:lang w:eastAsia="en-GB"/>
          <w14:ligatures w14:val="none"/>
        </w:rPr>
      </w:pPr>
    </w:p>
    <w:p w14:paraId="5A0941B1" w14:textId="77777777" w:rsidR="006500AD" w:rsidRDefault="006500AD" w:rsidP="00363A08">
      <w:pPr>
        <w:spacing w:after="0" w:line="360" w:lineRule="auto"/>
        <w:jc w:val="both"/>
        <w:rPr>
          <w:rFonts w:ascii="Arial" w:eastAsia="Times New Roman" w:hAnsi="Arial" w:cs="Arial"/>
          <w:kern w:val="0"/>
          <w:sz w:val="24"/>
          <w:szCs w:val="24"/>
          <w:lang w:eastAsia="en-GB"/>
          <w14:ligatures w14:val="none"/>
        </w:rPr>
      </w:pPr>
    </w:p>
    <w:p w14:paraId="57EC4836" w14:textId="77777777" w:rsidR="006500AD" w:rsidRDefault="006500AD" w:rsidP="00363A08">
      <w:pPr>
        <w:spacing w:after="0" w:line="360" w:lineRule="auto"/>
        <w:jc w:val="both"/>
        <w:rPr>
          <w:rFonts w:ascii="Arial" w:eastAsia="Times New Roman" w:hAnsi="Arial" w:cs="Arial"/>
          <w:kern w:val="0"/>
          <w:sz w:val="24"/>
          <w:szCs w:val="24"/>
          <w:lang w:eastAsia="en-GB"/>
          <w14:ligatures w14:val="none"/>
        </w:rPr>
      </w:pPr>
    </w:p>
    <w:p w14:paraId="41B05235" w14:textId="77777777" w:rsidR="006500AD" w:rsidRDefault="006500AD" w:rsidP="00363A08">
      <w:pPr>
        <w:spacing w:after="0" w:line="360" w:lineRule="auto"/>
        <w:jc w:val="both"/>
        <w:rPr>
          <w:rFonts w:ascii="Arial" w:eastAsia="Times New Roman" w:hAnsi="Arial" w:cs="Arial"/>
          <w:kern w:val="0"/>
          <w:sz w:val="24"/>
          <w:szCs w:val="24"/>
          <w:lang w:eastAsia="en-GB"/>
          <w14:ligatures w14:val="none"/>
        </w:rPr>
      </w:pPr>
    </w:p>
    <w:p w14:paraId="754D504D" w14:textId="77777777" w:rsidR="006500AD" w:rsidRDefault="006500AD" w:rsidP="00363A08">
      <w:pPr>
        <w:spacing w:after="0" w:line="360" w:lineRule="auto"/>
        <w:jc w:val="both"/>
        <w:rPr>
          <w:rFonts w:ascii="Arial" w:eastAsia="Times New Roman" w:hAnsi="Arial" w:cs="Arial"/>
          <w:kern w:val="0"/>
          <w:sz w:val="24"/>
          <w:szCs w:val="24"/>
          <w:lang w:eastAsia="en-GB"/>
          <w14:ligatures w14:val="none"/>
        </w:rPr>
      </w:pPr>
    </w:p>
    <w:p w14:paraId="75A4FD70" w14:textId="77777777" w:rsidR="006500AD" w:rsidRDefault="006500AD" w:rsidP="00363A08">
      <w:pPr>
        <w:spacing w:after="0" w:line="360" w:lineRule="auto"/>
        <w:jc w:val="both"/>
        <w:rPr>
          <w:rFonts w:ascii="Arial" w:eastAsia="Times New Roman" w:hAnsi="Arial" w:cs="Arial"/>
          <w:kern w:val="0"/>
          <w:sz w:val="24"/>
          <w:szCs w:val="24"/>
          <w:lang w:eastAsia="en-GB"/>
          <w14:ligatures w14:val="none"/>
        </w:rPr>
      </w:pPr>
    </w:p>
    <w:p w14:paraId="4D0217D2" w14:textId="77777777" w:rsidR="006500AD" w:rsidRDefault="006500AD" w:rsidP="00363A08">
      <w:pPr>
        <w:spacing w:after="0" w:line="360" w:lineRule="auto"/>
        <w:jc w:val="both"/>
        <w:rPr>
          <w:rFonts w:ascii="Arial" w:eastAsia="Times New Roman" w:hAnsi="Arial" w:cs="Arial"/>
          <w:kern w:val="0"/>
          <w:sz w:val="24"/>
          <w:szCs w:val="24"/>
          <w:lang w:eastAsia="en-GB"/>
          <w14:ligatures w14:val="none"/>
        </w:rPr>
      </w:pPr>
    </w:p>
    <w:p w14:paraId="373ED073" w14:textId="77777777" w:rsidR="006500AD" w:rsidRDefault="006500AD" w:rsidP="00363A08">
      <w:pPr>
        <w:spacing w:after="0" w:line="360" w:lineRule="auto"/>
        <w:jc w:val="both"/>
        <w:rPr>
          <w:rFonts w:ascii="Arial" w:eastAsia="Times New Roman" w:hAnsi="Arial" w:cs="Arial"/>
          <w:kern w:val="0"/>
          <w:sz w:val="24"/>
          <w:szCs w:val="24"/>
          <w:lang w:eastAsia="en-GB"/>
          <w14:ligatures w14:val="none"/>
        </w:rPr>
      </w:pPr>
    </w:p>
    <w:p w14:paraId="58C17638" w14:textId="77777777" w:rsidR="006500AD" w:rsidRDefault="006500AD" w:rsidP="00363A08">
      <w:pPr>
        <w:spacing w:after="0" w:line="360" w:lineRule="auto"/>
        <w:jc w:val="both"/>
        <w:rPr>
          <w:rFonts w:ascii="Arial" w:eastAsia="Times New Roman" w:hAnsi="Arial" w:cs="Arial"/>
          <w:kern w:val="0"/>
          <w:sz w:val="24"/>
          <w:szCs w:val="24"/>
          <w:lang w:eastAsia="en-GB"/>
          <w14:ligatures w14:val="none"/>
        </w:rPr>
      </w:pPr>
    </w:p>
    <w:p w14:paraId="2AEB5BBE" w14:textId="77777777" w:rsidR="006500AD" w:rsidRDefault="006500AD" w:rsidP="00363A08">
      <w:pPr>
        <w:spacing w:after="0" w:line="360" w:lineRule="auto"/>
        <w:jc w:val="both"/>
        <w:rPr>
          <w:rFonts w:ascii="Arial" w:eastAsia="Times New Roman" w:hAnsi="Arial" w:cs="Arial"/>
          <w:kern w:val="0"/>
          <w:sz w:val="24"/>
          <w:szCs w:val="24"/>
          <w:lang w:eastAsia="en-GB"/>
          <w14:ligatures w14:val="none"/>
        </w:rPr>
      </w:pPr>
    </w:p>
    <w:p w14:paraId="73118714" w14:textId="77777777" w:rsidR="006500AD" w:rsidRDefault="006500AD" w:rsidP="00363A08">
      <w:pPr>
        <w:spacing w:after="0" w:line="360" w:lineRule="auto"/>
        <w:jc w:val="both"/>
        <w:rPr>
          <w:rFonts w:ascii="Arial" w:eastAsia="Times New Roman" w:hAnsi="Arial" w:cs="Arial"/>
          <w:kern w:val="0"/>
          <w:sz w:val="24"/>
          <w:szCs w:val="24"/>
          <w:lang w:eastAsia="en-GB"/>
          <w14:ligatures w14:val="none"/>
        </w:rPr>
      </w:pPr>
    </w:p>
    <w:p w14:paraId="506A8408" w14:textId="77777777" w:rsidR="006500AD" w:rsidRDefault="006500AD" w:rsidP="00363A08">
      <w:pPr>
        <w:spacing w:after="0" w:line="360" w:lineRule="auto"/>
        <w:jc w:val="both"/>
        <w:rPr>
          <w:rFonts w:ascii="Arial" w:eastAsia="Times New Roman" w:hAnsi="Arial" w:cs="Arial"/>
          <w:kern w:val="0"/>
          <w:sz w:val="24"/>
          <w:szCs w:val="24"/>
          <w:lang w:eastAsia="en-GB"/>
          <w14:ligatures w14:val="none"/>
        </w:rPr>
      </w:pPr>
    </w:p>
    <w:p w14:paraId="4A2F9065" w14:textId="77777777" w:rsidR="006500AD" w:rsidRDefault="006500AD" w:rsidP="00363A08">
      <w:pPr>
        <w:spacing w:after="0" w:line="360" w:lineRule="auto"/>
        <w:jc w:val="both"/>
        <w:rPr>
          <w:rFonts w:ascii="Arial" w:eastAsia="Times New Roman" w:hAnsi="Arial" w:cs="Arial"/>
          <w:kern w:val="0"/>
          <w:sz w:val="24"/>
          <w:szCs w:val="24"/>
          <w:lang w:eastAsia="en-GB"/>
          <w14:ligatures w14:val="none"/>
        </w:rPr>
      </w:pPr>
    </w:p>
    <w:p w14:paraId="68E5C8DE" w14:textId="77777777" w:rsidR="006500AD" w:rsidRDefault="006500AD" w:rsidP="00363A08">
      <w:pPr>
        <w:spacing w:after="0" w:line="360" w:lineRule="auto"/>
        <w:jc w:val="both"/>
        <w:rPr>
          <w:rFonts w:ascii="Arial" w:eastAsia="Times New Roman" w:hAnsi="Arial" w:cs="Arial"/>
          <w:kern w:val="0"/>
          <w:sz w:val="24"/>
          <w:szCs w:val="24"/>
          <w:lang w:eastAsia="en-GB"/>
          <w14:ligatures w14:val="none"/>
        </w:rPr>
      </w:pPr>
    </w:p>
    <w:p w14:paraId="112F03FE" w14:textId="77777777" w:rsidR="006500AD" w:rsidRDefault="006500AD" w:rsidP="00363A08">
      <w:pPr>
        <w:spacing w:after="0" w:line="360" w:lineRule="auto"/>
        <w:jc w:val="both"/>
        <w:rPr>
          <w:rFonts w:ascii="Arial" w:eastAsia="Times New Roman" w:hAnsi="Arial" w:cs="Arial"/>
          <w:kern w:val="0"/>
          <w:sz w:val="24"/>
          <w:szCs w:val="24"/>
          <w:lang w:eastAsia="en-GB"/>
          <w14:ligatures w14:val="none"/>
        </w:rPr>
      </w:pPr>
    </w:p>
    <w:p w14:paraId="76FA3A6B" w14:textId="77777777" w:rsidR="006500AD" w:rsidRDefault="006500AD" w:rsidP="00363A08">
      <w:pPr>
        <w:spacing w:after="0" w:line="360" w:lineRule="auto"/>
        <w:jc w:val="both"/>
        <w:rPr>
          <w:rFonts w:ascii="Arial" w:eastAsia="Times New Roman" w:hAnsi="Arial" w:cs="Arial"/>
          <w:kern w:val="0"/>
          <w:sz w:val="24"/>
          <w:szCs w:val="24"/>
          <w:lang w:eastAsia="en-GB"/>
          <w14:ligatures w14:val="none"/>
        </w:rPr>
      </w:pPr>
    </w:p>
    <w:p w14:paraId="2E83D8F3" w14:textId="77777777" w:rsidR="006500AD" w:rsidRDefault="006500AD" w:rsidP="00363A08">
      <w:pPr>
        <w:spacing w:after="0" w:line="360" w:lineRule="auto"/>
        <w:jc w:val="both"/>
        <w:rPr>
          <w:rFonts w:ascii="Arial" w:eastAsia="Times New Roman" w:hAnsi="Arial" w:cs="Arial"/>
          <w:kern w:val="0"/>
          <w:sz w:val="24"/>
          <w:szCs w:val="24"/>
          <w:lang w:eastAsia="en-GB"/>
          <w14:ligatures w14:val="none"/>
        </w:rPr>
      </w:pPr>
    </w:p>
    <w:p w14:paraId="4B4313AA" w14:textId="77777777" w:rsidR="006500AD" w:rsidRDefault="006500AD" w:rsidP="00363A08">
      <w:pPr>
        <w:spacing w:after="0" w:line="360" w:lineRule="auto"/>
        <w:jc w:val="both"/>
        <w:rPr>
          <w:rFonts w:ascii="Arial" w:eastAsia="Times New Roman" w:hAnsi="Arial" w:cs="Arial"/>
          <w:kern w:val="0"/>
          <w:sz w:val="24"/>
          <w:szCs w:val="24"/>
          <w:lang w:eastAsia="en-GB"/>
          <w14:ligatures w14:val="none"/>
        </w:rPr>
      </w:pPr>
    </w:p>
    <w:p w14:paraId="70A2E1CE" w14:textId="77777777" w:rsidR="006500AD" w:rsidRDefault="006500AD" w:rsidP="00363A08">
      <w:pPr>
        <w:spacing w:after="0" w:line="360" w:lineRule="auto"/>
        <w:jc w:val="both"/>
        <w:rPr>
          <w:rFonts w:ascii="Arial" w:eastAsia="Times New Roman" w:hAnsi="Arial" w:cs="Arial"/>
          <w:kern w:val="0"/>
          <w:sz w:val="24"/>
          <w:szCs w:val="24"/>
          <w:lang w:eastAsia="en-GB"/>
          <w14:ligatures w14:val="none"/>
        </w:rPr>
      </w:pPr>
    </w:p>
    <w:p w14:paraId="0A96CEB6" w14:textId="77777777" w:rsidR="006500AD" w:rsidRDefault="006500AD" w:rsidP="00363A08">
      <w:pPr>
        <w:spacing w:after="0" w:line="360" w:lineRule="auto"/>
        <w:jc w:val="both"/>
        <w:rPr>
          <w:rFonts w:ascii="Arial" w:eastAsia="Times New Roman" w:hAnsi="Arial" w:cs="Arial"/>
          <w:kern w:val="0"/>
          <w:sz w:val="24"/>
          <w:szCs w:val="24"/>
          <w:lang w:eastAsia="en-GB"/>
          <w14:ligatures w14:val="none"/>
        </w:rPr>
      </w:pPr>
    </w:p>
    <w:p w14:paraId="435B8684" w14:textId="77777777" w:rsidR="006500AD" w:rsidRDefault="006500AD" w:rsidP="00363A08">
      <w:pPr>
        <w:spacing w:after="0" w:line="360" w:lineRule="auto"/>
        <w:jc w:val="both"/>
        <w:rPr>
          <w:rFonts w:ascii="Arial" w:eastAsia="Times New Roman" w:hAnsi="Arial" w:cs="Arial"/>
          <w:kern w:val="0"/>
          <w:sz w:val="24"/>
          <w:szCs w:val="24"/>
          <w:lang w:eastAsia="en-GB"/>
          <w14:ligatures w14:val="none"/>
        </w:rPr>
      </w:pPr>
    </w:p>
    <w:p w14:paraId="3C62942B" w14:textId="77777777" w:rsidR="006500AD" w:rsidRDefault="006500AD" w:rsidP="00363A08">
      <w:pPr>
        <w:spacing w:after="0" w:line="360" w:lineRule="auto"/>
        <w:jc w:val="both"/>
        <w:rPr>
          <w:rFonts w:ascii="Arial" w:eastAsia="Times New Roman" w:hAnsi="Arial" w:cs="Arial"/>
          <w:kern w:val="0"/>
          <w:sz w:val="24"/>
          <w:szCs w:val="24"/>
          <w:lang w:eastAsia="en-GB"/>
          <w14:ligatures w14:val="none"/>
        </w:rPr>
      </w:pPr>
    </w:p>
    <w:p w14:paraId="6B854CAF" w14:textId="77777777" w:rsidR="006500AD" w:rsidRDefault="006500AD" w:rsidP="00363A08">
      <w:pPr>
        <w:spacing w:after="0" w:line="360" w:lineRule="auto"/>
        <w:jc w:val="both"/>
        <w:rPr>
          <w:rFonts w:ascii="Arial" w:eastAsia="Times New Roman" w:hAnsi="Arial" w:cs="Arial"/>
          <w:kern w:val="0"/>
          <w:sz w:val="24"/>
          <w:szCs w:val="24"/>
          <w:lang w:eastAsia="en-GB"/>
          <w14:ligatures w14:val="none"/>
        </w:rPr>
      </w:pPr>
    </w:p>
    <w:p w14:paraId="4F9753CD" w14:textId="77777777" w:rsidR="006500AD" w:rsidRDefault="006500AD" w:rsidP="00363A08">
      <w:pPr>
        <w:spacing w:after="0" w:line="360" w:lineRule="auto"/>
        <w:jc w:val="both"/>
        <w:rPr>
          <w:rFonts w:ascii="Arial" w:eastAsia="Times New Roman" w:hAnsi="Arial" w:cs="Arial"/>
          <w:kern w:val="0"/>
          <w:sz w:val="24"/>
          <w:szCs w:val="24"/>
          <w:lang w:eastAsia="en-GB"/>
          <w14:ligatures w14:val="none"/>
        </w:rPr>
      </w:pPr>
    </w:p>
    <w:p w14:paraId="206843A4" w14:textId="77777777" w:rsidR="00EC2F18" w:rsidRDefault="00EC2F18" w:rsidP="00EC2F18">
      <w:pPr>
        <w:rPr>
          <w:rFonts w:ascii="Arial" w:hAnsi="Arial" w:cs="Arial"/>
          <w:b/>
          <w:bCs/>
          <w:sz w:val="32"/>
          <w:szCs w:val="32"/>
        </w:rPr>
      </w:pPr>
      <w:r w:rsidRPr="00EC2F18">
        <w:rPr>
          <w:rFonts w:ascii="Arial" w:hAnsi="Arial" w:cs="Arial"/>
          <w:b/>
          <w:bCs/>
          <w:sz w:val="32"/>
          <w:szCs w:val="32"/>
        </w:rPr>
        <w:lastRenderedPageBreak/>
        <w:t>References</w:t>
      </w:r>
    </w:p>
    <w:p w14:paraId="38888FE0" w14:textId="77777777" w:rsidR="00EC2F18" w:rsidRPr="00EC2F18" w:rsidRDefault="00EC2F18" w:rsidP="00EC2F18">
      <w:pPr>
        <w:rPr>
          <w:rFonts w:ascii="Arial" w:hAnsi="Arial" w:cs="Arial"/>
          <w:b/>
          <w:bCs/>
          <w:sz w:val="32"/>
          <w:szCs w:val="32"/>
        </w:rPr>
      </w:pPr>
    </w:p>
    <w:p w14:paraId="5AF79B5B" w14:textId="77777777" w:rsidR="00EC2F18" w:rsidRPr="00EC2F18" w:rsidRDefault="00EC2F18" w:rsidP="00EC2F18">
      <w:pPr>
        <w:spacing w:line="360" w:lineRule="auto"/>
        <w:jc w:val="both"/>
        <w:rPr>
          <w:rFonts w:ascii="Arial" w:hAnsi="Arial" w:cs="Arial"/>
          <w:color w:val="0D0D0D" w:themeColor="text1" w:themeTint="F2"/>
          <w:sz w:val="24"/>
          <w:szCs w:val="24"/>
        </w:rPr>
      </w:pPr>
      <w:r w:rsidRPr="00EC2F18">
        <w:rPr>
          <w:rFonts w:ascii="Arial" w:hAnsi="Arial" w:cs="Arial"/>
          <w:color w:val="0D0D0D" w:themeColor="text1" w:themeTint="F2"/>
          <w:sz w:val="24"/>
          <w:szCs w:val="24"/>
        </w:rPr>
        <w:t xml:space="preserve">Cadahing, B. (2026). </w:t>
      </w:r>
      <w:r w:rsidRPr="00EC2F18">
        <w:rPr>
          <w:rFonts w:ascii="Arial" w:hAnsi="Arial" w:cs="Arial"/>
          <w:i/>
          <w:iCs/>
          <w:color w:val="0D0D0D" w:themeColor="text1" w:themeTint="F2"/>
          <w:sz w:val="24"/>
          <w:szCs w:val="24"/>
        </w:rPr>
        <w:t>The importance of cultural integration in building successful teams</w:t>
      </w:r>
      <w:r w:rsidRPr="00EC2F18">
        <w:rPr>
          <w:rFonts w:ascii="Arial" w:hAnsi="Arial" w:cs="Arial"/>
          <w:color w:val="0D0D0D" w:themeColor="text1" w:themeTint="F2"/>
          <w:sz w:val="24"/>
          <w:szCs w:val="24"/>
        </w:rPr>
        <w:t>. [online] Equitytrackph.com. Available at: https://equitytrackph.com/blog/the-importance-of-cultural-integration-in-building-successful-teams (Accessed: 29 July 2026).</w:t>
      </w:r>
    </w:p>
    <w:p w14:paraId="680FD569" w14:textId="77777777" w:rsidR="00EC2F18" w:rsidRPr="00EC2F18" w:rsidRDefault="00EC2F18" w:rsidP="00EC2F18">
      <w:pPr>
        <w:spacing w:line="360" w:lineRule="auto"/>
        <w:jc w:val="both"/>
        <w:rPr>
          <w:rFonts w:ascii="Arial" w:hAnsi="Arial" w:cs="Arial"/>
          <w:color w:val="0D0D0D" w:themeColor="text1" w:themeTint="F2"/>
          <w:sz w:val="24"/>
          <w:szCs w:val="24"/>
        </w:rPr>
      </w:pPr>
      <w:proofErr w:type="spellStart"/>
      <w:r w:rsidRPr="00EC2F18">
        <w:rPr>
          <w:rFonts w:ascii="Arial" w:hAnsi="Arial" w:cs="Arial"/>
          <w:color w:val="0D0D0D" w:themeColor="text1" w:themeTint="F2"/>
          <w:sz w:val="24"/>
          <w:szCs w:val="24"/>
        </w:rPr>
        <w:t>Commisceo</w:t>
      </w:r>
      <w:proofErr w:type="spellEnd"/>
      <w:r w:rsidRPr="00EC2F18">
        <w:rPr>
          <w:rFonts w:ascii="Arial" w:hAnsi="Arial" w:cs="Arial"/>
          <w:color w:val="0D0D0D" w:themeColor="text1" w:themeTint="F2"/>
          <w:sz w:val="24"/>
          <w:szCs w:val="24"/>
        </w:rPr>
        <w:t xml:space="preserve"> Global (2026) </w:t>
      </w:r>
      <w:r w:rsidRPr="00EC2F18">
        <w:rPr>
          <w:rFonts w:ascii="Arial" w:hAnsi="Arial" w:cs="Arial"/>
          <w:i/>
          <w:iCs/>
          <w:color w:val="0D0D0D" w:themeColor="text1" w:themeTint="F2"/>
          <w:sz w:val="24"/>
          <w:szCs w:val="24"/>
        </w:rPr>
        <w:t xml:space="preserve">What’s the British communication </w:t>
      </w:r>
      <w:proofErr w:type="gramStart"/>
      <w:r w:rsidRPr="00EC2F18">
        <w:rPr>
          <w:rFonts w:ascii="Arial" w:hAnsi="Arial" w:cs="Arial"/>
          <w:i/>
          <w:iCs/>
          <w:color w:val="0D0D0D" w:themeColor="text1" w:themeTint="F2"/>
          <w:sz w:val="24"/>
          <w:szCs w:val="24"/>
        </w:rPr>
        <w:t>style?</w:t>
      </w:r>
      <w:r w:rsidRPr="00EC2F18">
        <w:rPr>
          <w:rFonts w:ascii="Arial" w:hAnsi="Arial" w:cs="Arial"/>
          <w:color w:val="0D0D0D" w:themeColor="text1" w:themeTint="F2"/>
          <w:sz w:val="24"/>
          <w:szCs w:val="24"/>
        </w:rPr>
        <w:t>,</w:t>
      </w:r>
      <w:proofErr w:type="gramEnd"/>
      <w:r w:rsidRPr="00EC2F18">
        <w:rPr>
          <w:rFonts w:ascii="Arial" w:hAnsi="Arial" w:cs="Arial"/>
          <w:color w:val="0D0D0D" w:themeColor="text1" w:themeTint="F2"/>
          <w:sz w:val="24"/>
          <w:szCs w:val="24"/>
        </w:rPr>
        <w:t xml:space="preserve"> </w:t>
      </w:r>
      <w:proofErr w:type="spellStart"/>
      <w:r w:rsidRPr="00EC2F18">
        <w:rPr>
          <w:rFonts w:ascii="Arial" w:hAnsi="Arial" w:cs="Arial"/>
          <w:i/>
          <w:iCs/>
          <w:color w:val="0D0D0D" w:themeColor="text1" w:themeTint="F2"/>
          <w:sz w:val="24"/>
          <w:szCs w:val="24"/>
        </w:rPr>
        <w:t>Commisceo</w:t>
      </w:r>
      <w:proofErr w:type="spellEnd"/>
      <w:r w:rsidRPr="00EC2F18">
        <w:rPr>
          <w:rFonts w:ascii="Arial" w:hAnsi="Arial" w:cs="Arial"/>
          <w:i/>
          <w:iCs/>
          <w:color w:val="0D0D0D" w:themeColor="text1" w:themeTint="F2"/>
          <w:sz w:val="24"/>
          <w:szCs w:val="24"/>
        </w:rPr>
        <w:t xml:space="preserve"> Global</w:t>
      </w:r>
      <w:r w:rsidRPr="00EC2F18">
        <w:rPr>
          <w:rFonts w:ascii="Arial" w:hAnsi="Arial" w:cs="Arial"/>
          <w:color w:val="0D0D0D" w:themeColor="text1" w:themeTint="F2"/>
          <w:sz w:val="24"/>
          <w:szCs w:val="24"/>
        </w:rPr>
        <w:t>. Available at: https://commisceo-global.com/articles/what-is-the-british-communication-style/ (Accessed: 29 July 2026).</w:t>
      </w:r>
    </w:p>
    <w:p w14:paraId="427B17CD" w14:textId="77777777" w:rsidR="00EC2F18" w:rsidRPr="00EC2F18" w:rsidRDefault="00EC2F18" w:rsidP="00EC2F18">
      <w:pPr>
        <w:spacing w:line="360" w:lineRule="auto"/>
        <w:jc w:val="both"/>
        <w:rPr>
          <w:rFonts w:ascii="Arial" w:hAnsi="Arial" w:cs="Arial"/>
          <w:color w:val="0D0D0D" w:themeColor="text1" w:themeTint="F2"/>
          <w:sz w:val="24"/>
          <w:szCs w:val="24"/>
        </w:rPr>
      </w:pPr>
      <w:proofErr w:type="spellStart"/>
      <w:r w:rsidRPr="00EC2F18">
        <w:rPr>
          <w:rFonts w:ascii="Arial" w:hAnsi="Arial" w:cs="Arial"/>
          <w:color w:val="0D0D0D" w:themeColor="text1" w:themeTint="F2"/>
          <w:sz w:val="24"/>
          <w:szCs w:val="24"/>
        </w:rPr>
        <w:t>Daijob</w:t>
      </w:r>
      <w:proofErr w:type="spellEnd"/>
      <w:r w:rsidRPr="00EC2F18">
        <w:rPr>
          <w:rFonts w:ascii="Arial" w:hAnsi="Arial" w:cs="Arial"/>
          <w:color w:val="0D0D0D" w:themeColor="text1" w:themeTint="F2"/>
          <w:sz w:val="24"/>
          <w:szCs w:val="24"/>
        </w:rPr>
        <w:t xml:space="preserve"> (2025) </w:t>
      </w:r>
      <w:r w:rsidRPr="00EC2F18">
        <w:rPr>
          <w:rFonts w:ascii="Arial" w:hAnsi="Arial" w:cs="Arial"/>
          <w:i/>
          <w:iCs/>
          <w:color w:val="0D0D0D" w:themeColor="text1" w:themeTint="F2"/>
          <w:sz w:val="24"/>
          <w:szCs w:val="24"/>
        </w:rPr>
        <w:t>Expat career guide</w:t>
      </w:r>
      <w:r w:rsidRPr="00EC2F18">
        <w:rPr>
          <w:rFonts w:ascii="Arial" w:hAnsi="Arial" w:cs="Arial"/>
          <w:color w:val="0D0D0D" w:themeColor="text1" w:themeTint="F2"/>
          <w:sz w:val="24"/>
          <w:szCs w:val="24"/>
        </w:rPr>
        <w:t xml:space="preserve">, </w:t>
      </w:r>
      <w:r w:rsidRPr="00EC2F18">
        <w:rPr>
          <w:rFonts w:ascii="Arial" w:hAnsi="Arial" w:cs="Arial"/>
          <w:i/>
          <w:iCs/>
          <w:color w:val="0D0D0D" w:themeColor="text1" w:themeTint="F2"/>
          <w:sz w:val="24"/>
          <w:szCs w:val="24"/>
        </w:rPr>
        <w:t>Advice and Guidance for Working in Japan and how to get a job in Japan - Expat Career Guide</w:t>
      </w:r>
      <w:r w:rsidRPr="00EC2F18">
        <w:rPr>
          <w:rFonts w:ascii="Arial" w:hAnsi="Arial" w:cs="Arial"/>
          <w:color w:val="0D0D0D" w:themeColor="text1" w:themeTint="F2"/>
          <w:sz w:val="24"/>
          <w:szCs w:val="24"/>
        </w:rPr>
        <w:t>. Available at: https://www.daijob.com/en/guide/skill-up/effective-communication-in-japan/ (Accessed: 29 July 2026).</w:t>
      </w:r>
    </w:p>
    <w:p w14:paraId="074CFA94" w14:textId="77777777" w:rsidR="00EC2F18" w:rsidRPr="00EC2F18" w:rsidRDefault="00EC2F18" w:rsidP="00EC2F18">
      <w:pPr>
        <w:pStyle w:val="Heading1"/>
        <w:keepNext w:val="0"/>
        <w:keepLines w:val="0"/>
        <w:spacing w:before="0" w:after="0" w:line="360" w:lineRule="auto"/>
        <w:jc w:val="both"/>
        <w:rPr>
          <w:rFonts w:ascii="Arial" w:hAnsi="Arial" w:cs="Arial"/>
          <w:color w:val="0D0D0D" w:themeColor="text1" w:themeTint="F2"/>
          <w:sz w:val="24"/>
          <w:szCs w:val="24"/>
        </w:rPr>
      </w:pPr>
      <w:bookmarkStart w:id="0" w:name="_3666s6bt9be8" w:colFirst="0" w:colLast="0"/>
      <w:bookmarkEnd w:id="0"/>
      <w:r w:rsidRPr="00EC2F18">
        <w:rPr>
          <w:rFonts w:ascii="Arial" w:hAnsi="Arial" w:cs="Arial"/>
          <w:color w:val="0D0D0D" w:themeColor="text1" w:themeTint="F2"/>
          <w:sz w:val="24"/>
          <w:szCs w:val="24"/>
        </w:rPr>
        <w:t xml:space="preserve">Forbes (2026), </w:t>
      </w:r>
      <w:r w:rsidRPr="00EC2F18">
        <w:rPr>
          <w:rFonts w:ascii="Arial" w:hAnsi="Arial" w:cs="Arial"/>
          <w:i/>
          <w:iCs/>
          <w:color w:val="0D0D0D" w:themeColor="text1" w:themeTint="F2"/>
          <w:sz w:val="24"/>
          <w:szCs w:val="24"/>
        </w:rPr>
        <w:t>Rolls-Royce Holdings</w:t>
      </w:r>
      <w:r w:rsidRPr="00EC2F18">
        <w:rPr>
          <w:rFonts w:ascii="Arial" w:hAnsi="Arial" w:cs="Arial"/>
          <w:color w:val="0D0D0D" w:themeColor="text1" w:themeTint="F2"/>
          <w:sz w:val="24"/>
          <w:szCs w:val="24"/>
        </w:rPr>
        <w:t>, Available at: https://www.forbes.com/companies/rolls-royce-holdings/ (Accessed: 29 July 2026).</w:t>
      </w:r>
    </w:p>
    <w:p w14:paraId="2F35B0D8" w14:textId="77777777" w:rsidR="00EC2F18" w:rsidRPr="00EC2F18" w:rsidRDefault="00EC2F18" w:rsidP="00EC2F18">
      <w:pPr>
        <w:spacing w:line="360" w:lineRule="auto"/>
        <w:jc w:val="both"/>
        <w:rPr>
          <w:rFonts w:ascii="Arial" w:hAnsi="Arial" w:cs="Arial"/>
          <w:color w:val="0D0D0D" w:themeColor="text1" w:themeTint="F2"/>
          <w:sz w:val="24"/>
          <w:szCs w:val="24"/>
        </w:rPr>
      </w:pPr>
      <w:r w:rsidRPr="00EC2F18">
        <w:rPr>
          <w:rFonts w:ascii="Arial" w:hAnsi="Arial" w:cs="Arial"/>
          <w:color w:val="0D0D0D" w:themeColor="text1" w:themeTint="F2"/>
          <w:sz w:val="24"/>
          <w:szCs w:val="24"/>
        </w:rPr>
        <w:t xml:space="preserve">Friisberg (2026) </w:t>
      </w:r>
      <w:r w:rsidRPr="00EC2F18">
        <w:rPr>
          <w:rFonts w:ascii="Arial" w:hAnsi="Arial" w:cs="Arial"/>
          <w:i/>
          <w:iCs/>
          <w:color w:val="0D0D0D" w:themeColor="text1" w:themeTint="F2"/>
          <w:sz w:val="24"/>
          <w:szCs w:val="24"/>
        </w:rPr>
        <w:t>Britain: The culture factor</w:t>
      </w:r>
      <w:r w:rsidRPr="00EC2F18">
        <w:rPr>
          <w:rFonts w:ascii="Arial" w:hAnsi="Arial" w:cs="Arial"/>
          <w:color w:val="0D0D0D" w:themeColor="text1" w:themeTint="F2"/>
          <w:sz w:val="24"/>
          <w:szCs w:val="24"/>
        </w:rPr>
        <w:t xml:space="preserve">, </w:t>
      </w:r>
      <w:r w:rsidRPr="00EC2F18">
        <w:rPr>
          <w:rFonts w:ascii="Arial" w:hAnsi="Arial" w:cs="Arial"/>
          <w:i/>
          <w:iCs/>
          <w:color w:val="0D0D0D" w:themeColor="text1" w:themeTint="F2"/>
          <w:sz w:val="24"/>
          <w:szCs w:val="24"/>
        </w:rPr>
        <w:t>Friisberg &amp; Partners International</w:t>
      </w:r>
      <w:r w:rsidRPr="00EC2F18">
        <w:rPr>
          <w:rFonts w:ascii="Arial" w:hAnsi="Arial" w:cs="Arial"/>
          <w:color w:val="0D0D0D" w:themeColor="text1" w:themeTint="F2"/>
          <w:sz w:val="24"/>
          <w:szCs w:val="24"/>
        </w:rPr>
        <w:t>. Available at: https://friisberg.com/the-british-way-of-working/ (Accessed: 29 July 2026).</w:t>
      </w:r>
    </w:p>
    <w:p w14:paraId="39CE2756" w14:textId="77777777" w:rsidR="00EC2F18" w:rsidRPr="00EC2F18" w:rsidRDefault="00EC2F18" w:rsidP="00EC2F18">
      <w:pPr>
        <w:spacing w:line="360" w:lineRule="auto"/>
        <w:jc w:val="both"/>
        <w:rPr>
          <w:rFonts w:ascii="Arial" w:hAnsi="Arial" w:cs="Arial"/>
          <w:color w:val="0D0D0D" w:themeColor="text1" w:themeTint="F2"/>
          <w:sz w:val="24"/>
          <w:szCs w:val="24"/>
        </w:rPr>
      </w:pPr>
      <w:proofErr w:type="spellStart"/>
      <w:r w:rsidRPr="00EC2F18">
        <w:rPr>
          <w:rFonts w:ascii="Arial" w:hAnsi="Arial" w:cs="Arial"/>
          <w:color w:val="0D0D0D" w:themeColor="text1" w:themeTint="F2"/>
          <w:sz w:val="24"/>
          <w:szCs w:val="24"/>
        </w:rPr>
        <w:t>GaijinPot</w:t>
      </w:r>
      <w:proofErr w:type="spellEnd"/>
      <w:r w:rsidRPr="00EC2F18">
        <w:rPr>
          <w:rFonts w:ascii="Arial" w:hAnsi="Arial" w:cs="Arial"/>
          <w:color w:val="0D0D0D" w:themeColor="text1" w:themeTint="F2"/>
          <w:sz w:val="24"/>
          <w:szCs w:val="24"/>
        </w:rPr>
        <w:t xml:space="preserve"> (2026) </w:t>
      </w:r>
      <w:r w:rsidRPr="00EC2F18">
        <w:rPr>
          <w:rFonts w:ascii="Arial" w:hAnsi="Arial" w:cs="Arial"/>
          <w:i/>
          <w:iCs/>
          <w:color w:val="0D0D0D" w:themeColor="text1" w:themeTint="F2"/>
          <w:sz w:val="24"/>
          <w:szCs w:val="24"/>
        </w:rPr>
        <w:t xml:space="preserve">How do Japanese companies handle </w:t>
      </w:r>
      <w:proofErr w:type="gramStart"/>
      <w:r w:rsidRPr="00EC2F18">
        <w:rPr>
          <w:rFonts w:ascii="Arial" w:hAnsi="Arial" w:cs="Arial"/>
          <w:i/>
          <w:iCs/>
          <w:color w:val="0D0D0D" w:themeColor="text1" w:themeTint="F2"/>
          <w:sz w:val="24"/>
          <w:szCs w:val="24"/>
        </w:rPr>
        <w:t>conflict?</w:t>
      </w:r>
      <w:r w:rsidRPr="00EC2F18">
        <w:rPr>
          <w:rFonts w:ascii="Arial" w:hAnsi="Arial" w:cs="Arial"/>
          <w:color w:val="0D0D0D" w:themeColor="text1" w:themeTint="F2"/>
          <w:sz w:val="24"/>
          <w:szCs w:val="24"/>
        </w:rPr>
        <w:t>,</w:t>
      </w:r>
      <w:proofErr w:type="gramEnd"/>
      <w:r w:rsidRPr="00EC2F18">
        <w:rPr>
          <w:rFonts w:ascii="Arial" w:hAnsi="Arial" w:cs="Arial"/>
          <w:color w:val="0D0D0D" w:themeColor="text1" w:themeTint="F2"/>
          <w:sz w:val="24"/>
          <w:szCs w:val="24"/>
        </w:rPr>
        <w:t xml:space="preserve"> </w:t>
      </w:r>
      <w:r w:rsidRPr="00EC2F18">
        <w:rPr>
          <w:rFonts w:ascii="Arial" w:hAnsi="Arial" w:cs="Arial"/>
          <w:i/>
          <w:iCs/>
          <w:color w:val="0D0D0D" w:themeColor="text1" w:themeTint="F2"/>
          <w:sz w:val="24"/>
          <w:szCs w:val="24"/>
        </w:rPr>
        <w:t>Japan Today</w:t>
      </w:r>
      <w:r w:rsidRPr="00EC2F18">
        <w:rPr>
          <w:rFonts w:ascii="Arial" w:hAnsi="Arial" w:cs="Arial"/>
          <w:color w:val="0D0D0D" w:themeColor="text1" w:themeTint="F2"/>
          <w:sz w:val="24"/>
          <w:szCs w:val="24"/>
        </w:rPr>
        <w:t>. Available at: https://japantoday.com/category/features/lifestyle/how-do-japanese-companies-handle-conflict (Accessed: 29 July 2026).</w:t>
      </w:r>
    </w:p>
    <w:p w14:paraId="34C7D20E" w14:textId="77777777" w:rsidR="00EC2F18" w:rsidRPr="00EC2F18" w:rsidRDefault="00EC2F18" w:rsidP="00EC2F18">
      <w:pPr>
        <w:spacing w:line="360" w:lineRule="auto"/>
        <w:jc w:val="both"/>
        <w:rPr>
          <w:rFonts w:ascii="Arial" w:hAnsi="Arial" w:cs="Arial"/>
          <w:color w:val="0D0D0D" w:themeColor="text1" w:themeTint="F2"/>
          <w:sz w:val="24"/>
          <w:szCs w:val="24"/>
        </w:rPr>
      </w:pPr>
      <w:r w:rsidRPr="00EC2F18">
        <w:rPr>
          <w:rFonts w:ascii="Arial" w:hAnsi="Arial" w:cs="Arial"/>
          <w:color w:val="0D0D0D" w:themeColor="text1" w:themeTint="F2"/>
          <w:sz w:val="24"/>
          <w:szCs w:val="24"/>
        </w:rPr>
        <w:t xml:space="preserve">Global Business Culture (2026) </w:t>
      </w:r>
      <w:r w:rsidRPr="00EC2F18">
        <w:rPr>
          <w:rFonts w:ascii="Arial" w:hAnsi="Arial" w:cs="Arial"/>
          <w:i/>
          <w:iCs/>
          <w:color w:val="0D0D0D" w:themeColor="text1" w:themeTint="F2"/>
          <w:sz w:val="24"/>
          <w:szCs w:val="24"/>
        </w:rPr>
        <w:t>Japan Business Culture Guide</w:t>
      </w:r>
      <w:r w:rsidRPr="00EC2F18">
        <w:rPr>
          <w:rFonts w:ascii="Arial" w:hAnsi="Arial" w:cs="Arial"/>
          <w:color w:val="0D0D0D" w:themeColor="text1" w:themeTint="F2"/>
          <w:sz w:val="24"/>
          <w:szCs w:val="24"/>
        </w:rPr>
        <w:t xml:space="preserve">, </w:t>
      </w:r>
      <w:r w:rsidRPr="00EC2F18">
        <w:rPr>
          <w:rFonts w:ascii="Arial" w:hAnsi="Arial" w:cs="Arial"/>
          <w:i/>
          <w:iCs/>
          <w:color w:val="0D0D0D" w:themeColor="text1" w:themeTint="F2"/>
          <w:sz w:val="24"/>
          <w:szCs w:val="24"/>
        </w:rPr>
        <w:t>Global Business Culture</w:t>
      </w:r>
      <w:r w:rsidRPr="00EC2F18">
        <w:rPr>
          <w:rFonts w:ascii="Arial" w:hAnsi="Arial" w:cs="Arial"/>
          <w:color w:val="0D0D0D" w:themeColor="text1" w:themeTint="F2"/>
          <w:sz w:val="24"/>
          <w:szCs w:val="24"/>
        </w:rPr>
        <w:t>. Available at: https://www.globalbusinessculture.com/countries/global-business-culture-resources/country-profiles/japan-business-culture/ (Accessed: 29 July 2026).</w:t>
      </w:r>
    </w:p>
    <w:p w14:paraId="70D22552" w14:textId="77777777" w:rsidR="00EC2F18" w:rsidRPr="00EC2F18" w:rsidRDefault="00EC2F18" w:rsidP="00EC2F18">
      <w:pPr>
        <w:spacing w:line="360" w:lineRule="auto"/>
        <w:jc w:val="both"/>
        <w:rPr>
          <w:rFonts w:ascii="Arial" w:hAnsi="Arial" w:cs="Arial"/>
          <w:color w:val="0D0D0D" w:themeColor="text1" w:themeTint="F2"/>
          <w:sz w:val="24"/>
          <w:szCs w:val="24"/>
        </w:rPr>
      </w:pPr>
      <w:r w:rsidRPr="00EC2F18">
        <w:rPr>
          <w:rFonts w:ascii="Arial" w:hAnsi="Arial" w:cs="Arial"/>
          <w:color w:val="0D0D0D" w:themeColor="text1" w:themeTint="F2"/>
          <w:sz w:val="24"/>
          <w:szCs w:val="24"/>
        </w:rPr>
        <w:t xml:space="preserve">Global Data (2026), </w:t>
      </w:r>
      <w:r w:rsidRPr="00EC2F18">
        <w:rPr>
          <w:rFonts w:ascii="Arial" w:hAnsi="Arial" w:cs="Arial"/>
          <w:i/>
          <w:iCs/>
          <w:color w:val="0D0D0D" w:themeColor="text1" w:themeTint="F2"/>
          <w:sz w:val="24"/>
          <w:szCs w:val="24"/>
        </w:rPr>
        <w:t>IHI Corp - Company Profile</w:t>
      </w:r>
      <w:r w:rsidRPr="00EC2F18">
        <w:rPr>
          <w:rFonts w:ascii="Arial" w:hAnsi="Arial" w:cs="Arial"/>
          <w:color w:val="0D0D0D" w:themeColor="text1" w:themeTint="F2"/>
          <w:sz w:val="24"/>
          <w:szCs w:val="24"/>
        </w:rPr>
        <w:t>, Available at: https://www.globaldata.com/company-profile/ihi-corp/ (Accessed: 29 July 2026).</w:t>
      </w:r>
    </w:p>
    <w:p w14:paraId="48EEAA82" w14:textId="77777777" w:rsidR="00EC2F18" w:rsidRPr="00EC2F18" w:rsidRDefault="00EC2F18" w:rsidP="00EC2F18">
      <w:pPr>
        <w:spacing w:line="360" w:lineRule="auto"/>
        <w:jc w:val="both"/>
        <w:rPr>
          <w:rFonts w:ascii="Arial" w:hAnsi="Arial" w:cs="Arial"/>
          <w:color w:val="0D0D0D" w:themeColor="text1" w:themeTint="F2"/>
          <w:sz w:val="24"/>
          <w:szCs w:val="24"/>
        </w:rPr>
      </w:pPr>
      <w:r w:rsidRPr="00EC2F18">
        <w:rPr>
          <w:rFonts w:ascii="Arial" w:hAnsi="Arial" w:cs="Arial"/>
          <w:color w:val="0D0D0D" w:themeColor="text1" w:themeTint="F2"/>
          <w:sz w:val="24"/>
          <w:szCs w:val="24"/>
          <w:highlight w:val="white"/>
        </w:rPr>
        <w:t>KAWAGUCHI, S., (2024). The Effect of Cultural Norms on Group Decision</w:t>
      </w:r>
      <w:r w:rsidRPr="00EC2F18">
        <w:rPr>
          <w:rFonts w:ascii="Cambria Math" w:hAnsi="Cambria Math" w:cs="Cambria Math"/>
          <w:color w:val="0D0D0D" w:themeColor="text1" w:themeTint="F2"/>
          <w:sz w:val="24"/>
          <w:szCs w:val="24"/>
          <w:highlight w:val="white"/>
        </w:rPr>
        <w:t>‐</w:t>
      </w:r>
      <w:r w:rsidRPr="00EC2F18">
        <w:rPr>
          <w:rFonts w:ascii="Arial" w:hAnsi="Arial" w:cs="Arial"/>
          <w:color w:val="0D0D0D" w:themeColor="text1" w:themeTint="F2"/>
          <w:sz w:val="24"/>
          <w:szCs w:val="24"/>
          <w:highlight w:val="white"/>
        </w:rPr>
        <w:t xml:space="preserve">Making in Japanese Corporations. </w:t>
      </w:r>
      <w:r w:rsidRPr="00EC2F18">
        <w:rPr>
          <w:rFonts w:ascii="Arial" w:hAnsi="Arial" w:cs="Arial"/>
          <w:i/>
          <w:iCs/>
          <w:color w:val="0D0D0D" w:themeColor="text1" w:themeTint="F2"/>
          <w:sz w:val="24"/>
          <w:szCs w:val="24"/>
          <w:highlight w:val="white"/>
        </w:rPr>
        <w:t>Frontiers in Management Science</w:t>
      </w:r>
      <w:r w:rsidRPr="00EC2F18">
        <w:rPr>
          <w:rFonts w:ascii="Arial" w:hAnsi="Arial" w:cs="Arial"/>
          <w:color w:val="0D0D0D" w:themeColor="text1" w:themeTint="F2"/>
          <w:sz w:val="24"/>
          <w:szCs w:val="24"/>
          <w:highlight w:val="white"/>
        </w:rPr>
        <w:t xml:space="preserve">, </w:t>
      </w:r>
      <w:r w:rsidRPr="00EC2F18">
        <w:rPr>
          <w:rFonts w:ascii="Arial" w:hAnsi="Arial" w:cs="Arial"/>
          <w:i/>
          <w:iCs/>
          <w:color w:val="0D0D0D" w:themeColor="text1" w:themeTint="F2"/>
          <w:sz w:val="24"/>
          <w:szCs w:val="24"/>
          <w:highlight w:val="white"/>
        </w:rPr>
        <w:t>3</w:t>
      </w:r>
      <w:r w:rsidRPr="00EC2F18">
        <w:rPr>
          <w:rFonts w:ascii="Arial" w:hAnsi="Arial" w:cs="Arial"/>
          <w:color w:val="0D0D0D" w:themeColor="text1" w:themeTint="F2"/>
          <w:sz w:val="24"/>
          <w:szCs w:val="24"/>
          <w:highlight w:val="white"/>
        </w:rPr>
        <w:t>(10), pp.70-74.</w:t>
      </w:r>
      <w:r w:rsidRPr="00EC2F18">
        <w:rPr>
          <w:rFonts w:ascii="Arial" w:hAnsi="Arial" w:cs="Arial"/>
          <w:color w:val="0D0D0D" w:themeColor="text1" w:themeTint="F2"/>
          <w:sz w:val="24"/>
          <w:szCs w:val="24"/>
        </w:rPr>
        <w:t xml:space="preserve"> Link: </w:t>
      </w:r>
      <w:hyperlink r:id="rId7">
        <w:r w:rsidRPr="00EC2F18">
          <w:rPr>
            <w:rFonts w:ascii="Arial" w:hAnsi="Arial" w:cs="Arial"/>
            <w:color w:val="0D0D0D" w:themeColor="text1" w:themeTint="F2"/>
            <w:sz w:val="24"/>
            <w:szCs w:val="24"/>
            <w:u w:val="single"/>
          </w:rPr>
          <w:t>https://www.researchgate.net/publication/385368043_The_Effect_of_Cultural_Norms_on_Group_Decision-Making_in_Japanese_Corporations</w:t>
        </w:r>
      </w:hyperlink>
    </w:p>
    <w:p w14:paraId="0710107A" w14:textId="77777777" w:rsidR="00EC2F18" w:rsidRPr="00EC2F18" w:rsidRDefault="00EC2F18" w:rsidP="00EC2F18">
      <w:pPr>
        <w:spacing w:line="360" w:lineRule="auto"/>
        <w:jc w:val="both"/>
        <w:rPr>
          <w:rFonts w:ascii="Arial" w:hAnsi="Arial" w:cs="Arial"/>
          <w:color w:val="0D0D0D" w:themeColor="text1" w:themeTint="F2"/>
          <w:sz w:val="24"/>
          <w:szCs w:val="24"/>
        </w:rPr>
      </w:pPr>
      <w:r w:rsidRPr="00EC2F18">
        <w:rPr>
          <w:rFonts w:ascii="Arial" w:hAnsi="Arial" w:cs="Arial"/>
          <w:color w:val="0D0D0D" w:themeColor="text1" w:themeTint="F2"/>
          <w:sz w:val="24"/>
          <w:szCs w:val="24"/>
        </w:rPr>
        <w:lastRenderedPageBreak/>
        <w:t xml:space="preserve">LinkedIn (2023), </w:t>
      </w:r>
      <w:r w:rsidRPr="00EC2F18">
        <w:rPr>
          <w:rFonts w:ascii="Arial" w:hAnsi="Arial" w:cs="Arial"/>
          <w:i/>
          <w:iCs/>
          <w:color w:val="0D0D0D" w:themeColor="text1" w:themeTint="F2"/>
          <w:sz w:val="24"/>
          <w:szCs w:val="24"/>
        </w:rPr>
        <w:t>Fostering a Culture of Innovation: Nurturing Creativity and Growth</w:t>
      </w:r>
      <w:r w:rsidRPr="00EC2F18">
        <w:rPr>
          <w:rFonts w:ascii="Arial" w:hAnsi="Arial" w:cs="Arial"/>
          <w:color w:val="0D0D0D" w:themeColor="text1" w:themeTint="F2"/>
          <w:sz w:val="24"/>
          <w:szCs w:val="24"/>
        </w:rPr>
        <w:t>, Available at: https://www.linkedin.com/pulse/fostering-culture-innovation-nurturing-creativity (Accessed: 29 July 2026).</w:t>
      </w:r>
    </w:p>
    <w:p w14:paraId="0E54C43B" w14:textId="77777777" w:rsidR="00EC2F18" w:rsidRPr="00EC2F18" w:rsidRDefault="00EC2F18" w:rsidP="00EC2F18">
      <w:pPr>
        <w:pStyle w:val="Heading2"/>
        <w:keepNext w:val="0"/>
        <w:keepLines w:val="0"/>
        <w:spacing w:before="0" w:after="0" w:line="360" w:lineRule="auto"/>
        <w:jc w:val="both"/>
        <w:rPr>
          <w:rFonts w:ascii="Arial" w:hAnsi="Arial" w:cs="Arial"/>
          <w:color w:val="0D0D0D" w:themeColor="text1" w:themeTint="F2"/>
          <w:sz w:val="24"/>
          <w:szCs w:val="24"/>
        </w:rPr>
      </w:pPr>
      <w:bookmarkStart w:id="1" w:name="_65wnxi2g231f" w:colFirst="0" w:colLast="0"/>
      <w:bookmarkEnd w:id="1"/>
      <w:r w:rsidRPr="00EC2F18">
        <w:rPr>
          <w:rFonts w:ascii="Arial" w:hAnsi="Arial" w:cs="Arial"/>
          <w:color w:val="0D0D0D" w:themeColor="text1" w:themeTint="F2"/>
          <w:sz w:val="24"/>
          <w:szCs w:val="24"/>
        </w:rPr>
        <w:t xml:space="preserve">McIvor, M. (2022). </w:t>
      </w:r>
      <w:r w:rsidRPr="00EC2F18">
        <w:rPr>
          <w:rFonts w:ascii="Arial" w:hAnsi="Arial" w:cs="Arial"/>
          <w:i/>
          <w:iCs/>
          <w:color w:val="0D0D0D" w:themeColor="text1" w:themeTint="F2"/>
          <w:sz w:val="24"/>
          <w:szCs w:val="24"/>
        </w:rPr>
        <w:t>High- vs. low-context communication survival guide</w:t>
      </w:r>
      <w:r w:rsidRPr="00EC2F18">
        <w:rPr>
          <w:rFonts w:ascii="Arial" w:hAnsi="Arial" w:cs="Arial"/>
          <w:color w:val="0D0D0D" w:themeColor="text1" w:themeTint="F2"/>
          <w:sz w:val="24"/>
          <w:szCs w:val="24"/>
        </w:rPr>
        <w:t xml:space="preserve">. [online] </w:t>
      </w:r>
      <w:proofErr w:type="spellStart"/>
      <w:r w:rsidRPr="00EC2F18">
        <w:rPr>
          <w:rFonts w:ascii="Arial" w:hAnsi="Arial" w:cs="Arial"/>
          <w:i/>
          <w:iCs/>
          <w:color w:val="0D0D0D" w:themeColor="text1" w:themeTint="F2"/>
          <w:sz w:val="24"/>
          <w:szCs w:val="24"/>
        </w:rPr>
        <w:t>Globis</w:t>
      </w:r>
      <w:proofErr w:type="spellEnd"/>
      <w:r w:rsidRPr="00EC2F18">
        <w:rPr>
          <w:rFonts w:ascii="Arial" w:hAnsi="Arial" w:cs="Arial"/>
          <w:i/>
          <w:iCs/>
          <w:color w:val="0D0D0D" w:themeColor="text1" w:themeTint="F2"/>
          <w:sz w:val="24"/>
          <w:szCs w:val="24"/>
        </w:rPr>
        <w:t xml:space="preserve"> Insights</w:t>
      </w:r>
      <w:r w:rsidRPr="00EC2F18">
        <w:rPr>
          <w:rFonts w:ascii="Arial" w:hAnsi="Arial" w:cs="Arial"/>
          <w:color w:val="0D0D0D" w:themeColor="text1" w:themeTint="F2"/>
          <w:sz w:val="24"/>
          <w:szCs w:val="24"/>
        </w:rPr>
        <w:t>. Available at: https://globisinsights.com/career-skills/communication/high-low-context-communication-survival/ (Accessed: 29 July 2026).</w:t>
      </w:r>
    </w:p>
    <w:p w14:paraId="64F8CFD7" w14:textId="77777777" w:rsidR="00EC2F18" w:rsidRPr="00EC2F18" w:rsidRDefault="00EC2F18" w:rsidP="00EC2F18">
      <w:pPr>
        <w:spacing w:line="360" w:lineRule="auto"/>
        <w:jc w:val="both"/>
        <w:rPr>
          <w:rFonts w:ascii="Arial" w:hAnsi="Arial" w:cs="Arial"/>
          <w:color w:val="0D0D0D" w:themeColor="text1" w:themeTint="F2"/>
          <w:sz w:val="24"/>
          <w:szCs w:val="24"/>
        </w:rPr>
      </w:pPr>
      <w:proofErr w:type="spellStart"/>
      <w:r w:rsidRPr="00EC2F18">
        <w:rPr>
          <w:rFonts w:ascii="Arial" w:hAnsi="Arial" w:cs="Arial"/>
          <w:color w:val="0D0D0D" w:themeColor="text1" w:themeTint="F2"/>
          <w:sz w:val="24"/>
          <w:szCs w:val="24"/>
        </w:rPr>
        <w:t>Seibushoko</w:t>
      </w:r>
      <w:proofErr w:type="spellEnd"/>
      <w:r w:rsidRPr="00EC2F18">
        <w:rPr>
          <w:rFonts w:ascii="Arial" w:hAnsi="Arial" w:cs="Arial"/>
          <w:color w:val="0D0D0D" w:themeColor="text1" w:themeTint="F2"/>
          <w:sz w:val="24"/>
          <w:szCs w:val="24"/>
        </w:rPr>
        <w:t xml:space="preserve"> (2023), </w:t>
      </w:r>
      <w:r w:rsidRPr="00EC2F18">
        <w:rPr>
          <w:rFonts w:ascii="Arial" w:hAnsi="Arial" w:cs="Arial"/>
          <w:i/>
          <w:iCs/>
          <w:color w:val="0D0D0D" w:themeColor="text1" w:themeTint="F2"/>
          <w:sz w:val="24"/>
          <w:szCs w:val="24"/>
        </w:rPr>
        <w:t>The Enduring Success: How Manufacturing Industries in Japan Stay Ahead</w:t>
      </w:r>
      <w:r w:rsidRPr="00EC2F18">
        <w:rPr>
          <w:rFonts w:ascii="Arial" w:hAnsi="Arial" w:cs="Arial"/>
          <w:color w:val="0D0D0D" w:themeColor="text1" w:themeTint="F2"/>
          <w:sz w:val="24"/>
          <w:szCs w:val="24"/>
        </w:rPr>
        <w:t>, Available at: https://seibushoko.com/solution/2523/ (Accessed: 29 July 2026).</w:t>
      </w:r>
    </w:p>
    <w:p w14:paraId="384A6517" w14:textId="77777777" w:rsidR="00EC2F18" w:rsidRPr="00EC2F18" w:rsidRDefault="00EC2F18" w:rsidP="00EC2F18">
      <w:pPr>
        <w:spacing w:line="360" w:lineRule="auto"/>
        <w:jc w:val="both"/>
        <w:rPr>
          <w:rFonts w:ascii="Arial" w:hAnsi="Arial" w:cs="Arial"/>
          <w:color w:val="0D0D0D" w:themeColor="text1" w:themeTint="F2"/>
          <w:sz w:val="24"/>
          <w:szCs w:val="24"/>
        </w:rPr>
      </w:pPr>
      <w:r w:rsidRPr="00EC2F18">
        <w:rPr>
          <w:rFonts w:ascii="Arial" w:hAnsi="Arial" w:cs="Arial"/>
          <w:color w:val="0D0D0D" w:themeColor="text1" w:themeTint="F2"/>
          <w:sz w:val="24"/>
          <w:szCs w:val="24"/>
          <w:highlight w:val="white"/>
        </w:rPr>
        <w:t xml:space="preserve">Stanton, M.C.B. and Roelich, K., (2021). Decision making under deep uncertainties: A review of the applicability of methods in practice. </w:t>
      </w:r>
      <w:r w:rsidRPr="00EC2F18">
        <w:rPr>
          <w:rFonts w:ascii="Arial" w:hAnsi="Arial" w:cs="Arial"/>
          <w:i/>
          <w:iCs/>
          <w:color w:val="0D0D0D" w:themeColor="text1" w:themeTint="F2"/>
          <w:sz w:val="24"/>
          <w:szCs w:val="24"/>
          <w:highlight w:val="white"/>
        </w:rPr>
        <w:t>Technological Forecasting and Social Change</w:t>
      </w:r>
      <w:r w:rsidRPr="00EC2F18">
        <w:rPr>
          <w:rFonts w:ascii="Arial" w:hAnsi="Arial" w:cs="Arial"/>
          <w:color w:val="0D0D0D" w:themeColor="text1" w:themeTint="F2"/>
          <w:sz w:val="24"/>
          <w:szCs w:val="24"/>
          <w:highlight w:val="white"/>
        </w:rPr>
        <w:t xml:space="preserve">, </w:t>
      </w:r>
      <w:r w:rsidRPr="00EC2F18">
        <w:rPr>
          <w:rFonts w:ascii="Arial" w:hAnsi="Arial" w:cs="Arial"/>
          <w:i/>
          <w:iCs/>
          <w:color w:val="0D0D0D" w:themeColor="text1" w:themeTint="F2"/>
          <w:sz w:val="24"/>
          <w:szCs w:val="24"/>
          <w:highlight w:val="white"/>
        </w:rPr>
        <w:t>171</w:t>
      </w:r>
      <w:r w:rsidRPr="00EC2F18">
        <w:rPr>
          <w:rFonts w:ascii="Arial" w:hAnsi="Arial" w:cs="Arial"/>
          <w:color w:val="0D0D0D" w:themeColor="text1" w:themeTint="F2"/>
          <w:sz w:val="24"/>
          <w:szCs w:val="24"/>
          <w:highlight w:val="white"/>
        </w:rPr>
        <w:t>, p.120939.</w:t>
      </w:r>
      <w:r w:rsidRPr="00EC2F18">
        <w:rPr>
          <w:rFonts w:ascii="Arial" w:hAnsi="Arial" w:cs="Arial"/>
          <w:color w:val="0D0D0D" w:themeColor="text1" w:themeTint="F2"/>
          <w:sz w:val="24"/>
          <w:szCs w:val="24"/>
        </w:rPr>
        <w:t xml:space="preserve"> Link: </w:t>
      </w:r>
      <w:hyperlink r:id="rId8">
        <w:r w:rsidRPr="00EC2F18">
          <w:rPr>
            <w:rFonts w:ascii="Arial" w:hAnsi="Arial" w:cs="Arial"/>
            <w:color w:val="0D0D0D" w:themeColor="text1" w:themeTint="F2"/>
            <w:sz w:val="24"/>
            <w:szCs w:val="24"/>
            <w:u w:val="single"/>
          </w:rPr>
          <w:t>https://www.sciencedirect.com/science/article/pii/S0040162521003711</w:t>
        </w:r>
      </w:hyperlink>
    </w:p>
    <w:p w14:paraId="1914F21C" w14:textId="77777777" w:rsidR="00EC2F18" w:rsidRPr="00EC2F18" w:rsidRDefault="00EC2F18" w:rsidP="00EC2F18">
      <w:pPr>
        <w:spacing w:line="360" w:lineRule="auto"/>
        <w:jc w:val="both"/>
        <w:rPr>
          <w:rFonts w:ascii="Arial" w:hAnsi="Arial" w:cs="Arial"/>
          <w:color w:val="0D0D0D" w:themeColor="text1" w:themeTint="F2"/>
          <w:sz w:val="24"/>
          <w:szCs w:val="24"/>
        </w:rPr>
      </w:pPr>
      <w:r w:rsidRPr="00EC2F18">
        <w:rPr>
          <w:rFonts w:ascii="Arial" w:hAnsi="Arial" w:cs="Arial"/>
          <w:color w:val="0D0D0D" w:themeColor="text1" w:themeTint="F2"/>
          <w:sz w:val="24"/>
          <w:szCs w:val="24"/>
        </w:rPr>
        <w:t xml:space="preserve">The Culture Factor (2026), </w:t>
      </w:r>
      <w:r w:rsidRPr="00EC2F18">
        <w:rPr>
          <w:rFonts w:ascii="Arial" w:hAnsi="Arial" w:cs="Arial"/>
          <w:i/>
          <w:iCs/>
          <w:color w:val="0D0D0D" w:themeColor="text1" w:themeTint="F2"/>
          <w:sz w:val="24"/>
          <w:szCs w:val="24"/>
        </w:rPr>
        <w:t>Country Comparison tool</w:t>
      </w:r>
      <w:r w:rsidRPr="00EC2F18">
        <w:rPr>
          <w:rFonts w:ascii="Arial" w:hAnsi="Arial" w:cs="Arial"/>
          <w:color w:val="0D0D0D" w:themeColor="text1" w:themeTint="F2"/>
          <w:sz w:val="24"/>
          <w:szCs w:val="24"/>
        </w:rPr>
        <w:t>, Available at: https://www.theculturefactor.com/country-comparison-tool?countries=japan%2Cunited+kingdom (Accessed: 29 July 2026).</w:t>
      </w:r>
    </w:p>
    <w:p w14:paraId="5398CBFA" w14:textId="77777777" w:rsidR="00EC2F18" w:rsidRPr="00EC2F18" w:rsidRDefault="00EC2F18" w:rsidP="00EC2F18">
      <w:pPr>
        <w:spacing w:line="360" w:lineRule="auto"/>
        <w:jc w:val="both"/>
        <w:rPr>
          <w:rFonts w:ascii="Arial" w:hAnsi="Arial" w:cs="Arial"/>
          <w:color w:val="0D0D0D" w:themeColor="text1" w:themeTint="F2"/>
          <w:sz w:val="24"/>
          <w:szCs w:val="24"/>
        </w:rPr>
      </w:pPr>
      <w:proofErr w:type="spellStart"/>
      <w:r w:rsidRPr="00EC2F18">
        <w:rPr>
          <w:rFonts w:ascii="Arial" w:hAnsi="Arial" w:cs="Arial"/>
          <w:color w:val="0D0D0D" w:themeColor="text1" w:themeTint="F2"/>
          <w:sz w:val="24"/>
          <w:szCs w:val="24"/>
          <w:highlight w:val="white"/>
        </w:rPr>
        <w:t>Ziliute</w:t>
      </w:r>
      <w:proofErr w:type="spellEnd"/>
      <w:r w:rsidRPr="00EC2F18">
        <w:rPr>
          <w:rFonts w:ascii="Arial" w:hAnsi="Arial" w:cs="Arial"/>
          <w:color w:val="0D0D0D" w:themeColor="text1" w:themeTint="F2"/>
          <w:sz w:val="24"/>
          <w:szCs w:val="24"/>
          <w:highlight w:val="white"/>
        </w:rPr>
        <w:t>, V., (2024). Navigating cultural currents: a qualitative analysis of cross-cultural aspects in organisational risk management based on Trompenaars' cultural framework.</w:t>
      </w:r>
      <w:r w:rsidRPr="00EC2F18">
        <w:rPr>
          <w:rFonts w:ascii="Arial" w:hAnsi="Arial" w:cs="Arial"/>
          <w:color w:val="0D0D0D" w:themeColor="text1" w:themeTint="F2"/>
          <w:sz w:val="24"/>
          <w:szCs w:val="24"/>
        </w:rPr>
        <w:t xml:space="preserve"> </w:t>
      </w:r>
      <w:hyperlink r:id="rId9">
        <w:r w:rsidRPr="00EC2F18">
          <w:rPr>
            <w:rFonts w:ascii="Arial" w:hAnsi="Arial" w:cs="Arial"/>
            <w:color w:val="0D0D0D" w:themeColor="text1" w:themeTint="F2"/>
            <w:sz w:val="24"/>
            <w:szCs w:val="24"/>
            <w:u w:val="single"/>
          </w:rPr>
          <w:t>https://www.um.edu.mt/library/oar/bitstream/123456789/130743/3/2419EMAEMA590505075849_1.PDF</w:t>
        </w:r>
      </w:hyperlink>
    </w:p>
    <w:p w14:paraId="27D60B51" w14:textId="77777777" w:rsidR="00EC2F18" w:rsidRPr="00EC2F18" w:rsidRDefault="00EC2F18" w:rsidP="00EC2F18">
      <w:pPr>
        <w:spacing w:before="240" w:after="240" w:line="360" w:lineRule="auto"/>
        <w:jc w:val="both"/>
        <w:rPr>
          <w:rFonts w:ascii="Arial" w:hAnsi="Arial" w:cs="Arial"/>
          <w:color w:val="0D0D0D" w:themeColor="text1" w:themeTint="F2"/>
          <w:sz w:val="24"/>
          <w:szCs w:val="24"/>
        </w:rPr>
      </w:pPr>
      <w:r w:rsidRPr="00EC2F18">
        <w:rPr>
          <w:rFonts w:ascii="Arial" w:hAnsi="Arial" w:cs="Arial"/>
          <w:color w:val="0D0D0D" w:themeColor="text1" w:themeTint="F2"/>
          <w:sz w:val="24"/>
          <w:szCs w:val="24"/>
        </w:rPr>
        <w:br w:type="page"/>
      </w:r>
    </w:p>
    <w:p w14:paraId="5D8067B1" w14:textId="77777777" w:rsidR="006500AD" w:rsidRPr="00363A08" w:rsidRDefault="006500AD" w:rsidP="00363A08">
      <w:pPr>
        <w:spacing w:after="0" w:line="360" w:lineRule="auto"/>
        <w:jc w:val="both"/>
        <w:rPr>
          <w:rFonts w:ascii="Arial" w:eastAsia="Times New Roman" w:hAnsi="Arial" w:cs="Arial"/>
          <w:kern w:val="0"/>
          <w:sz w:val="24"/>
          <w:szCs w:val="24"/>
          <w:lang w:eastAsia="en-GB"/>
          <w14:ligatures w14:val="none"/>
        </w:rPr>
      </w:pPr>
    </w:p>
    <w:p w14:paraId="53C5EBB5" w14:textId="77777777" w:rsidR="00363A08" w:rsidRPr="00363A08" w:rsidRDefault="00363A08" w:rsidP="00363A08">
      <w:pPr>
        <w:spacing w:after="0" w:line="360" w:lineRule="auto"/>
        <w:jc w:val="both"/>
        <w:rPr>
          <w:rFonts w:ascii="Arial" w:eastAsia="Times New Roman" w:hAnsi="Arial" w:cs="Arial"/>
          <w:kern w:val="0"/>
          <w:sz w:val="24"/>
          <w:szCs w:val="24"/>
          <w:lang w:eastAsia="en-GB"/>
          <w14:ligatures w14:val="none"/>
        </w:rPr>
      </w:pPr>
    </w:p>
    <w:p w14:paraId="285302D1" w14:textId="77777777" w:rsidR="00F667BD" w:rsidRPr="00363A08" w:rsidRDefault="00F667BD" w:rsidP="00363A08">
      <w:pPr>
        <w:spacing w:line="360" w:lineRule="auto"/>
        <w:jc w:val="both"/>
        <w:rPr>
          <w:rFonts w:ascii="Arial" w:hAnsi="Arial" w:cs="Arial"/>
          <w:sz w:val="24"/>
          <w:szCs w:val="24"/>
        </w:rPr>
      </w:pPr>
    </w:p>
    <w:sectPr w:rsidR="00F667BD" w:rsidRPr="00363A0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9C3DCA" w14:textId="77777777" w:rsidR="002F2B6B" w:rsidRDefault="002F2B6B" w:rsidP="0012185B">
      <w:pPr>
        <w:spacing w:after="0" w:line="240" w:lineRule="auto"/>
      </w:pPr>
      <w:r>
        <w:separator/>
      </w:r>
    </w:p>
  </w:endnote>
  <w:endnote w:type="continuationSeparator" w:id="0">
    <w:p w14:paraId="74B7C5BA" w14:textId="77777777" w:rsidR="002F2B6B" w:rsidRDefault="002F2B6B" w:rsidP="001218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2420859"/>
      <w:docPartObj>
        <w:docPartGallery w:val="Page Numbers (Bottom of Page)"/>
        <w:docPartUnique/>
      </w:docPartObj>
    </w:sdtPr>
    <w:sdtEndPr>
      <w:rPr>
        <w:noProof/>
      </w:rPr>
    </w:sdtEndPr>
    <w:sdtContent>
      <w:p w14:paraId="4D38C703" w14:textId="6D762679" w:rsidR="0012185B" w:rsidRDefault="001218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1B54A3" w14:textId="77777777" w:rsidR="0012185B" w:rsidRDefault="001218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85C652" w14:textId="77777777" w:rsidR="002F2B6B" w:rsidRDefault="002F2B6B" w:rsidP="0012185B">
      <w:pPr>
        <w:spacing w:after="0" w:line="240" w:lineRule="auto"/>
      </w:pPr>
      <w:r>
        <w:separator/>
      </w:r>
    </w:p>
  </w:footnote>
  <w:footnote w:type="continuationSeparator" w:id="0">
    <w:p w14:paraId="50AEF3A6" w14:textId="77777777" w:rsidR="002F2B6B" w:rsidRDefault="002F2B6B" w:rsidP="0012185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648"/>
    <w:rsid w:val="00092436"/>
    <w:rsid w:val="0012185B"/>
    <w:rsid w:val="001D1474"/>
    <w:rsid w:val="001E112F"/>
    <w:rsid w:val="001F7E2C"/>
    <w:rsid w:val="00221299"/>
    <w:rsid w:val="002A662F"/>
    <w:rsid w:val="002D6FB7"/>
    <w:rsid w:val="002F2B6B"/>
    <w:rsid w:val="00363A08"/>
    <w:rsid w:val="003C4617"/>
    <w:rsid w:val="00571C80"/>
    <w:rsid w:val="006500AD"/>
    <w:rsid w:val="00872488"/>
    <w:rsid w:val="00963FC8"/>
    <w:rsid w:val="00A43B38"/>
    <w:rsid w:val="00AE796D"/>
    <w:rsid w:val="00B55648"/>
    <w:rsid w:val="00E02D77"/>
    <w:rsid w:val="00E2047D"/>
    <w:rsid w:val="00EC2F18"/>
    <w:rsid w:val="00EC5B12"/>
    <w:rsid w:val="00F20986"/>
    <w:rsid w:val="00F667BD"/>
    <w:rsid w:val="00FE5F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BFCE3"/>
  <w15:chartTrackingRefBased/>
  <w15:docId w15:val="{86EE870B-C4A8-412C-92A6-5C9D0193A7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564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5564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5564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5564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5564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556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56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56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56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564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5564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5564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5564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5564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556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56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56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5648"/>
    <w:rPr>
      <w:rFonts w:eastAsiaTheme="majorEastAsia" w:cstheme="majorBidi"/>
      <w:color w:val="272727" w:themeColor="text1" w:themeTint="D8"/>
    </w:rPr>
  </w:style>
  <w:style w:type="paragraph" w:styleId="Title">
    <w:name w:val="Title"/>
    <w:basedOn w:val="Normal"/>
    <w:next w:val="Normal"/>
    <w:link w:val="TitleChar"/>
    <w:uiPriority w:val="10"/>
    <w:qFormat/>
    <w:rsid w:val="00B556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56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56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56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5648"/>
    <w:pPr>
      <w:spacing w:before="160"/>
      <w:jc w:val="center"/>
    </w:pPr>
    <w:rPr>
      <w:i/>
      <w:iCs/>
      <w:color w:val="404040" w:themeColor="text1" w:themeTint="BF"/>
    </w:rPr>
  </w:style>
  <w:style w:type="character" w:customStyle="1" w:styleId="QuoteChar">
    <w:name w:val="Quote Char"/>
    <w:basedOn w:val="DefaultParagraphFont"/>
    <w:link w:val="Quote"/>
    <w:uiPriority w:val="29"/>
    <w:rsid w:val="00B55648"/>
    <w:rPr>
      <w:i/>
      <w:iCs/>
      <w:color w:val="404040" w:themeColor="text1" w:themeTint="BF"/>
    </w:rPr>
  </w:style>
  <w:style w:type="paragraph" w:styleId="ListParagraph">
    <w:name w:val="List Paragraph"/>
    <w:basedOn w:val="Normal"/>
    <w:uiPriority w:val="34"/>
    <w:qFormat/>
    <w:rsid w:val="00B55648"/>
    <w:pPr>
      <w:ind w:left="720"/>
      <w:contextualSpacing/>
    </w:pPr>
  </w:style>
  <w:style w:type="character" w:styleId="IntenseEmphasis">
    <w:name w:val="Intense Emphasis"/>
    <w:basedOn w:val="DefaultParagraphFont"/>
    <w:uiPriority w:val="21"/>
    <w:qFormat/>
    <w:rsid w:val="00B55648"/>
    <w:rPr>
      <w:i/>
      <w:iCs/>
      <w:color w:val="2F5496" w:themeColor="accent1" w:themeShade="BF"/>
    </w:rPr>
  </w:style>
  <w:style w:type="paragraph" w:styleId="IntenseQuote">
    <w:name w:val="Intense Quote"/>
    <w:basedOn w:val="Normal"/>
    <w:next w:val="Normal"/>
    <w:link w:val="IntenseQuoteChar"/>
    <w:uiPriority w:val="30"/>
    <w:qFormat/>
    <w:rsid w:val="00B5564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55648"/>
    <w:rPr>
      <w:i/>
      <w:iCs/>
      <w:color w:val="2F5496" w:themeColor="accent1" w:themeShade="BF"/>
    </w:rPr>
  </w:style>
  <w:style w:type="character" w:styleId="IntenseReference">
    <w:name w:val="Intense Reference"/>
    <w:basedOn w:val="DefaultParagraphFont"/>
    <w:uiPriority w:val="32"/>
    <w:qFormat/>
    <w:rsid w:val="00B55648"/>
    <w:rPr>
      <w:b/>
      <w:bCs/>
      <w:smallCaps/>
      <w:color w:val="2F5496" w:themeColor="accent1" w:themeShade="BF"/>
      <w:spacing w:val="5"/>
    </w:rPr>
  </w:style>
  <w:style w:type="paragraph" w:styleId="Header">
    <w:name w:val="header"/>
    <w:basedOn w:val="Normal"/>
    <w:link w:val="HeaderChar"/>
    <w:uiPriority w:val="99"/>
    <w:unhideWhenUsed/>
    <w:rsid w:val="001218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85B"/>
  </w:style>
  <w:style w:type="paragraph" w:styleId="Footer">
    <w:name w:val="footer"/>
    <w:basedOn w:val="Normal"/>
    <w:link w:val="FooterChar"/>
    <w:uiPriority w:val="99"/>
    <w:unhideWhenUsed/>
    <w:rsid w:val="001218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8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040162521003711" TargetMode="External"/><Relationship Id="rId3" Type="http://schemas.openxmlformats.org/officeDocument/2006/relationships/webSettings" Target="webSettings.xml"/><Relationship Id="rId7" Type="http://schemas.openxmlformats.org/officeDocument/2006/relationships/hyperlink" Target="https://www.researchgate.net/publication/385368043_The_Effect_of_Cultural_Norms_on_Group_Decision-Making_in_Japanese_Corporation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um.edu.mt/library/oar/bitstream/123456789/130743/3/2419EMAEMA590505075849_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11</Pages>
  <Words>2564</Words>
  <Characters>14615</Characters>
  <Application>Microsoft Office Word</Application>
  <DocSecurity>0</DocSecurity>
  <Lines>121</Lines>
  <Paragraphs>34</Paragraphs>
  <ScaleCrop>false</ScaleCrop>
  <Company/>
  <LinksUpToDate>false</LinksUpToDate>
  <CharactersWithSpaces>17145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Jitari</dc:creator>
  <cp:keywords/>
  <dc:description/>
  <cp:lastModifiedBy>Vasile Jitari</cp:lastModifiedBy>
  <cp:revision>20</cp:revision>
  <dcterms:created xsi:type="dcterms:W3CDTF">2026-08-16T10:21:00Z</dcterms:created>
  <dcterms:modified xsi:type="dcterms:W3CDTF">2026-08-16T10:40:00Z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b28f8919-d70c-4ed5-b2a0-ee9faa713406</vt:lpwstr>
  </property>
</Properties>
</file>