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304149CC" w14:textId="77777777" w:rsidR="00BF521F" w:rsidRDefault="00BF521F" w:rsidP="00BF521F">
            <w:pPr>
              <w:ind w:right="-957"/>
              <w:rPr>
                <w:rFonts w:ascii="Times New Roman" w:hAnsi="Times New Roman" w:cs="Times New Roman"/>
                <w:b/>
                <w:sz w:val="48"/>
              </w:rPr>
            </w:pPr>
            <w:r>
              <w:rPr>
                <w:rFonts w:ascii="Times New Roman" w:hAnsi="Times New Roman" w:cs="Times New Roman"/>
                <w:b/>
                <w:sz w:val="48"/>
              </w:rPr>
              <w:t xml:space="preserve">Learner’s name: Lowri Jenkins </w:t>
            </w:r>
          </w:p>
          <w:p w14:paraId="53B8D393" w14:textId="77777777" w:rsidR="00BF521F" w:rsidRDefault="00BF521F" w:rsidP="00BF521F">
            <w:pPr>
              <w:ind w:right="-957"/>
              <w:rPr>
                <w:rFonts w:ascii="Times New Roman" w:hAnsi="Times New Roman" w:cs="Times New Roman"/>
                <w:b/>
                <w:sz w:val="48"/>
              </w:rPr>
            </w:pPr>
          </w:p>
          <w:p w14:paraId="74999EA4" w14:textId="77777777" w:rsidR="00BF521F" w:rsidRDefault="00BF521F" w:rsidP="00BF521F">
            <w:pPr>
              <w:ind w:right="-957"/>
              <w:rPr>
                <w:rFonts w:ascii="Times New Roman" w:hAnsi="Times New Roman" w:cs="Times New Roman"/>
                <w:b/>
                <w:sz w:val="48"/>
              </w:rPr>
            </w:pPr>
            <w:r>
              <w:rPr>
                <w:rFonts w:ascii="Times New Roman" w:hAnsi="Times New Roman" w:cs="Times New Roman"/>
                <w:b/>
                <w:sz w:val="48"/>
              </w:rPr>
              <w:t xml:space="preserve">Email address: </w:t>
            </w:r>
            <w:hyperlink r:id="rId12" w:history="1">
              <w:r w:rsidRPr="005414F3">
                <w:rPr>
                  <w:rStyle w:val="Hyperlink"/>
                  <w:rFonts w:ascii="Times New Roman" w:hAnsi="Times New Roman" w:cs="Times New Roman"/>
                  <w:b/>
                  <w:sz w:val="48"/>
                </w:rPr>
                <w:t>2418504@student.uwtsd.ac.uk</w:t>
              </w:r>
            </w:hyperlink>
            <w:r>
              <w:rPr>
                <w:rFonts w:ascii="Times New Roman" w:hAnsi="Times New Roman" w:cs="Times New Roman"/>
                <w:b/>
                <w:sz w:val="48"/>
              </w:rPr>
              <w:t xml:space="preserve"> </w:t>
            </w:r>
          </w:p>
          <w:p w14:paraId="4467FD87" w14:textId="77777777" w:rsidR="00BF521F" w:rsidRDefault="00BF521F" w:rsidP="00BF521F">
            <w:pPr>
              <w:ind w:right="-957"/>
              <w:rPr>
                <w:rFonts w:ascii="Times New Roman" w:hAnsi="Times New Roman" w:cs="Times New Roman"/>
                <w:b/>
                <w:sz w:val="48"/>
              </w:rPr>
            </w:pPr>
          </w:p>
          <w:p w14:paraId="3735313D" w14:textId="77777777" w:rsidR="00C559B7" w:rsidRDefault="00BF521F" w:rsidP="00BF521F">
            <w:pPr>
              <w:overflowPunct/>
              <w:autoSpaceDE/>
              <w:autoSpaceDN/>
              <w:adjustRightInd/>
              <w:ind w:right="-957"/>
              <w:textAlignment w:val="auto"/>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0DE696B2" w14:textId="0EAEB978" w:rsidR="00F927A1" w:rsidRPr="005D3F07" w:rsidRDefault="00BF521F" w:rsidP="00BF521F">
            <w:pPr>
              <w:overflowPunct/>
              <w:autoSpaceDE/>
              <w:autoSpaceDN/>
              <w:adjustRightInd/>
              <w:ind w:right="-957"/>
              <w:textAlignment w:val="auto"/>
              <w:rPr>
                <w:rFonts w:ascii="Times New Roman" w:hAnsi="Times New Roman" w:cs="Times New Roman"/>
                <w:b/>
                <w:color w:val="auto"/>
                <w:sz w:val="48"/>
              </w:rPr>
            </w:pPr>
            <w:bookmarkStart w:id="0" w:name="_GoBack"/>
            <w:bookmarkEnd w:id="0"/>
            <w:r>
              <w:rPr>
                <w:rFonts w:ascii="Times New Roman" w:hAnsi="Times New Roman" w:cs="Times New Roman"/>
                <w:b/>
                <w:sz w:val="48"/>
              </w:rPr>
              <w:t>2418504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327E15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E66992">
        <w:rPr>
          <w:sz w:val="24"/>
          <w:szCs w:val="24"/>
        </w:rPr>
        <w:t>18 August 2025</w:t>
      </w:r>
      <w:r w:rsidR="00C7108B">
        <w:rPr>
          <w:sz w:val="24"/>
          <w:szCs w:val="24"/>
        </w:rPr>
        <w:t xml:space="preserve">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481E" w:rsidRPr="008B28E7" w14:paraId="47F55CF7" w14:textId="77777777" w:rsidTr="00BF521F">
        <w:trPr>
          <w:trHeight w:val="745"/>
        </w:trPr>
        <w:tc>
          <w:tcPr>
            <w:tcW w:w="10278" w:type="dxa"/>
          </w:tcPr>
          <w:p w14:paraId="1842352C" w14:textId="3954036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03EF1578" w14:textId="39A34B0E" w:rsidR="003E797B" w:rsidRDefault="003E797B" w:rsidP="00D3203C">
            <w:pPr>
              <w:jc w:val="both"/>
              <w:rPr>
                <w:sz w:val="24"/>
                <w:szCs w:val="24"/>
              </w:rPr>
            </w:pPr>
          </w:p>
          <w:p w14:paraId="73FBF492" w14:textId="77777777" w:rsidR="00BF521F" w:rsidRPr="00BF521F" w:rsidRDefault="00BF521F" w:rsidP="00BF521F">
            <w:pPr>
              <w:spacing w:line="276" w:lineRule="auto"/>
              <w:jc w:val="both"/>
              <w:rPr>
                <w:color w:val="auto"/>
                <w:sz w:val="24"/>
                <w:szCs w:val="24"/>
              </w:rPr>
            </w:pPr>
            <w:r w:rsidRPr="00BF521F">
              <w:rPr>
                <w:color w:val="auto"/>
                <w:sz w:val="24"/>
                <w:szCs w:val="24"/>
              </w:rPr>
              <w:t xml:space="preserve">The purpose of the observation was to complete a review with an individual receiving care and support from a care agency, in line with the </w:t>
            </w:r>
            <w:r w:rsidRPr="00BF521F">
              <w:rPr>
                <w:i/>
                <w:color w:val="auto"/>
                <w:sz w:val="24"/>
                <w:szCs w:val="24"/>
              </w:rPr>
              <w:t>Social Services and Wellbeing (Wales) Act (SSWWA) 2014</w:t>
            </w:r>
            <w:r w:rsidRPr="00BF521F">
              <w:rPr>
                <w:color w:val="auto"/>
                <w:sz w:val="24"/>
                <w:szCs w:val="24"/>
              </w:rPr>
              <w:t xml:space="preserve">. The individual’s primary informal carer was also present for part of the review, no linguistic barrier was identified, both confidently and fluently speaking verbal English; their linguistic preference ascertained as part of the assessment. The review aimed to consider whether the care agency was supporting the individual in achieving the outcomes identified in their assessment under the aforementioned legislation.  </w:t>
            </w:r>
          </w:p>
          <w:p w14:paraId="1CE16EE5" w14:textId="77777777" w:rsidR="00BF521F" w:rsidRPr="00BF521F" w:rsidRDefault="00BF521F" w:rsidP="00BF521F">
            <w:pPr>
              <w:spacing w:line="276" w:lineRule="auto"/>
              <w:jc w:val="both"/>
              <w:rPr>
                <w:color w:val="auto"/>
                <w:sz w:val="24"/>
                <w:szCs w:val="24"/>
              </w:rPr>
            </w:pPr>
          </w:p>
          <w:p w14:paraId="23E284F2" w14:textId="6F6A9838" w:rsidR="00BF521F" w:rsidRPr="00BF521F" w:rsidRDefault="00BF521F" w:rsidP="00BF521F">
            <w:pPr>
              <w:spacing w:line="276" w:lineRule="auto"/>
              <w:jc w:val="both"/>
              <w:rPr>
                <w:rStyle w:val="Hyperlink"/>
                <w:color w:val="auto"/>
                <w:sz w:val="24"/>
                <w:szCs w:val="24"/>
                <w:u w:val="none"/>
              </w:rPr>
            </w:pPr>
            <w:r w:rsidRPr="00BF521F">
              <w:rPr>
                <w:color w:val="auto"/>
                <w:sz w:val="24"/>
                <w:szCs w:val="24"/>
              </w:rPr>
              <w:t xml:space="preserve">The Local Authority area reflects the broader Welsh demographic trend of an aging population, furthermore, the highest number of unpaid/informal carers in the country (Office for National Statistics, 2013; Redcliffe, 2021). The citizen was in the minority of the support group in my agency, being younger, in her 50s without cognitive impairment and had physical disabilities defined under the </w:t>
            </w:r>
            <w:r w:rsidRPr="00BF521F">
              <w:rPr>
                <w:i/>
                <w:color w:val="auto"/>
                <w:sz w:val="24"/>
                <w:szCs w:val="24"/>
              </w:rPr>
              <w:t>Equality Act 2010.</w:t>
            </w:r>
            <w:r w:rsidRPr="00BF521F">
              <w:rPr>
                <w:color w:val="auto"/>
                <w:sz w:val="24"/>
                <w:szCs w:val="24"/>
              </w:rPr>
              <w:t xml:space="preserve"> This presented challenges tailoring services that were meaningful to the individual’s needs; thereby maintaining anti-oppressive and anti-discriminatory practice (Beckett et al., 2017; Burke &amp; Harrison, 2009; Redcliffe, 2021). Furthermore, the area includes areas which are ranked among the most deprived areas in Wales, including in health and household income categories (</w:t>
            </w:r>
            <w:r w:rsidR="0051009D">
              <w:rPr>
                <w:rStyle w:val="Hyperlink"/>
                <w:color w:val="auto"/>
                <w:sz w:val="24"/>
                <w:szCs w:val="24"/>
                <w:u w:val="none"/>
              </w:rPr>
              <w:t>Welsh Government, 2019d</w:t>
            </w:r>
            <w:r w:rsidRPr="00BF521F">
              <w:rPr>
                <w:rStyle w:val="Hyperlink"/>
                <w:color w:val="auto"/>
                <w:sz w:val="24"/>
                <w:szCs w:val="24"/>
                <w:u w:val="none"/>
              </w:rPr>
              <w:t>).</w:t>
            </w:r>
          </w:p>
          <w:p w14:paraId="0F67FB0C" w14:textId="77777777" w:rsidR="00BF521F" w:rsidRPr="00BF521F" w:rsidRDefault="00BF521F" w:rsidP="00BF521F">
            <w:pPr>
              <w:spacing w:line="276" w:lineRule="auto"/>
              <w:jc w:val="both"/>
              <w:rPr>
                <w:color w:val="auto"/>
                <w:sz w:val="24"/>
                <w:szCs w:val="24"/>
              </w:rPr>
            </w:pPr>
          </w:p>
          <w:p w14:paraId="4412EDCA" w14:textId="77777777" w:rsidR="00BF521F" w:rsidRDefault="00BF521F" w:rsidP="00BF521F">
            <w:pPr>
              <w:spacing w:line="276" w:lineRule="auto"/>
              <w:rPr>
                <w:sz w:val="24"/>
              </w:rPr>
            </w:pPr>
            <w:r w:rsidRPr="00BF521F">
              <w:rPr>
                <w:color w:val="auto"/>
                <w:sz w:val="24"/>
                <w:szCs w:val="24"/>
              </w:rPr>
              <w:t xml:space="preserve">Prior to the observation, consent was obtained from both the individual and their informal carer via telephone and again in person at the time of the review. To seek to minimise the impact on the individual, a clear explanation of the observer’s role was provided, including reassurance that participation was voluntary and could be declined or ended at any time.  I reassured the individual the observer would be female, as she can be apprehensive around men, in addition to a description of the observer to support her to visualise them; which had worked well in the past. This ensured transparency and upheld the rights and dignity of the individual throughout the process (Beckett et al., 2017; </w:t>
            </w:r>
            <w:r w:rsidRPr="00BF521F">
              <w:rPr>
                <w:color w:val="auto"/>
                <w:sz w:val="24"/>
                <w:szCs w:val="24"/>
                <w:shd w:val="clear" w:color="auto" w:fill="FFFFFF"/>
              </w:rPr>
              <w:t xml:space="preserve">Howe, 2009; </w:t>
            </w:r>
            <w:r w:rsidRPr="00BF521F">
              <w:rPr>
                <w:color w:val="auto"/>
                <w:sz w:val="24"/>
                <w:szCs w:val="24"/>
              </w:rPr>
              <w:t xml:space="preserve">Social Care Wales (SCW), 2017). </w:t>
            </w:r>
          </w:p>
          <w:p w14:paraId="253928DD" w14:textId="77777777" w:rsidR="00BF521F" w:rsidRDefault="00BF521F" w:rsidP="00BF521F">
            <w:pPr>
              <w:rPr>
                <w:sz w:val="24"/>
              </w:rPr>
            </w:pPr>
          </w:p>
          <w:p w14:paraId="163B1C8B" w14:textId="6658B3F0" w:rsidR="009B7425" w:rsidRDefault="009B7425" w:rsidP="009B7425">
            <w:pPr>
              <w:jc w:val="both"/>
              <w:rPr>
                <w:rFonts w:asciiTheme="minorHAnsi" w:hAnsiTheme="minorHAnsi"/>
                <w:sz w:val="24"/>
              </w:rPr>
            </w:pPr>
          </w:p>
          <w:p w14:paraId="0E7949F5" w14:textId="5E16F626" w:rsidR="00BF521F" w:rsidRPr="00BF521F" w:rsidRDefault="00BF521F" w:rsidP="009B7425">
            <w:pPr>
              <w:jc w:val="both"/>
              <w:rPr>
                <w:sz w:val="24"/>
              </w:rPr>
            </w:pPr>
            <w:r w:rsidRPr="00BF521F">
              <w:rPr>
                <w:sz w:val="24"/>
              </w:rPr>
              <w:t xml:space="preserve">WORD COUNT: 330 </w:t>
            </w:r>
          </w:p>
          <w:p w14:paraId="6C5BC76C" w14:textId="77777777" w:rsidR="009B7425" w:rsidRDefault="009B7425" w:rsidP="009B7425">
            <w:pPr>
              <w:jc w:val="both"/>
              <w:rPr>
                <w:rFonts w:asciiTheme="minorHAnsi" w:hAnsiTheme="minorHAnsi"/>
                <w:sz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D57E03D" w14:textId="77777777" w:rsidR="00BF521F" w:rsidRDefault="00BF521F" w:rsidP="00243DB0">
            <w:pPr>
              <w:jc w:val="both"/>
              <w:rPr>
                <w:i/>
                <w:sz w:val="24"/>
                <w:szCs w:val="24"/>
              </w:rPr>
            </w:pPr>
          </w:p>
          <w:p w14:paraId="1F424BB8" w14:textId="77777777" w:rsidR="00BF521F" w:rsidRPr="00BF521F" w:rsidRDefault="00BF521F" w:rsidP="00BF521F">
            <w:pPr>
              <w:spacing w:line="276" w:lineRule="auto"/>
              <w:jc w:val="both"/>
              <w:rPr>
                <w:i/>
                <w:color w:val="auto"/>
                <w:sz w:val="24"/>
                <w:szCs w:val="24"/>
              </w:rPr>
            </w:pPr>
          </w:p>
          <w:p w14:paraId="67396D8D" w14:textId="77777777" w:rsidR="00BF521F" w:rsidRDefault="00BF521F" w:rsidP="00BF521F">
            <w:pPr>
              <w:spacing w:line="276" w:lineRule="auto"/>
              <w:rPr>
                <w:color w:val="auto"/>
                <w:sz w:val="24"/>
                <w:szCs w:val="24"/>
              </w:rPr>
            </w:pPr>
            <w:r w:rsidRPr="00BF521F">
              <w:rPr>
                <w:color w:val="auto"/>
                <w:sz w:val="24"/>
                <w:szCs w:val="24"/>
              </w:rPr>
              <w:t xml:space="preserve">To support my reflection, I will be using Dr. Greenway’s ‘Four F’s’ model, which provides a structured approach by focusing on facts, feelings, findings, and future (Making Business Matter, 2023; Vaida, Iepure and Greenaway, 2015; Greenaway, 1992-1993; University of Edinburgh, n.d). As outlined by these sources, this active reflection model is designed to encourage critical thinking about experience; its simple structure also supporting practitioners to work reflexively when collaborating with individuals. Therefore, I found it useful to aid in structuring the observation in addition to a tool to use to reflect on the observation; creating consistent reflection and identifying areas of learning. </w:t>
            </w:r>
          </w:p>
          <w:p w14:paraId="1CDEBD6D" w14:textId="77777777" w:rsidR="00BF521F" w:rsidRPr="00BF521F" w:rsidRDefault="00BF521F" w:rsidP="00BF521F">
            <w:pPr>
              <w:spacing w:line="276" w:lineRule="auto"/>
              <w:rPr>
                <w:color w:val="auto"/>
                <w:sz w:val="24"/>
                <w:szCs w:val="24"/>
              </w:rPr>
            </w:pPr>
          </w:p>
          <w:p w14:paraId="212CA021" w14:textId="10F0323D" w:rsidR="00BF521F" w:rsidRDefault="00BF521F" w:rsidP="00BF521F">
            <w:pPr>
              <w:spacing w:line="276" w:lineRule="auto"/>
              <w:rPr>
                <w:color w:val="auto"/>
                <w:sz w:val="24"/>
                <w:szCs w:val="24"/>
                <w:lang w:val="en-US"/>
              </w:rPr>
            </w:pPr>
            <w:r w:rsidRPr="00BF521F">
              <w:rPr>
                <w:color w:val="auto"/>
                <w:sz w:val="24"/>
                <w:szCs w:val="24"/>
                <w:lang w:val="en-US"/>
              </w:rPr>
              <w:t xml:space="preserve">I telephoned the citizen to schedule the visit and enquired the best times and locations for them and outlined </w:t>
            </w:r>
            <w:r w:rsidR="0079529B">
              <w:rPr>
                <w:color w:val="auto"/>
                <w:sz w:val="24"/>
                <w:szCs w:val="24"/>
                <w:lang w:val="en-US"/>
              </w:rPr>
              <w:t>the purpose of the observation;</w:t>
            </w:r>
            <w:r w:rsidRPr="00BF521F">
              <w:rPr>
                <w:color w:val="auto"/>
                <w:sz w:val="24"/>
                <w:szCs w:val="24"/>
                <w:lang w:val="en-US"/>
              </w:rPr>
              <w:t xml:space="preserve"> similar information was sought from the carer. I feel passionately that person cantred practice is essential beyond the formalized ‘time slot’ of any visit. As it is through actions perceived as ‘small’ such as scheduling a time, that social workers reflect the core principles of person cantred practice; respect, dignity, choice, control, individuality and involvement in decision making (</w:t>
            </w:r>
            <w:r w:rsidRPr="00BF521F">
              <w:rPr>
                <w:color w:val="auto"/>
                <w:sz w:val="24"/>
                <w:szCs w:val="24"/>
              </w:rPr>
              <w:t xml:space="preserve">Gardener, 2013; </w:t>
            </w:r>
            <w:r w:rsidRPr="00BF521F">
              <w:rPr>
                <w:color w:val="auto"/>
                <w:sz w:val="24"/>
                <w:szCs w:val="24"/>
                <w:shd w:val="clear" w:color="auto" w:fill="FFFFFF"/>
              </w:rPr>
              <w:t>Howe, 2009; Maclean and Harrison, 2015; Trevithick, 2005</w:t>
            </w:r>
            <w:r w:rsidRPr="00BF521F">
              <w:rPr>
                <w:color w:val="auto"/>
                <w:sz w:val="24"/>
                <w:szCs w:val="24"/>
                <w:lang w:val="en-US"/>
              </w:rPr>
              <w:t>). Through practicing a person cantred approach,  I reflected accountable social work practice through demonstrating  an understanding of the balance and impact of power upon relationships – in acknowledging that reviews needed to take place but could be done on the citizens terms (</w:t>
            </w:r>
            <w:r w:rsidRPr="00BF521F">
              <w:rPr>
                <w:color w:val="auto"/>
                <w:sz w:val="24"/>
                <w:szCs w:val="24"/>
                <w:shd w:val="clear" w:color="auto" w:fill="FFFFFF"/>
              </w:rPr>
              <w:t xml:space="preserve">Howe, 2009; </w:t>
            </w:r>
            <w:r w:rsidRPr="00BF521F">
              <w:rPr>
                <w:rFonts w:cs="Times New Roman"/>
                <w:color w:val="auto"/>
                <w:sz w:val="24"/>
                <w:szCs w:val="24"/>
              </w:rPr>
              <w:t>Washburn and Grossman, 2017</w:t>
            </w:r>
            <w:r w:rsidRPr="00BF521F">
              <w:rPr>
                <w:color w:val="auto"/>
                <w:sz w:val="24"/>
                <w:szCs w:val="24"/>
                <w:shd w:val="clear" w:color="auto" w:fill="FFFFFF"/>
              </w:rPr>
              <w:t>)</w:t>
            </w:r>
            <w:r w:rsidRPr="00BF521F">
              <w:rPr>
                <w:color w:val="auto"/>
                <w:sz w:val="24"/>
                <w:szCs w:val="24"/>
                <w:lang w:val="en-US"/>
              </w:rPr>
              <w:t xml:space="preserve">. Thus, I feel </w:t>
            </w:r>
            <w:r w:rsidR="0079529B">
              <w:rPr>
                <w:color w:val="auto"/>
                <w:sz w:val="24"/>
                <w:szCs w:val="24"/>
                <w:lang w:val="en-US"/>
              </w:rPr>
              <w:t xml:space="preserve">I </w:t>
            </w:r>
            <w:r w:rsidRPr="00BF521F">
              <w:rPr>
                <w:color w:val="auto"/>
                <w:sz w:val="24"/>
                <w:szCs w:val="24"/>
                <w:lang w:val="en-US"/>
              </w:rPr>
              <w:t>effectively using my professional role to empower the citizen to achieve their outcome and be involved in collaborating in their assessment, thus reflecting the aforementioned principles within the</w:t>
            </w:r>
            <w:r w:rsidRPr="00BF521F">
              <w:rPr>
                <w:i/>
                <w:color w:val="auto"/>
                <w:sz w:val="24"/>
                <w:szCs w:val="24"/>
                <w:lang w:val="en-US"/>
              </w:rPr>
              <w:t xml:space="preserve"> SSWWA 2014</w:t>
            </w:r>
            <w:r w:rsidRPr="00BF521F">
              <w:rPr>
                <w:color w:val="auto"/>
                <w:sz w:val="24"/>
                <w:szCs w:val="24"/>
                <w:lang w:val="en-US"/>
              </w:rPr>
              <w:t xml:space="preserve"> (SCW, 2017; 2011; </w:t>
            </w:r>
            <w:r w:rsidRPr="00BF521F">
              <w:rPr>
                <w:rFonts w:cs="Times New Roman"/>
                <w:color w:val="auto"/>
                <w:sz w:val="24"/>
                <w:szCs w:val="24"/>
              </w:rPr>
              <w:t>Washburn and Grossman, 2017</w:t>
            </w:r>
            <w:r w:rsidRPr="00BF521F">
              <w:rPr>
                <w:color w:val="auto"/>
                <w:sz w:val="24"/>
                <w:szCs w:val="24"/>
                <w:lang w:val="en-US"/>
              </w:rPr>
              <w:t xml:space="preserve">). </w:t>
            </w:r>
          </w:p>
          <w:p w14:paraId="2815C721" w14:textId="77777777" w:rsidR="00BF521F" w:rsidRPr="00BF521F" w:rsidRDefault="00BF521F" w:rsidP="00BF521F">
            <w:pPr>
              <w:spacing w:line="276" w:lineRule="auto"/>
              <w:rPr>
                <w:color w:val="auto"/>
                <w:sz w:val="24"/>
                <w:szCs w:val="24"/>
                <w:lang w:val="en-US"/>
              </w:rPr>
            </w:pPr>
          </w:p>
          <w:p w14:paraId="4807C6AA" w14:textId="070EA12D" w:rsidR="00BF521F" w:rsidRDefault="00BF521F" w:rsidP="00BF521F">
            <w:pPr>
              <w:spacing w:line="276" w:lineRule="auto"/>
              <w:rPr>
                <w:color w:val="auto"/>
                <w:sz w:val="24"/>
                <w:szCs w:val="24"/>
                <w:lang w:val="en-US"/>
              </w:rPr>
            </w:pPr>
            <w:r w:rsidRPr="00BF521F">
              <w:rPr>
                <w:color w:val="auto"/>
                <w:sz w:val="24"/>
                <w:szCs w:val="24"/>
                <w:lang w:val="en-US"/>
              </w:rPr>
              <w:t xml:space="preserve">I have built a positive rapport with the citizen and their </w:t>
            </w:r>
            <w:r w:rsidR="0079529B">
              <w:rPr>
                <w:color w:val="auto"/>
                <w:sz w:val="24"/>
                <w:szCs w:val="24"/>
                <w:lang w:val="en-US"/>
              </w:rPr>
              <w:t>informal</w:t>
            </w:r>
            <w:r w:rsidRPr="00BF521F">
              <w:rPr>
                <w:color w:val="auto"/>
                <w:sz w:val="24"/>
                <w:szCs w:val="24"/>
                <w:lang w:val="en-US"/>
              </w:rPr>
              <w:t xml:space="preserve"> carer whilst implementing care and support. However, I found it challenging to continue to avoid being ‘caught in the middle’; </w:t>
            </w:r>
            <w:r w:rsidRPr="00BF521F">
              <w:rPr>
                <w:color w:val="auto"/>
                <w:sz w:val="24"/>
                <w:szCs w:val="24"/>
                <w:lang w:val="en-US"/>
              </w:rPr>
              <w:lastRenderedPageBreak/>
              <w:t>when these two parties disagree. Although referring to work with young people, I have continued to value the ideas of Mcleod (2010), in supporting open dialogue through acknowledging the social work role; in this instance ensuring all are aware I am first and foremost the citizen’s social worker. However, as this is an ongoing issue, in the future I will seek to utilise the communication principles within the reciprocal model of communication / structure (</w:t>
            </w:r>
            <w:r w:rsidRPr="00BF521F">
              <w:rPr>
                <w:color w:val="auto"/>
                <w:sz w:val="24"/>
                <w:szCs w:val="24"/>
              </w:rPr>
              <w:t xml:space="preserve">Koprowska, 2020; </w:t>
            </w:r>
            <w:r w:rsidRPr="00BF521F">
              <w:rPr>
                <w:color w:val="auto"/>
                <w:sz w:val="24"/>
                <w:szCs w:val="24"/>
                <w:shd w:val="clear" w:color="auto" w:fill="FFFFFF"/>
              </w:rPr>
              <w:t>Maclean and Harrison, 2015</w:t>
            </w:r>
            <w:r w:rsidRPr="00BF521F">
              <w:rPr>
                <w:color w:val="auto"/>
                <w:sz w:val="24"/>
                <w:szCs w:val="24"/>
                <w:lang w:val="en-US"/>
              </w:rPr>
              <w:t>). As although referring to groupwork, its emphasis on collaboration; facilitating all parties, including professionals to seek to work together to resolve areas of disagreement would better facilitate an empowering discussion rather than oppressive disagreement (</w:t>
            </w:r>
            <w:r w:rsidRPr="00BF521F">
              <w:rPr>
                <w:color w:val="auto"/>
                <w:sz w:val="24"/>
                <w:szCs w:val="24"/>
              </w:rPr>
              <w:t xml:space="preserve">Koprowska, 2020; </w:t>
            </w:r>
            <w:r w:rsidRPr="00BF521F">
              <w:rPr>
                <w:color w:val="auto"/>
                <w:sz w:val="24"/>
                <w:szCs w:val="24"/>
                <w:shd w:val="clear" w:color="auto" w:fill="FFFFFF"/>
              </w:rPr>
              <w:t>Maclean and Harrison, 2015</w:t>
            </w:r>
            <w:r w:rsidRPr="00BF521F">
              <w:rPr>
                <w:color w:val="auto"/>
                <w:sz w:val="24"/>
                <w:szCs w:val="24"/>
                <w:lang w:val="en-US"/>
              </w:rPr>
              <w:t xml:space="preserve">).  Thus in turn facilitating partnership working with individuals, their carers and professionals whilst maintaining a ethical, person centred practice, with the views of the individual at its core (SCW, 2017).  </w:t>
            </w:r>
          </w:p>
          <w:p w14:paraId="6685103B" w14:textId="77777777" w:rsidR="00BF521F" w:rsidRPr="00BF521F" w:rsidRDefault="00BF521F" w:rsidP="00BF521F">
            <w:pPr>
              <w:spacing w:line="276" w:lineRule="auto"/>
              <w:rPr>
                <w:color w:val="auto"/>
                <w:sz w:val="24"/>
                <w:szCs w:val="24"/>
                <w:lang w:val="en-US"/>
              </w:rPr>
            </w:pPr>
          </w:p>
          <w:p w14:paraId="6D5D35D5" w14:textId="4CF9A831" w:rsidR="00BF521F" w:rsidRPr="00BF521F" w:rsidRDefault="00BF521F" w:rsidP="00BF521F">
            <w:pPr>
              <w:spacing w:line="276" w:lineRule="auto"/>
              <w:rPr>
                <w:color w:val="auto"/>
                <w:sz w:val="24"/>
                <w:szCs w:val="24"/>
                <w:lang w:val="en-US"/>
              </w:rPr>
            </w:pPr>
            <w:r w:rsidRPr="00BF521F">
              <w:rPr>
                <w:color w:val="auto"/>
                <w:sz w:val="24"/>
                <w:szCs w:val="24"/>
                <w:lang w:val="en-US"/>
              </w:rPr>
              <w:t>When the citizen discussed her direct payments, which were separate from the commissioned services under review, I was worried the review discussion would get derailed and lose focus, as it had in the past. However, I feel I have grown in confidence using closed questions when situations like this arise, using them to efficiently gather salient information, provide a framework for when this topic would be discussed, and mov</w:t>
            </w:r>
            <w:r w:rsidR="0079529B">
              <w:rPr>
                <w:color w:val="auto"/>
                <w:sz w:val="24"/>
                <w:szCs w:val="24"/>
                <w:lang w:val="en-US"/>
              </w:rPr>
              <w:t>ing</w:t>
            </w:r>
            <w:r w:rsidRPr="00BF521F">
              <w:rPr>
                <w:color w:val="auto"/>
                <w:sz w:val="24"/>
                <w:szCs w:val="24"/>
                <w:lang w:val="en-US"/>
              </w:rPr>
              <w:t xml:space="preserve"> on (</w:t>
            </w:r>
            <w:r w:rsidRPr="00BF521F">
              <w:rPr>
                <w:color w:val="auto"/>
                <w:sz w:val="24"/>
                <w:szCs w:val="24"/>
              </w:rPr>
              <w:t xml:space="preserve">Koprowska, 2020; </w:t>
            </w:r>
            <w:r w:rsidRPr="00BF521F">
              <w:rPr>
                <w:color w:val="auto"/>
                <w:sz w:val="24"/>
                <w:szCs w:val="24"/>
                <w:shd w:val="clear" w:color="auto" w:fill="FFFFFF"/>
              </w:rPr>
              <w:t>Trevithick, 2005</w:t>
            </w:r>
            <w:r w:rsidRPr="00BF521F">
              <w:rPr>
                <w:color w:val="auto"/>
                <w:sz w:val="24"/>
                <w:szCs w:val="24"/>
                <w:lang w:val="en-US"/>
              </w:rPr>
              <w:t>). I have been wary of using closed questions in the past, as they can, if used unethically, become oppressive and reduce the citizen’s voice (</w:t>
            </w:r>
            <w:r w:rsidRPr="00BF521F">
              <w:rPr>
                <w:color w:val="auto"/>
                <w:sz w:val="24"/>
                <w:szCs w:val="24"/>
                <w:shd w:val="clear" w:color="auto" w:fill="FFFFFF"/>
              </w:rPr>
              <w:t>Trevithick, 2005</w:t>
            </w:r>
            <w:r w:rsidRPr="00BF521F">
              <w:rPr>
                <w:color w:val="auto"/>
                <w:sz w:val="24"/>
                <w:szCs w:val="24"/>
                <w:lang w:val="en-US"/>
              </w:rPr>
              <w:t>). However, using this method allowed me to make a judgment and record information efficiently to work collaboratively with the citizen and demonstrate how this was a future discussion. By acknowledging this power imbalance actively, I was able to practice reflexively to maintain professional accountability, anti-oppressive, and anti-discriminatory practice (</w:t>
            </w:r>
            <w:r w:rsidRPr="00BF521F">
              <w:rPr>
                <w:color w:val="auto"/>
                <w:sz w:val="24"/>
                <w:szCs w:val="24"/>
              </w:rPr>
              <w:t>Bassot, 2020)</w:t>
            </w:r>
            <w:r w:rsidRPr="00BF521F">
              <w:rPr>
                <w:color w:val="auto"/>
                <w:sz w:val="24"/>
                <w:szCs w:val="24"/>
                <w:lang w:val="en-US"/>
              </w:rPr>
              <w:t>.</w:t>
            </w:r>
          </w:p>
          <w:p w14:paraId="20B63812" w14:textId="77777777" w:rsidR="0079529B" w:rsidRDefault="0079529B" w:rsidP="00BF521F">
            <w:pPr>
              <w:spacing w:line="276" w:lineRule="auto"/>
              <w:rPr>
                <w:color w:val="auto"/>
                <w:sz w:val="24"/>
                <w:szCs w:val="24"/>
              </w:rPr>
            </w:pPr>
          </w:p>
          <w:p w14:paraId="2BE7108F" w14:textId="77777777" w:rsidR="00BF521F" w:rsidRPr="00BF521F" w:rsidRDefault="00BF521F" w:rsidP="00BF521F">
            <w:pPr>
              <w:spacing w:line="276" w:lineRule="auto"/>
              <w:rPr>
                <w:color w:val="auto"/>
                <w:sz w:val="24"/>
                <w:szCs w:val="24"/>
              </w:rPr>
            </w:pPr>
            <w:r w:rsidRPr="00BF521F">
              <w:rPr>
                <w:color w:val="auto"/>
                <w:sz w:val="24"/>
                <w:szCs w:val="24"/>
              </w:rPr>
              <w:t xml:space="preserve">To ensure I had prepared effectively and was able to communicate effectively with the citizen and their carer, I had previously, as part of the assessment process, made the ‘Active Offer’ in accordance with the </w:t>
            </w:r>
            <w:r w:rsidRPr="00BF521F">
              <w:rPr>
                <w:i/>
                <w:color w:val="auto"/>
                <w:sz w:val="24"/>
                <w:szCs w:val="24"/>
              </w:rPr>
              <w:t>Welsh Language Measure 2011</w:t>
            </w:r>
            <w:r w:rsidRPr="00BF521F">
              <w:rPr>
                <w:color w:val="auto"/>
                <w:sz w:val="24"/>
                <w:szCs w:val="24"/>
              </w:rPr>
              <w:t xml:space="preserve"> and the ‘More than just words’ framework (Welsh Government, 2022). The individual did not wish to receive services in Welsh, therefore my intervention has been undertaken in English, their language of choice. Through demonstrating this awareness, I felt I demonstrated linguistic sensitivity to the individuals needs whilst also supporting them in participating in the review to express their strengths, needs and desired outcomes. </w:t>
            </w:r>
          </w:p>
          <w:p w14:paraId="5A73123E" w14:textId="77777777" w:rsidR="00BF521F" w:rsidRPr="00BF521F" w:rsidRDefault="00BF521F" w:rsidP="00BF521F">
            <w:pPr>
              <w:spacing w:line="276" w:lineRule="auto"/>
              <w:rPr>
                <w:color w:val="auto"/>
                <w:sz w:val="24"/>
                <w:szCs w:val="24"/>
              </w:rPr>
            </w:pPr>
          </w:p>
          <w:p w14:paraId="0B8FBBA1" w14:textId="0991BCF8" w:rsidR="00BF521F" w:rsidRDefault="00BF521F" w:rsidP="00BF521F">
            <w:pPr>
              <w:spacing w:line="276" w:lineRule="auto"/>
              <w:rPr>
                <w:color w:val="auto"/>
                <w:sz w:val="24"/>
                <w:szCs w:val="24"/>
                <w:lang w:val="en-US"/>
              </w:rPr>
            </w:pPr>
            <w:r w:rsidRPr="00BF521F">
              <w:rPr>
                <w:color w:val="auto"/>
                <w:sz w:val="24"/>
                <w:szCs w:val="24"/>
                <w:lang w:val="en-US"/>
              </w:rPr>
              <w:t>In the first 10 minutes, I felt a sense of lurking trepidation about the impact of introducing the observer as a new element to the review – that it would cause a loss of focus in the review which was time limited. To remedy this, I utilized verbal and nonverbal techniques outlined within motivational interviewing, including; mirroring physical posture, to convey ease but also assess the ease or unease of others present to ensure it remained appropriate for the observation to continue (</w:t>
            </w:r>
            <w:r w:rsidRPr="00BF521F">
              <w:rPr>
                <w:rStyle w:val="Hyperlink"/>
                <w:noProof/>
                <w:color w:val="auto"/>
                <w:sz w:val="24"/>
                <w:szCs w:val="24"/>
              </w:rPr>
              <w:t xml:space="preserve">Hall, Sears and Walton, 2020; </w:t>
            </w:r>
            <w:r w:rsidRPr="00BF521F">
              <w:rPr>
                <w:color w:val="auto"/>
                <w:sz w:val="24"/>
                <w:szCs w:val="24"/>
              </w:rPr>
              <w:t xml:space="preserve">Miller and Rollnick, 2002; Teater, </w:t>
            </w:r>
            <w:r w:rsidRPr="00BF521F">
              <w:rPr>
                <w:color w:val="auto"/>
                <w:sz w:val="24"/>
                <w:szCs w:val="24"/>
              </w:rPr>
              <w:lastRenderedPageBreak/>
              <w:t>2013; Watson, 2011</w:t>
            </w:r>
            <w:r w:rsidRPr="00BF521F">
              <w:rPr>
                <w:color w:val="auto"/>
                <w:sz w:val="24"/>
                <w:szCs w:val="24"/>
                <w:lang w:val="en-US"/>
              </w:rPr>
              <w:t>). By using non-verbal communication techniques I felt I was able to more subtly gather the information required to make a decision to continue with the presence of the observer – confirming their impact was limited on the discourse.  I have practiced the use of such techniques over the course of my role, finding them effective in supporting a person cantred practice through increasingly my adaptability and ability to practice reflexively whilst completing interventions with individuals (</w:t>
            </w:r>
            <w:r w:rsidRPr="00BF521F">
              <w:rPr>
                <w:color w:val="auto"/>
                <w:sz w:val="24"/>
                <w:szCs w:val="24"/>
              </w:rPr>
              <w:t>Watson, 2011</w:t>
            </w:r>
            <w:r w:rsidRPr="00BF521F">
              <w:rPr>
                <w:color w:val="auto"/>
                <w:sz w:val="24"/>
                <w:szCs w:val="24"/>
                <w:lang w:val="en-US"/>
              </w:rPr>
              <w:t xml:space="preserve">). This is a technique I would continue to utilise in the future. </w:t>
            </w:r>
          </w:p>
          <w:p w14:paraId="19CCA012" w14:textId="77777777" w:rsidR="00BF521F" w:rsidRPr="00BF521F" w:rsidRDefault="00BF521F" w:rsidP="00BF521F">
            <w:pPr>
              <w:spacing w:line="276" w:lineRule="auto"/>
              <w:rPr>
                <w:color w:val="auto"/>
                <w:sz w:val="24"/>
                <w:szCs w:val="24"/>
                <w:lang w:val="en-US"/>
              </w:rPr>
            </w:pPr>
          </w:p>
          <w:p w14:paraId="241DC091" w14:textId="120C3FE8" w:rsidR="00BF521F" w:rsidRPr="00BF521F" w:rsidRDefault="00BF521F" w:rsidP="00BF521F">
            <w:pPr>
              <w:spacing w:line="276" w:lineRule="auto"/>
              <w:rPr>
                <w:color w:val="auto"/>
                <w:sz w:val="24"/>
                <w:szCs w:val="24"/>
              </w:rPr>
            </w:pPr>
            <w:r w:rsidRPr="00BF521F">
              <w:rPr>
                <w:color w:val="auto"/>
                <w:sz w:val="24"/>
                <w:szCs w:val="24"/>
                <w:lang w:val="en-US"/>
              </w:rPr>
              <w:t>At times, th</w:t>
            </w:r>
            <w:r w:rsidR="0079529B">
              <w:rPr>
                <w:color w:val="auto"/>
                <w:sz w:val="24"/>
                <w:szCs w:val="24"/>
                <w:lang w:val="en-US"/>
              </w:rPr>
              <w:t>e care agency manager and I</w:t>
            </w:r>
            <w:r w:rsidRPr="00BF521F">
              <w:rPr>
                <w:color w:val="auto"/>
                <w:sz w:val="24"/>
                <w:szCs w:val="24"/>
                <w:lang w:val="en-US"/>
              </w:rPr>
              <w:t xml:space="preserve"> become frustrated at the passive tone of the citizen</w:t>
            </w:r>
            <w:r w:rsidR="0079529B">
              <w:rPr>
                <w:color w:val="auto"/>
                <w:sz w:val="24"/>
                <w:szCs w:val="24"/>
                <w:lang w:val="en-US"/>
              </w:rPr>
              <w:t>,</w:t>
            </w:r>
            <w:r w:rsidRPr="00BF521F">
              <w:rPr>
                <w:color w:val="auto"/>
                <w:sz w:val="24"/>
                <w:szCs w:val="24"/>
                <w:lang w:val="en-US"/>
              </w:rPr>
              <w:t xml:space="preserve"> who struggled to actively take responsibility for their role in achieving their outcomes. I tried utilising transactional analysis theory, a </w:t>
            </w:r>
            <w:r w:rsidRPr="00BF521F">
              <w:rPr>
                <w:color w:val="auto"/>
                <w:sz w:val="24"/>
                <w:szCs w:val="24"/>
              </w:rPr>
              <w:t xml:space="preserve">theory of communication that can be effectively used to support individuals in reflecting logically on the care they receive (Cornell. et al., 2016; </w:t>
            </w:r>
            <w:r w:rsidRPr="00BF521F">
              <w:rPr>
                <w:color w:val="auto"/>
                <w:sz w:val="24"/>
                <w:szCs w:val="24"/>
                <w:shd w:val="clear" w:color="auto" w:fill="FFFFFF"/>
              </w:rPr>
              <w:t xml:space="preserve">Maclean and Harrison, 2015; </w:t>
            </w:r>
            <w:r w:rsidRPr="00BF521F">
              <w:rPr>
                <w:color w:val="auto"/>
                <w:sz w:val="24"/>
                <w:szCs w:val="24"/>
              </w:rPr>
              <w:t xml:space="preserve">Mitra, 2017; </w:t>
            </w:r>
            <w:r w:rsidRPr="00BF521F">
              <w:rPr>
                <w:noProof/>
                <w:color w:val="auto"/>
                <w:sz w:val="24"/>
                <w:szCs w:val="24"/>
              </w:rPr>
              <w:t>Pitman, 1982; Solomon, 2003</w:t>
            </w:r>
            <w:r w:rsidRPr="00BF521F">
              <w:rPr>
                <w:color w:val="auto"/>
                <w:sz w:val="24"/>
                <w:szCs w:val="24"/>
              </w:rPr>
              <w:t>). These sources note, its intention being to seek to redirect discussion to facilitate the citizen adopting an ‘adult ego state’ thereby allowing them to engage in rational, calm, and evidence-based dialogue. However, it was limited in its success; nonetheless, I found the experience a valuable reminder in social work values and ethics that my role was not to ‘fix’ but to seek to facilitate change. That on this occasion, the citizen was in contemplation, not preparation within the cycle of change (</w:t>
            </w:r>
            <w:r w:rsidRPr="00BF521F">
              <w:rPr>
                <w:noProof/>
                <w:color w:val="auto"/>
                <w:sz w:val="24"/>
                <w:szCs w:val="24"/>
              </w:rPr>
              <w:t xml:space="preserve">Davidson, 2002; Prochaska and DiClemente, 1983; </w:t>
            </w:r>
            <w:r w:rsidRPr="00BF521F">
              <w:rPr>
                <w:color w:val="auto"/>
                <w:sz w:val="24"/>
                <w:szCs w:val="24"/>
                <w:shd w:val="clear" w:color="auto" w:fill="FFFFFF"/>
              </w:rPr>
              <w:t>Trevithick, 2005</w:t>
            </w:r>
            <w:r w:rsidRPr="00BF521F">
              <w:rPr>
                <w:color w:val="auto"/>
                <w:sz w:val="24"/>
                <w:szCs w:val="24"/>
              </w:rPr>
              <w:t xml:space="preserve">). Therefore, although this remains an ongoing issue, through trying different communication theories and collaborating with the individual, I believe that I will be more prepared to facilitate change and the citizen achieving their outcomes when their ready. </w:t>
            </w:r>
          </w:p>
          <w:p w14:paraId="2A9EBF4F" w14:textId="77777777" w:rsidR="00BF521F" w:rsidRPr="00BF521F" w:rsidRDefault="00BF521F" w:rsidP="00BF521F">
            <w:pPr>
              <w:spacing w:line="276" w:lineRule="auto"/>
              <w:rPr>
                <w:color w:val="auto"/>
                <w:sz w:val="24"/>
                <w:szCs w:val="24"/>
                <w:lang w:val="en-US"/>
              </w:rPr>
            </w:pPr>
          </w:p>
          <w:p w14:paraId="271DFBF0" w14:textId="17BA4EF5" w:rsidR="00BF521F" w:rsidRPr="00BF521F" w:rsidRDefault="00BF521F" w:rsidP="00BF521F">
            <w:pPr>
              <w:spacing w:line="276" w:lineRule="auto"/>
              <w:rPr>
                <w:color w:val="auto"/>
                <w:sz w:val="24"/>
                <w:szCs w:val="24"/>
                <w:lang w:val="en-US"/>
              </w:rPr>
            </w:pPr>
            <w:r w:rsidRPr="00BF521F">
              <w:rPr>
                <w:color w:val="auto"/>
                <w:sz w:val="24"/>
                <w:szCs w:val="24"/>
              </w:rPr>
              <w:t>The</w:t>
            </w:r>
            <w:r w:rsidRPr="00BF521F">
              <w:rPr>
                <w:i/>
                <w:color w:val="auto"/>
                <w:sz w:val="24"/>
                <w:szCs w:val="24"/>
              </w:rPr>
              <w:t xml:space="preserve"> SSWWA 2014 </w:t>
            </w:r>
            <w:r w:rsidRPr="00BF521F">
              <w:rPr>
                <w:color w:val="auto"/>
                <w:sz w:val="24"/>
                <w:szCs w:val="24"/>
              </w:rPr>
              <w:t>and SCW (2017) Code of Professional Practice emphasizes the importance of collaboration to meet individual outcomes and promote ethical practice. However, although all parties were present, a challenge I found was how to reflect these values when the procedural reality was that I was the final decision maker regarding the package’s effectiveness.  Although confined to hospital social work Fantus et al. (2017) reflects the wider discourse that a clash of different ethics can be a source of moral distress and a barrier to critical reflection. In this instance, the balance of care and control, while promoting choice—a key ethical dilemma in social work—was at the forefront of my mind (Banks, 2021; B</w:t>
            </w:r>
            <w:r w:rsidR="0079529B">
              <w:rPr>
                <w:color w:val="auto"/>
                <w:sz w:val="24"/>
                <w:szCs w:val="24"/>
              </w:rPr>
              <w:t>ecket, Maynard and Jordan, 2017</w:t>
            </w:r>
            <w:r w:rsidRPr="00BF521F">
              <w:rPr>
                <w:color w:val="auto"/>
                <w:sz w:val="24"/>
                <w:szCs w:val="24"/>
              </w:rPr>
              <w:t>). During the visit, I confronted the power imbalance openly by defining my role, which I believe promoted anti-oppressive and anti-discriminatory practice. However, as this remains an ongoing challenge and at times a source of moral distress, I continue to find discussing this in supervision helpful. Thus, although an area of development, during this intervention I demonstrated critical reflection on a collaborative intervention, making professional judgments in accordance with practice guidance and its legislative framework.</w:t>
            </w:r>
          </w:p>
          <w:p w14:paraId="4456EF8B" w14:textId="77777777" w:rsidR="00BF521F" w:rsidRPr="00BF521F" w:rsidRDefault="00BF521F" w:rsidP="00BF521F">
            <w:pPr>
              <w:spacing w:line="276" w:lineRule="auto"/>
              <w:rPr>
                <w:color w:val="auto"/>
                <w:sz w:val="24"/>
                <w:szCs w:val="24"/>
                <w:lang w:val="en-US"/>
              </w:rPr>
            </w:pPr>
            <w:r w:rsidRPr="00BF521F">
              <w:rPr>
                <w:color w:val="auto"/>
                <w:sz w:val="24"/>
                <w:szCs w:val="24"/>
                <w:lang w:val="en-US"/>
              </w:rPr>
              <w:t xml:space="preserve"> </w:t>
            </w:r>
          </w:p>
          <w:p w14:paraId="4D5F973A" w14:textId="5A2596F3" w:rsidR="00BF521F" w:rsidRPr="00BF521F" w:rsidRDefault="00BF521F" w:rsidP="00BF521F">
            <w:pPr>
              <w:spacing w:line="276" w:lineRule="auto"/>
              <w:jc w:val="both"/>
              <w:rPr>
                <w:sz w:val="24"/>
                <w:szCs w:val="24"/>
              </w:rPr>
            </w:pPr>
            <w:r w:rsidRPr="00BF521F">
              <w:rPr>
                <w:color w:val="auto"/>
                <w:sz w:val="24"/>
                <w:szCs w:val="24"/>
                <w:lang w:val="en-US"/>
              </w:rPr>
              <w:t xml:space="preserve">On the whole, I found the intervention to be successful in gathering the required information </w:t>
            </w:r>
            <w:r w:rsidRPr="00BF521F">
              <w:rPr>
                <w:color w:val="auto"/>
                <w:sz w:val="24"/>
                <w:szCs w:val="24"/>
                <w:lang w:val="en-US"/>
              </w:rPr>
              <w:lastRenderedPageBreak/>
              <w:t>for the review. I believe I utilized communication skills in a person cantred manner which reflected awareness of the wider context of social work practice in Wales. Thus promoting an ethically accountable intervention with citizens, reflecting the Code of Professional Practice (SCW, 2017).</w:t>
            </w:r>
          </w:p>
          <w:p w14:paraId="6F1CBBE5" w14:textId="77777777" w:rsidR="002F2185" w:rsidRDefault="002F2185" w:rsidP="00243DB0">
            <w:pPr>
              <w:jc w:val="both"/>
              <w:rPr>
                <w:sz w:val="24"/>
                <w:szCs w:val="24"/>
              </w:rPr>
            </w:pPr>
          </w:p>
          <w:p w14:paraId="3C61354E" w14:textId="77777777" w:rsidR="00BF521F" w:rsidRDefault="00BF521F" w:rsidP="00243DB0">
            <w:pPr>
              <w:jc w:val="both"/>
              <w:rPr>
                <w:sz w:val="24"/>
                <w:szCs w:val="24"/>
              </w:rPr>
            </w:pPr>
          </w:p>
          <w:p w14:paraId="32CFD395" w14:textId="4E63553A" w:rsidR="00BF521F" w:rsidRPr="008B28E7" w:rsidRDefault="00BF521F" w:rsidP="00243DB0">
            <w:pPr>
              <w:jc w:val="both"/>
              <w:rPr>
                <w:sz w:val="24"/>
                <w:szCs w:val="24"/>
              </w:rPr>
            </w:pPr>
            <w:r>
              <w:rPr>
                <w:sz w:val="24"/>
                <w:szCs w:val="24"/>
              </w:rPr>
              <w:t>WORD COUNT: 1347</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5CC589C0" w:rsidR="00CA3593" w:rsidRPr="008B28E7" w:rsidRDefault="00E66992" w:rsidP="00FF7EBB">
            <w:pPr>
              <w:jc w:val="both"/>
              <w:rPr>
                <w:sz w:val="24"/>
                <w:szCs w:val="24"/>
              </w:rPr>
            </w:pPr>
            <w:r>
              <w:rPr>
                <w:sz w:val="24"/>
                <w:szCs w:val="24"/>
              </w:rPr>
              <w:t>“Yes, she was on time. I am sorry that I could not answer the door and you had to wait”</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60F3EC8F" w:rsidR="00CA3593" w:rsidRPr="008B28E7" w:rsidRDefault="00E66992" w:rsidP="00FF7EBB">
            <w:pPr>
              <w:jc w:val="both"/>
              <w:rPr>
                <w:sz w:val="24"/>
                <w:szCs w:val="24"/>
              </w:rPr>
            </w:pPr>
            <w:r>
              <w:rPr>
                <w:sz w:val="24"/>
                <w:szCs w:val="24"/>
              </w:rPr>
              <w:t>“Yes, she asked me and told me that you were observing her.” The individual went on to explain that she had been told that the observation was part of the learner’s progression as a Social Worker and she was “happy to help”.</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 xml:space="preserve">Were you clear why the </w:t>
            </w:r>
            <w:r w:rsidRPr="00C7108B">
              <w:rPr>
                <w:sz w:val="22"/>
                <w:szCs w:val="22"/>
              </w:rPr>
              <w:lastRenderedPageBreak/>
              <w:t>social worker met with you today?</w:t>
            </w:r>
          </w:p>
          <w:p w14:paraId="46856B8A" w14:textId="77777777" w:rsidR="006108C9" w:rsidRPr="00C7108B" w:rsidRDefault="006108C9" w:rsidP="006108C9">
            <w:pPr>
              <w:rPr>
                <w:sz w:val="22"/>
                <w:szCs w:val="22"/>
              </w:rPr>
            </w:pPr>
          </w:p>
        </w:tc>
        <w:tc>
          <w:tcPr>
            <w:tcW w:w="7470" w:type="dxa"/>
          </w:tcPr>
          <w:p w14:paraId="077B6E9E" w14:textId="421F1D1A" w:rsidR="00CA3593" w:rsidRPr="008B28E7" w:rsidRDefault="00E66992" w:rsidP="00FF7EBB">
            <w:pPr>
              <w:jc w:val="both"/>
              <w:rPr>
                <w:sz w:val="24"/>
                <w:szCs w:val="24"/>
              </w:rPr>
            </w:pPr>
            <w:r>
              <w:rPr>
                <w:sz w:val="24"/>
                <w:szCs w:val="24"/>
              </w:rPr>
              <w:lastRenderedPageBreak/>
              <w:t xml:space="preserve">“Yes, she told me that she wanted to meet with me and the care </w:t>
            </w:r>
            <w:r>
              <w:rPr>
                <w:sz w:val="24"/>
                <w:szCs w:val="24"/>
              </w:rPr>
              <w:lastRenderedPageBreak/>
              <w:t>agency to see how things are going and how I am progressing”.</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lastRenderedPageBreak/>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689CFE9C" w:rsidR="00CA3593" w:rsidRPr="008B28E7" w:rsidRDefault="00E66992" w:rsidP="00FF7EBB">
            <w:pPr>
              <w:jc w:val="both"/>
              <w:rPr>
                <w:sz w:val="24"/>
                <w:szCs w:val="24"/>
              </w:rPr>
            </w:pPr>
            <w:r>
              <w:rPr>
                <w:sz w:val="24"/>
                <w:szCs w:val="24"/>
              </w:rPr>
              <w:t xml:space="preserve">“Very well prepared. She is always is. She understands what is going on”.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50125ABB" w:rsidR="00CA3593" w:rsidRPr="008B28E7" w:rsidRDefault="00E66992" w:rsidP="00FF7EBB">
            <w:pPr>
              <w:jc w:val="both"/>
              <w:rPr>
                <w:sz w:val="24"/>
                <w:szCs w:val="24"/>
              </w:rPr>
            </w:pPr>
            <w:r>
              <w:rPr>
                <w:sz w:val="24"/>
                <w:szCs w:val="24"/>
              </w:rPr>
              <w:t xml:space="preserve">“Yes. Definitely. She is easy to talk to and very nice. I can talk to her about how sad I am about mam and how it affects me. Her getting me the agency is a positive”. The individual then explained that she is feeling positive about the future and meeting her identified outcomes because of the learner’s involvement and her approach.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2E0FE04" w:rsidR="00A12F22" w:rsidRPr="008B28E7" w:rsidRDefault="00E66992" w:rsidP="00FF7EBB">
            <w:pPr>
              <w:jc w:val="both"/>
              <w:rPr>
                <w:sz w:val="24"/>
                <w:szCs w:val="24"/>
              </w:rPr>
            </w:pPr>
            <w:r>
              <w:rPr>
                <w:sz w:val="24"/>
                <w:szCs w:val="24"/>
              </w:rPr>
              <w:t xml:space="preserve">“Yes”. At the observation, the individual asked the learner to explain the role of a health team that the learner requested permission to refer to. The learner explained and the individual said that they understood. The individual commented that she felt comfortable asking the learner for clarification if needed.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E8A8719" w:rsidR="00D0503D" w:rsidRPr="008B28E7" w:rsidRDefault="00276675" w:rsidP="00D0503D">
            <w:pPr>
              <w:jc w:val="both"/>
              <w:rPr>
                <w:sz w:val="24"/>
                <w:szCs w:val="24"/>
              </w:rPr>
            </w:pPr>
            <w:r>
              <w:rPr>
                <w:sz w:val="24"/>
                <w:szCs w:val="24"/>
              </w:rPr>
              <w:t xml:space="preserve">“Yes.” The individual explained that she can trust the learner to follow up and “get things sorted out”.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2E209701" w:rsidR="00D0503D" w:rsidRPr="008B28E7" w:rsidRDefault="00276675" w:rsidP="00D0503D">
            <w:pPr>
              <w:jc w:val="both"/>
              <w:rPr>
                <w:sz w:val="24"/>
                <w:szCs w:val="24"/>
              </w:rPr>
            </w:pPr>
            <w:r>
              <w:rPr>
                <w:sz w:val="24"/>
                <w:szCs w:val="24"/>
              </w:rPr>
              <w:t xml:space="preserve">The individual’s carer commented that the learner has “so much patience” and that she “can’t speak highly enough” of the learner because “everything she has said she is going to do, she’s done it”.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FF622" w14:textId="77777777" w:rsidR="00C815DF" w:rsidRDefault="00C815DF">
      <w:r>
        <w:separator/>
      </w:r>
    </w:p>
  </w:endnote>
  <w:endnote w:type="continuationSeparator" w:id="0">
    <w:p w14:paraId="0B87143B" w14:textId="77777777" w:rsidR="00C815DF" w:rsidRDefault="00C81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DengXian Light">
    <w:altName w:val="Arial Unicode MS"/>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3DEAF" w14:textId="311829FB" w:rsidR="00A5656A" w:rsidRDefault="00A5656A">
    <w:pPr>
      <w:pStyle w:val="Footer"/>
      <w:jc w:val="right"/>
    </w:pPr>
    <w:r>
      <w:fldChar w:fldCharType="begin"/>
    </w:r>
    <w:r>
      <w:instrText xml:space="preserve"> PAGE   \* MERGEFORMAT </w:instrText>
    </w:r>
    <w:r>
      <w:fldChar w:fldCharType="separate"/>
    </w:r>
    <w:r w:rsidR="00C559B7">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E2E4A" w14:textId="77777777" w:rsidR="00C815DF" w:rsidRDefault="00C815DF">
      <w:r>
        <w:separator/>
      </w:r>
    </w:p>
  </w:footnote>
  <w:footnote w:type="continuationSeparator" w:id="0">
    <w:p w14:paraId="5AB763CC" w14:textId="77777777" w:rsidR="00C815DF" w:rsidRDefault="00C81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3D3962CA"/>
    <w:multiLevelType w:val="hybridMultilevel"/>
    <w:tmpl w:val="495E18D2"/>
    <w:lvl w:ilvl="0" w:tplc="AA78491A">
      <w:start w:val="1"/>
      <w:numFmt w:val="bullet"/>
      <w:lvlText w:val="•"/>
      <w:lvlJc w:val="left"/>
      <w:pPr>
        <w:tabs>
          <w:tab w:val="num" w:pos="720"/>
        </w:tabs>
        <w:ind w:left="720" w:hanging="360"/>
      </w:pPr>
      <w:rPr>
        <w:rFonts w:ascii="Arial" w:hAnsi="Arial" w:hint="default"/>
      </w:rPr>
    </w:lvl>
    <w:lvl w:ilvl="1" w:tplc="BCCEAF48" w:tentative="1">
      <w:start w:val="1"/>
      <w:numFmt w:val="bullet"/>
      <w:lvlText w:val="•"/>
      <w:lvlJc w:val="left"/>
      <w:pPr>
        <w:tabs>
          <w:tab w:val="num" w:pos="1440"/>
        </w:tabs>
        <w:ind w:left="1440" w:hanging="360"/>
      </w:pPr>
      <w:rPr>
        <w:rFonts w:ascii="Arial" w:hAnsi="Arial" w:hint="default"/>
      </w:rPr>
    </w:lvl>
    <w:lvl w:ilvl="2" w:tplc="13C85454" w:tentative="1">
      <w:start w:val="1"/>
      <w:numFmt w:val="bullet"/>
      <w:lvlText w:val="•"/>
      <w:lvlJc w:val="left"/>
      <w:pPr>
        <w:tabs>
          <w:tab w:val="num" w:pos="2160"/>
        </w:tabs>
        <w:ind w:left="2160" w:hanging="360"/>
      </w:pPr>
      <w:rPr>
        <w:rFonts w:ascii="Arial" w:hAnsi="Arial" w:hint="default"/>
      </w:rPr>
    </w:lvl>
    <w:lvl w:ilvl="3" w:tplc="6BF4D5CA" w:tentative="1">
      <w:start w:val="1"/>
      <w:numFmt w:val="bullet"/>
      <w:lvlText w:val="•"/>
      <w:lvlJc w:val="left"/>
      <w:pPr>
        <w:tabs>
          <w:tab w:val="num" w:pos="2880"/>
        </w:tabs>
        <w:ind w:left="2880" w:hanging="360"/>
      </w:pPr>
      <w:rPr>
        <w:rFonts w:ascii="Arial" w:hAnsi="Arial" w:hint="default"/>
      </w:rPr>
    </w:lvl>
    <w:lvl w:ilvl="4" w:tplc="516C1DFC" w:tentative="1">
      <w:start w:val="1"/>
      <w:numFmt w:val="bullet"/>
      <w:lvlText w:val="•"/>
      <w:lvlJc w:val="left"/>
      <w:pPr>
        <w:tabs>
          <w:tab w:val="num" w:pos="3600"/>
        </w:tabs>
        <w:ind w:left="3600" w:hanging="360"/>
      </w:pPr>
      <w:rPr>
        <w:rFonts w:ascii="Arial" w:hAnsi="Arial" w:hint="default"/>
      </w:rPr>
    </w:lvl>
    <w:lvl w:ilvl="5" w:tplc="9306CAC2" w:tentative="1">
      <w:start w:val="1"/>
      <w:numFmt w:val="bullet"/>
      <w:lvlText w:val="•"/>
      <w:lvlJc w:val="left"/>
      <w:pPr>
        <w:tabs>
          <w:tab w:val="num" w:pos="4320"/>
        </w:tabs>
        <w:ind w:left="4320" w:hanging="360"/>
      </w:pPr>
      <w:rPr>
        <w:rFonts w:ascii="Arial" w:hAnsi="Arial" w:hint="default"/>
      </w:rPr>
    </w:lvl>
    <w:lvl w:ilvl="6" w:tplc="195640C4" w:tentative="1">
      <w:start w:val="1"/>
      <w:numFmt w:val="bullet"/>
      <w:lvlText w:val="•"/>
      <w:lvlJc w:val="left"/>
      <w:pPr>
        <w:tabs>
          <w:tab w:val="num" w:pos="5040"/>
        </w:tabs>
        <w:ind w:left="5040" w:hanging="360"/>
      </w:pPr>
      <w:rPr>
        <w:rFonts w:ascii="Arial" w:hAnsi="Arial" w:hint="default"/>
      </w:rPr>
    </w:lvl>
    <w:lvl w:ilvl="7" w:tplc="063C9116" w:tentative="1">
      <w:start w:val="1"/>
      <w:numFmt w:val="bullet"/>
      <w:lvlText w:val="•"/>
      <w:lvlJc w:val="left"/>
      <w:pPr>
        <w:tabs>
          <w:tab w:val="num" w:pos="5760"/>
        </w:tabs>
        <w:ind w:left="5760" w:hanging="360"/>
      </w:pPr>
      <w:rPr>
        <w:rFonts w:ascii="Arial" w:hAnsi="Arial" w:hint="default"/>
      </w:rPr>
    </w:lvl>
    <w:lvl w:ilvl="8" w:tplc="9056C29A" w:tentative="1">
      <w:start w:val="1"/>
      <w:numFmt w:val="bullet"/>
      <w:lvlText w:val="•"/>
      <w:lvlJc w:val="left"/>
      <w:pPr>
        <w:tabs>
          <w:tab w:val="num" w:pos="6480"/>
        </w:tabs>
        <w:ind w:left="6480" w:hanging="360"/>
      </w:pPr>
      <w:rPr>
        <w:rFonts w:ascii="Arial" w:hAnsi="Arial" w:hint="default"/>
      </w:rPr>
    </w:lvl>
  </w:abstractNum>
  <w:abstractNum w:abstractNumId="28">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4"/>
  </w:num>
  <w:num w:numId="52">
    <w:abstractNumId w:val="21"/>
  </w:num>
  <w:num w:numId="53">
    <w:abstractNumId w:val="2"/>
  </w:num>
  <w:num w:numId="54">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391E"/>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6675"/>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141F"/>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97B"/>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747"/>
    <w:rsid w:val="005042F1"/>
    <w:rsid w:val="0050481B"/>
    <w:rsid w:val="0051009D"/>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15D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D22"/>
    <w:rsid w:val="006F5ED3"/>
    <w:rsid w:val="00700249"/>
    <w:rsid w:val="007069CD"/>
    <w:rsid w:val="00706BB5"/>
    <w:rsid w:val="0071231A"/>
    <w:rsid w:val="00712E90"/>
    <w:rsid w:val="00713B7E"/>
    <w:rsid w:val="0072678F"/>
    <w:rsid w:val="007269B4"/>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AA0"/>
    <w:rsid w:val="007710AD"/>
    <w:rsid w:val="00772924"/>
    <w:rsid w:val="0078112D"/>
    <w:rsid w:val="007872F2"/>
    <w:rsid w:val="007873F9"/>
    <w:rsid w:val="007908E0"/>
    <w:rsid w:val="00793EB3"/>
    <w:rsid w:val="00794205"/>
    <w:rsid w:val="0079422A"/>
    <w:rsid w:val="0079529B"/>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21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B7425"/>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521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9B7"/>
    <w:rsid w:val="00C55E9B"/>
    <w:rsid w:val="00C56D09"/>
    <w:rsid w:val="00C57D24"/>
    <w:rsid w:val="00C604D6"/>
    <w:rsid w:val="00C63CAB"/>
    <w:rsid w:val="00C63D00"/>
    <w:rsid w:val="00C6441B"/>
    <w:rsid w:val="00C65921"/>
    <w:rsid w:val="00C7108B"/>
    <w:rsid w:val="00C75883"/>
    <w:rsid w:val="00C77FA5"/>
    <w:rsid w:val="00C8089F"/>
    <w:rsid w:val="00C815D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699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0F1A"/>
    <w:rsid w:val="00F22AC5"/>
    <w:rsid w:val="00F254D1"/>
    <w:rsid w:val="00F32B82"/>
    <w:rsid w:val="00F34C86"/>
    <w:rsid w:val="00F4043E"/>
    <w:rsid w:val="00F40C62"/>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40C62"/>
    <w:pPr>
      <w:overflowPunct/>
      <w:autoSpaceDE/>
      <w:autoSpaceDN/>
      <w:adjustRightInd/>
      <w:ind w:left="720"/>
      <w:contextualSpacing/>
      <w:textAlignment w:val="auto"/>
    </w:pPr>
    <w:rPr>
      <w:rFonts w:ascii="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F40C62"/>
    <w:pPr>
      <w:overflowPunct/>
      <w:autoSpaceDE/>
      <w:autoSpaceDN/>
      <w:adjustRightInd/>
      <w:ind w:left="720"/>
      <w:contextualSpacing/>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411188">
      <w:bodyDiv w:val="1"/>
      <w:marLeft w:val="0"/>
      <w:marRight w:val="0"/>
      <w:marTop w:val="0"/>
      <w:marBottom w:val="0"/>
      <w:divBdr>
        <w:top w:val="none" w:sz="0" w:space="0" w:color="auto"/>
        <w:left w:val="none" w:sz="0" w:space="0" w:color="auto"/>
        <w:bottom w:val="none" w:sz="0" w:space="0" w:color="auto"/>
        <w:right w:val="none" w:sz="0" w:space="0" w:color="auto"/>
      </w:divBdr>
      <w:divsChild>
        <w:div w:id="824779158">
          <w:marLeft w:val="360"/>
          <w:marRight w:val="0"/>
          <w:marTop w:val="20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418504@student.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8920FA6-E709-4979-8545-90A279CC7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2663</Words>
  <Characters>15184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Lowri Jenkins</cp:lastModifiedBy>
  <cp:revision>6</cp:revision>
  <cp:lastPrinted>2020-02-11T19:20:00Z</cp:lastPrinted>
  <dcterms:created xsi:type="dcterms:W3CDTF">2025-10-05T14:29:00Z</dcterms:created>
  <dcterms:modified xsi:type="dcterms:W3CDTF">2025-10-06T16:31:00Z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