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00B17" w14:textId="77777777" w:rsidR="002357BB" w:rsidRDefault="002357BB">
      <w:pPr>
        <w:rPr>
          <w:rFonts w:ascii="Arial" w:hAnsi="Arial" w:cs="Arial"/>
          <w:sz w:val="24"/>
          <w:szCs w:val="24"/>
        </w:rPr>
      </w:pPr>
    </w:p>
    <w:p w14:paraId="2ED7AF5F" w14:textId="77777777" w:rsidR="002357BB" w:rsidRDefault="002357BB">
      <w:pPr>
        <w:rPr>
          <w:rFonts w:ascii="Arial" w:hAnsi="Arial" w:cs="Arial"/>
          <w:sz w:val="24"/>
          <w:szCs w:val="24"/>
        </w:rPr>
      </w:pPr>
    </w:p>
    <w:p w14:paraId="0C0EA6E6" w14:textId="77777777" w:rsidR="002357BB" w:rsidRDefault="002357BB">
      <w:pPr>
        <w:rPr>
          <w:rFonts w:ascii="Arial" w:hAnsi="Arial" w:cs="Arial"/>
          <w:sz w:val="24"/>
          <w:szCs w:val="24"/>
        </w:rPr>
      </w:pPr>
    </w:p>
    <w:p w14:paraId="1ED48BBE" w14:textId="77777777" w:rsidR="002357BB" w:rsidRDefault="002357BB">
      <w:pPr>
        <w:rPr>
          <w:rFonts w:ascii="Arial" w:hAnsi="Arial" w:cs="Arial"/>
          <w:sz w:val="24"/>
          <w:szCs w:val="24"/>
        </w:rPr>
      </w:pPr>
    </w:p>
    <w:p w14:paraId="6CF45E73" w14:textId="77777777" w:rsidR="002357BB" w:rsidRDefault="002357BB">
      <w:pPr>
        <w:rPr>
          <w:rFonts w:ascii="Arial" w:hAnsi="Arial" w:cs="Arial"/>
          <w:sz w:val="24"/>
          <w:szCs w:val="24"/>
        </w:rPr>
      </w:pPr>
    </w:p>
    <w:p w14:paraId="081CD88E" w14:textId="77777777" w:rsidR="002357BB" w:rsidRDefault="002357BB">
      <w:pPr>
        <w:rPr>
          <w:rFonts w:ascii="Arial" w:hAnsi="Arial" w:cs="Arial"/>
          <w:sz w:val="24"/>
          <w:szCs w:val="24"/>
        </w:rPr>
      </w:pPr>
    </w:p>
    <w:p w14:paraId="52798D7C" w14:textId="77777777" w:rsidR="002357BB" w:rsidRDefault="002357BB">
      <w:pPr>
        <w:rPr>
          <w:rFonts w:ascii="Arial" w:hAnsi="Arial" w:cs="Arial"/>
          <w:sz w:val="24"/>
          <w:szCs w:val="24"/>
        </w:rPr>
      </w:pPr>
    </w:p>
    <w:p w14:paraId="540BA364" w14:textId="77777777" w:rsidR="002357BB" w:rsidRDefault="002357BB">
      <w:pPr>
        <w:rPr>
          <w:rFonts w:ascii="Arial" w:hAnsi="Arial" w:cs="Arial"/>
          <w:sz w:val="24"/>
          <w:szCs w:val="24"/>
        </w:rPr>
      </w:pPr>
    </w:p>
    <w:p w14:paraId="490BE9AB" w14:textId="77777777" w:rsidR="002357BB" w:rsidRDefault="002357BB">
      <w:pPr>
        <w:rPr>
          <w:rFonts w:ascii="Arial" w:hAnsi="Arial" w:cs="Arial"/>
          <w:sz w:val="24"/>
          <w:szCs w:val="24"/>
        </w:rPr>
      </w:pPr>
    </w:p>
    <w:p w14:paraId="707F2756" w14:textId="01FFC512" w:rsidR="002357BB" w:rsidRPr="002357BB" w:rsidRDefault="002357BB" w:rsidP="002357BB">
      <w:pPr>
        <w:jc w:val="center"/>
        <w:rPr>
          <w:rFonts w:ascii="Arial Black" w:hAnsi="Arial Black" w:cs="Arial"/>
          <w:sz w:val="72"/>
          <w:szCs w:val="72"/>
        </w:rPr>
      </w:pPr>
      <w:r w:rsidRPr="002357BB">
        <w:rPr>
          <w:rFonts w:ascii="Arial Black" w:hAnsi="Arial Black" w:cs="Arial"/>
          <w:sz w:val="72"/>
          <w:szCs w:val="72"/>
        </w:rPr>
        <w:t xml:space="preserve">Chapter 2-Method </w:t>
      </w:r>
      <w:r w:rsidRPr="002357BB">
        <w:rPr>
          <w:rFonts w:ascii="Arial Black" w:hAnsi="Arial Black" w:cs="Arial"/>
          <w:sz w:val="72"/>
          <w:szCs w:val="72"/>
        </w:rPr>
        <w:br w:type="page"/>
      </w:r>
    </w:p>
    <w:p w14:paraId="334210F6" w14:textId="39D66220" w:rsidR="00F67D9E" w:rsidRPr="002357BB" w:rsidRDefault="00F67D9E">
      <w:pPr>
        <w:rPr>
          <w:rFonts w:ascii="Arial Black" w:hAnsi="Arial Black" w:cs="Arial"/>
          <w:sz w:val="24"/>
          <w:szCs w:val="24"/>
        </w:rPr>
      </w:pPr>
      <w:r w:rsidRPr="002357BB">
        <w:rPr>
          <w:rFonts w:ascii="Arial Black" w:hAnsi="Arial Black" w:cs="Arial"/>
          <w:sz w:val="24"/>
          <w:szCs w:val="24"/>
        </w:rPr>
        <w:lastRenderedPageBreak/>
        <w:t xml:space="preserve">Participants </w:t>
      </w:r>
    </w:p>
    <w:p w14:paraId="72F858FC" w14:textId="25178227" w:rsidR="00752669" w:rsidRPr="00752669" w:rsidRDefault="00752669" w:rsidP="005E6A13">
      <w:pPr>
        <w:spacing w:line="360" w:lineRule="auto"/>
        <w:ind w:firstLine="720"/>
        <w:rPr>
          <w:rFonts w:ascii="Arial" w:hAnsi="Arial" w:cs="Arial"/>
          <w:sz w:val="24"/>
          <w:szCs w:val="24"/>
        </w:rPr>
      </w:pPr>
      <w:r w:rsidRPr="00752669">
        <w:rPr>
          <w:rFonts w:ascii="Arial" w:hAnsi="Arial" w:cs="Arial"/>
          <w:sz w:val="24"/>
          <w:szCs w:val="24"/>
        </w:rPr>
        <w:t xml:space="preserve">The approach for the study of the impact of restorative spaces on psychological well-being included a comprehensive participant recruitment and </w:t>
      </w:r>
      <w:r w:rsidRPr="00752669">
        <w:rPr>
          <w:rFonts w:ascii="Arial" w:hAnsi="Arial" w:cs="Arial"/>
          <w:sz w:val="24"/>
          <w:szCs w:val="24"/>
        </w:rPr>
        <w:t>data-gathering</w:t>
      </w:r>
      <w:r w:rsidRPr="00752669">
        <w:rPr>
          <w:rFonts w:ascii="Arial" w:hAnsi="Arial" w:cs="Arial"/>
          <w:sz w:val="24"/>
          <w:szCs w:val="24"/>
        </w:rPr>
        <w:t xml:space="preserve"> strategy that targeted a variety of individuals. The study was meant to gather a diverse range of views by recruiting 20 </w:t>
      </w:r>
      <w:r w:rsidR="005E6A13">
        <w:rPr>
          <w:rFonts w:ascii="Arial" w:hAnsi="Arial" w:cs="Arial"/>
          <w:sz w:val="24"/>
          <w:szCs w:val="24"/>
        </w:rPr>
        <w:t>individuals</w:t>
      </w:r>
      <w:r w:rsidRPr="00752669">
        <w:rPr>
          <w:rFonts w:ascii="Arial" w:hAnsi="Arial" w:cs="Arial"/>
          <w:sz w:val="24"/>
          <w:szCs w:val="24"/>
        </w:rPr>
        <w:t xml:space="preserve"> aged 18 to 45. The inclusive criterion meant that there were no limitations based on gender, geographic area, or beliefs, allowing for a diverse demographic reach. This method was intentional, </w:t>
      </w:r>
      <w:r w:rsidRPr="00752669">
        <w:rPr>
          <w:rFonts w:ascii="Arial" w:hAnsi="Arial" w:cs="Arial"/>
          <w:sz w:val="24"/>
          <w:szCs w:val="24"/>
        </w:rPr>
        <w:t>to understand</w:t>
      </w:r>
      <w:r w:rsidRPr="00752669">
        <w:rPr>
          <w:rFonts w:ascii="Arial" w:hAnsi="Arial" w:cs="Arial"/>
          <w:sz w:val="24"/>
          <w:szCs w:val="24"/>
        </w:rPr>
        <w:t xml:space="preserve"> the impact of restorative spaces on psychological well-being across a diverse audience, hence increasing the study's relevance and application to a larger audience.</w:t>
      </w:r>
      <w:r w:rsidR="005E6A13">
        <w:rPr>
          <w:rFonts w:ascii="Arial" w:hAnsi="Arial" w:cs="Arial"/>
          <w:sz w:val="24"/>
          <w:szCs w:val="24"/>
        </w:rPr>
        <w:t xml:space="preserve"> </w:t>
      </w:r>
      <w:r w:rsidRPr="00752669">
        <w:rPr>
          <w:rFonts w:ascii="Arial" w:hAnsi="Arial" w:cs="Arial"/>
          <w:sz w:val="24"/>
          <w:szCs w:val="24"/>
        </w:rPr>
        <w:t>Recruitment began with the sending of invitation emails to interested participants</w:t>
      </w:r>
      <w:r w:rsidR="002357BB">
        <w:rPr>
          <w:rFonts w:ascii="Arial" w:hAnsi="Arial" w:cs="Arial"/>
          <w:sz w:val="24"/>
          <w:szCs w:val="24"/>
        </w:rPr>
        <w:t xml:space="preserve">. </w:t>
      </w:r>
      <w:r w:rsidRPr="00752669">
        <w:rPr>
          <w:rFonts w:ascii="Arial" w:hAnsi="Arial" w:cs="Arial"/>
          <w:sz w:val="24"/>
          <w:szCs w:val="24"/>
        </w:rPr>
        <w:t>Individuals who were interested in participating were encouraged to respond to the initial contact. This strategy ensured that potential volunteers were actively engaged and eager to contribute to the study from the start.</w:t>
      </w:r>
    </w:p>
    <w:p w14:paraId="18E09D4B" w14:textId="576519E9" w:rsidR="00752669" w:rsidRDefault="00752669" w:rsidP="005E6A13">
      <w:pPr>
        <w:spacing w:line="360" w:lineRule="auto"/>
        <w:ind w:firstLine="720"/>
        <w:rPr>
          <w:rFonts w:ascii="Arial" w:hAnsi="Arial" w:cs="Arial"/>
          <w:sz w:val="24"/>
          <w:szCs w:val="24"/>
        </w:rPr>
      </w:pPr>
      <w:r w:rsidRPr="00752669">
        <w:rPr>
          <w:rFonts w:ascii="Arial" w:hAnsi="Arial" w:cs="Arial"/>
          <w:sz w:val="24"/>
          <w:szCs w:val="24"/>
        </w:rPr>
        <w:t>Following a positive answer, the next step in the recruitment process was to provide full information about the study using a Participant Information Sheet. Th</w:t>
      </w:r>
      <w:r w:rsidR="002357BB">
        <w:rPr>
          <w:rFonts w:ascii="Arial" w:hAnsi="Arial" w:cs="Arial"/>
          <w:sz w:val="24"/>
          <w:szCs w:val="24"/>
        </w:rPr>
        <w:t xml:space="preserve">is </w:t>
      </w:r>
      <w:r w:rsidRPr="00752669">
        <w:rPr>
          <w:rFonts w:ascii="Arial" w:hAnsi="Arial" w:cs="Arial"/>
          <w:sz w:val="24"/>
          <w:szCs w:val="24"/>
        </w:rPr>
        <w:t xml:space="preserve">was accompanied by a Consent Form, which participants were needed to sign and return. After signing the consent </w:t>
      </w:r>
      <w:r>
        <w:rPr>
          <w:rFonts w:ascii="Arial" w:hAnsi="Arial" w:cs="Arial"/>
          <w:sz w:val="24"/>
          <w:szCs w:val="24"/>
        </w:rPr>
        <w:t>form</w:t>
      </w:r>
      <w:r w:rsidRPr="00752669">
        <w:rPr>
          <w:rFonts w:ascii="Arial" w:hAnsi="Arial" w:cs="Arial"/>
          <w:sz w:val="24"/>
          <w:szCs w:val="24"/>
        </w:rPr>
        <w:t>, participants were given access to the survey through a link. Following completion of the survey, participants received a debriefing document that provided additional information regarding the study's objectives and acknowledged their invaluable contribution. This debrief also included contact information in case participants had any more concerns or needed additional assistance, demonstrating the study's commitment to ethical research techniques and participant care.</w:t>
      </w:r>
    </w:p>
    <w:p w14:paraId="4FE0663D" w14:textId="36CC9C6C" w:rsidR="00F67D9E" w:rsidRPr="002357BB" w:rsidRDefault="00F67D9E" w:rsidP="005F0DB3">
      <w:pPr>
        <w:spacing w:line="360" w:lineRule="auto"/>
        <w:rPr>
          <w:rFonts w:ascii="Arial Black" w:hAnsi="Arial Black" w:cs="Arial"/>
          <w:sz w:val="24"/>
          <w:szCs w:val="24"/>
        </w:rPr>
      </w:pPr>
      <w:r w:rsidRPr="002357BB">
        <w:rPr>
          <w:rFonts w:ascii="Arial Black" w:hAnsi="Arial Black" w:cs="Arial"/>
          <w:sz w:val="24"/>
          <w:szCs w:val="24"/>
        </w:rPr>
        <w:t>Data Collection and Analysis</w:t>
      </w:r>
    </w:p>
    <w:p w14:paraId="470F9282" w14:textId="2E0D7C52" w:rsidR="00F67D9E" w:rsidRDefault="00F67D9E" w:rsidP="005F0DB3">
      <w:pPr>
        <w:spacing w:line="360" w:lineRule="auto"/>
        <w:ind w:firstLine="720"/>
        <w:rPr>
          <w:rFonts w:ascii="Arial" w:hAnsi="Arial" w:cs="Arial"/>
          <w:sz w:val="24"/>
          <w:szCs w:val="24"/>
        </w:rPr>
      </w:pPr>
      <w:r w:rsidRPr="00F67D9E">
        <w:rPr>
          <w:rFonts w:ascii="Arial" w:hAnsi="Arial" w:cs="Arial"/>
          <w:sz w:val="24"/>
          <w:szCs w:val="24"/>
        </w:rPr>
        <w:t xml:space="preserve">The qualitative study intended to delve into individuals' complex experiences with restorative environments and their subsequent impact on psychological well-being. To do this, data was methodically collected using a specially designed Microsoft Form survey with eight open-ended questions. This methodological decision was critical in creating a space for participants to offer rich, narrative experiences of their interactions with restorative spaces. The survey was deliberately designed to extract rich, descriptive insights into the participants' emotional, </w:t>
      </w:r>
      <w:r w:rsidRPr="00F67D9E">
        <w:rPr>
          <w:rFonts w:ascii="Arial" w:hAnsi="Arial" w:cs="Arial"/>
          <w:sz w:val="24"/>
          <w:szCs w:val="24"/>
        </w:rPr>
        <w:lastRenderedPageBreak/>
        <w:t>cognitive, and behavioural interactions with these settings, reflecting the complexities of their experiences.</w:t>
      </w:r>
    </w:p>
    <w:p w14:paraId="6E613B7D" w14:textId="26E6A2D9" w:rsidR="003E72E7" w:rsidRDefault="003E72E7" w:rsidP="005E6A13">
      <w:pPr>
        <w:spacing w:line="360" w:lineRule="auto"/>
        <w:rPr>
          <w:rFonts w:ascii="Arial" w:hAnsi="Arial" w:cs="Arial"/>
          <w:sz w:val="24"/>
          <w:szCs w:val="24"/>
        </w:rPr>
      </w:pPr>
      <w:r w:rsidRPr="003E72E7">
        <w:rPr>
          <w:rFonts w:ascii="Arial" w:hAnsi="Arial" w:cs="Arial"/>
          <w:sz w:val="24"/>
          <w:szCs w:val="24"/>
        </w:rPr>
        <w:t xml:space="preserve">Following receiving signed consent forms, which confirmed participants' informed consent to participate in the study, a unique link to the survey was issued to each participant by email. This technique not only expedited the </w:t>
      </w:r>
      <w:r>
        <w:rPr>
          <w:rFonts w:ascii="Arial" w:hAnsi="Arial" w:cs="Arial"/>
          <w:sz w:val="24"/>
          <w:szCs w:val="24"/>
        </w:rPr>
        <w:t>data-gathering</w:t>
      </w:r>
      <w:r w:rsidRPr="003E72E7">
        <w:rPr>
          <w:rFonts w:ascii="Arial" w:hAnsi="Arial" w:cs="Arial"/>
          <w:sz w:val="24"/>
          <w:szCs w:val="24"/>
        </w:rPr>
        <w:t xml:space="preserve"> process but also allowed participants to complete the survey at their relaxation, which potentially </w:t>
      </w:r>
      <w:r>
        <w:rPr>
          <w:rFonts w:ascii="Arial" w:hAnsi="Arial" w:cs="Arial"/>
          <w:sz w:val="24"/>
          <w:szCs w:val="24"/>
        </w:rPr>
        <w:t>led</w:t>
      </w:r>
      <w:r w:rsidRPr="003E72E7">
        <w:rPr>
          <w:rFonts w:ascii="Arial" w:hAnsi="Arial" w:cs="Arial"/>
          <w:sz w:val="24"/>
          <w:szCs w:val="24"/>
        </w:rPr>
        <w:t xml:space="preserve"> to more considered and introspective responses.</w:t>
      </w:r>
    </w:p>
    <w:p w14:paraId="5FA1EAD3" w14:textId="02CDD6A6" w:rsidR="003E72E7" w:rsidRDefault="003E72E7" w:rsidP="005F0DB3">
      <w:pPr>
        <w:spacing w:line="360" w:lineRule="auto"/>
        <w:ind w:firstLine="720"/>
        <w:rPr>
          <w:rFonts w:ascii="Arial" w:hAnsi="Arial" w:cs="Arial"/>
          <w:sz w:val="24"/>
          <w:szCs w:val="24"/>
        </w:rPr>
      </w:pPr>
      <w:r w:rsidRPr="003E72E7">
        <w:rPr>
          <w:rFonts w:ascii="Arial" w:hAnsi="Arial" w:cs="Arial"/>
          <w:sz w:val="24"/>
          <w:szCs w:val="24"/>
        </w:rPr>
        <w:t>The survey was designed to explore many main topics of interest. Participants were asked to describe their personal experiences with restorative spaces, with an emphasis on the emotional responses elicited by these environments, the frequency and duration of their visits, and specific elements or characteristics of the spaces that they perceived to be particularly beneficial to their psychological well-being. The open-ended nature of the questions allowed for a wide range of responses, encompassing a variety of perspectives and experiences.</w:t>
      </w:r>
    </w:p>
    <w:p w14:paraId="7B06D7B3" w14:textId="5C284D00" w:rsidR="003E72E7" w:rsidRDefault="003E72E7" w:rsidP="005F0DB3">
      <w:pPr>
        <w:spacing w:line="360" w:lineRule="auto"/>
        <w:ind w:firstLine="720"/>
        <w:rPr>
          <w:rFonts w:ascii="Arial" w:hAnsi="Arial" w:cs="Arial"/>
          <w:sz w:val="24"/>
          <w:szCs w:val="24"/>
        </w:rPr>
      </w:pPr>
      <w:r w:rsidRPr="003E72E7">
        <w:rPr>
          <w:rFonts w:ascii="Arial" w:hAnsi="Arial" w:cs="Arial"/>
          <w:sz w:val="24"/>
          <w:szCs w:val="24"/>
        </w:rPr>
        <w:t>After completing the survey, participants were emailed a debriefing document. This debrief was an important element of the research process because it provided participants with further information about the study's objectives and the significant role their contributions played in expanding understanding in this area. It also included the research team's contact details, ensuring that participants had access to support and could raise any questions or concerns following their involvement.</w:t>
      </w:r>
    </w:p>
    <w:p w14:paraId="1C763C57" w14:textId="5A7AD049" w:rsidR="00B37FFC" w:rsidRDefault="00B37FFC" w:rsidP="005F0DB3">
      <w:pPr>
        <w:spacing w:line="360" w:lineRule="auto"/>
        <w:ind w:firstLine="720"/>
        <w:rPr>
          <w:rFonts w:ascii="Arial" w:hAnsi="Arial" w:cs="Arial"/>
          <w:sz w:val="24"/>
          <w:szCs w:val="24"/>
        </w:rPr>
      </w:pPr>
      <w:r w:rsidRPr="00B37FFC">
        <w:rPr>
          <w:rFonts w:ascii="Arial" w:hAnsi="Arial" w:cs="Arial"/>
          <w:sz w:val="24"/>
          <w:szCs w:val="24"/>
        </w:rPr>
        <w:t xml:space="preserve">The study's analytical phase included a thorough thematic analysis of the survey results using the methodology provided by Brown and Clarke. This strategy was critical in breaking down the collected data into meaningful themes, patterns, and narratives, shedding light on the psychological consequences of restorative places. The technique involved systematically categorising and classifying the data </w:t>
      </w:r>
      <w:r>
        <w:rPr>
          <w:rFonts w:ascii="Arial" w:hAnsi="Arial" w:cs="Arial"/>
          <w:sz w:val="24"/>
          <w:szCs w:val="24"/>
        </w:rPr>
        <w:t>to</w:t>
      </w:r>
      <w:r w:rsidRPr="00B37FFC">
        <w:rPr>
          <w:rFonts w:ascii="Arial" w:hAnsi="Arial" w:cs="Arial"/>
          <w:sz w:val="24"/>
          <w:szCs w:val="24"/>
        </w:rPr>
        <w:t xml:space="preserve"> reveal a comprehensive picture of how different settings influence individual psychological well-being. This process found and examined major themes, providing a rich, thorough analysis of the data that highlighted the diverse and complex experiences people have with restorative places.</w:t>
      </w:r>
    </w:p>
    <w:p w14:paraId="79D5528F" w14:textId="2564B764" w:rsidR="001D6E89" w:rsidRDefault="00B37FFC" w:rsidP="005F0DB3">
      <w:pPr>
        <w:spacing w:line="360" w:lineRule="auto"/>
        <w:ind w:firstLine="720"/>
        <w:rPr>
          <w:rFonts w:ascii="Arial" w:hAnsi="Arial" w:cs="Arial"/>
          <w:sz w:val="24"/>
          <w:szCs w:val="24"/>
        </w:rPr>
      </w:pPr>
      <w:r w:rsidRPr="00B37FFC">
        <w:rPr>
          <w:rFonts w:ascii="Arial" w:hAnsi="Arial" w:cs="Arial"/>
          <w:sz w:val="24"/>
          <w:szCs w:val="24"/>
        </w:rPr>
        <w:t xml:space="preserve">Using this systematic method </w:t>
      </w:r>
      <w:r>
        <w:rPr>
          <w:rFonts w:ascii="Arial" w:hAnsi="Arial" w:cs="Arial"/>
          <w:sz w:val="24"/>
          <w:szCs w:val="24"/>
        </w:rPr>
        <w:t>of</w:t>
      </w:r>
      <w:r w:rsidRPr="00B37FFC">
        <w:rPr>
          <w:rFonts w:ascii="Arial" w:hAnsi="Arial" w:cs="Arial"/>
          <w:sz w:val="24"/>
          <w:szCs w:val="24"/>
        </w:rPr>
        <w:t xml:space="preserve"> data analysis was critical for diving into the rich narratives offered by participants, which improved our knowledge of the critical role restorative places play in fostering psychological wellness. The thematic </w:t>
      </w:r>
      <w:r w:rsidRPr="00B37FFC">
        <w:rPr>
          <w:rFonts w:ascii="Arial" w:hAnsi="Arial" w:cs="Arial"/>
          <w:sz w:val="24"/>
          <w:szCs w:val="24"/>
        </w:rPr>
        <w:lastRenderedPageBreak/>
        <w:t>analysis, guided by Brown and Clarke's ideas, allowed the study to capture not just the essence of participants' experiences but also communicate the broader significance of these findings. By analysing the detailed testimonies acquired through the Microsoft Form survey, the study hopes to make a significant addition to environmental psychology, particularly in understanding the therapeutic advantages and relevance of restorative surroundings.</w:t>
      </w:r>
    </w:p>
    <w:p w14:paraId="782866BF" w14:textId="05AE8E4E" w:rsidR="005F0DB3" w:rsidRDefault="005F0DB3" w:rsidP="005F0DB3">
      <w:pPr>
        <w:spacing w:line="360" w:lineRule="auto"/>
        <w:ind w:firstLine="720"/>
        <w:rPr>
          <w:rFonts w:ascii="Arial" w:hAnsi="Arial" w:cs="Arial"/>
          <w:sz w:val="24"/>
          <w:szCs w:val="24"/>
        </w:rPr>
      </w:pPr>
      <w:r w:rsidRPr="005F0DB3">
        <w:rPr>
          <w:rFonts w:ascii="Arial" w:hAnsi="Arial" w:cs="Arial"/>
          <w:sz w:val="24"/>
          <w:szCs w:val="24"/>
        </w:rPr>
        <w:t xml:space="preserve">A set of key resources </w:t>
      </w:r>
      <w:r>
        <w:rPr>
          <w:rFonts w:ascii="Arial" w:hAnsi="Arial" w:cs="Arial"/>
          <w:sz w:val="24"/>
          <w:szCs w:val="24"/>
        </w:rPr>
        <w:t>was</w:t>
      </w:r>
      <w:r w:rsidRPr="005F0DB3">
        <w:rPr>
          <w:rFonts w:ascii="Arial" w:hAnsi="Arial" w:cs="Arial"/>
          <w:sz w:val="24"/>
          <w:szCs w:val="24"/>
        </w:rPr>
        <w:t xml:space="preserve"> used in this qualitative study on the effects of restorative spaces on psychological well-being to ensure that the research was carried out properly, ethically, and efficiently from beginning to end. Initially, all possible participants were given a Participant Information Sheet, which gave full information on the study's aims, the nature of their involvement, the voluntary basis for their participation, and the confidentiality and data protection procedures in place. This was vital for obtaining informed consent.</w:t>
      </w:r>
      <w:r>
        <w:rPr>
          <w:rFonts w:ascii="Arial" w:hAnsi="Arial" w:cs="Arial"/>
          <w:sz w:val="24"/>
          <w:szCs w:val="24"/>
        </w:rPr>
        <w:t xml:space="preserve">                                                                        </w:t>
      </w:r>
      <w:r w:rsidRPr="005F0DB3">
        <w:rPr>
          <w:rFonts w:ascii="Arial" w:hAnsi="Arial" w:cs="Arial"/>
          <w:sz w:val="24"/>
          <w:szCs w:val="24"/>
        </w:rPr>
        <w:t>Following that, a Consent Form was employed to formally document each participant's willingness to participate in the study. This document underlined the participants' rights, including the ability to withdraw from the study at any time without penalty, ensuring their autonomy throughout the research process.</w:t>
      </w:r>
      <w:r>
        <w:rPr>
          <w:rFonts w:ascii="Arial" w:hAnsi="Arial" w:cs="Arial"/>
          <w:sz w:val="24"/>
          <w:szCs w:val="24"/>
        </w:rPr>
        <w:t xml:space="preserve"> </w:t>
      </w:r>
      <w:r w:rsidRPr="005F0DB3">
        <w:rPr>
          <w:rFonts w:ascii="Arial" w:hAnsi="Arial" w:cs="Arial"/>
          <w:sz w:val="24"/>
          <w:szCs w:val="24"/>
        </w:rPr>
        <w:t>After completing the survey, participants received a debriefing sheet. This leaflet clarified the study's objectives and the significance of participants' contributions, as well as offering extra contact information for the research team in case participants had any more questions or needed assistance after participating.</w:t>
      </w:r>
    </w:p>
    <w:p w14:paraId="12FF72AA" w14:textId="0B2B30BF" w:rsidR="005F0DB3" w:rsidRDefault="005F0DB3" w:rsidP="005F0DB3">
      <w:pPr>
        <w:spacing w:line="360" w:lineRule="auto"/>
        <w:ind w:firstLine="720"/>
        <w:rPr>
          <w:rFonts w:ascii="Arial" w:hAnsi="Arial" w:cs="Arial"/>
          <w:sz w:val="24"/>
          <w:szCs w:val="24"/>
        </w:rPr>
      </w:pPr>
      <w:r w:rsidRPr="005F0DB3">
        <w:rPr>
          <w:rFonts w:ascii="Arial" w:hAnsi="Arial" w:cs="Arial"/>
          <w:sz w:val="24"/>
          <w:szCs w:val="24"/>
        </w:rPr>
        <w:t xml:space="preserve">The primary method for data gathering was a Microsoft Form survey with eight open-ended questions. This digital format was chosen for its accessibility and usability, allowing participants to express their experiences with restorative spaces </w:t>
      </w:r>
      <w:r>
        <w:rPr>
          <w:rFonts w:ascii="Arial" w:hAnsi="Arial" w:cs="Arial"/>
          <w:sz w:val="24"/>
          <w:szCs w:val="24"/>
        </w:rPr>
        <w:t>thoroughly and narratively</w:t>
      </w:r>
      <w:r w:rsidRPr="005F0DB3">
        <w:rPr>
          <w:rFonts w:ascii="Arial" w:hAnsi="Arial" w:cs="Arial"/>
          <w:sz w:val="24"/>
          <w:szCs w:val="24"/>
        </w:rPr>
        <w:t>. The open-ended questions were deliberately designed to collect detailed, qualitative information about the psychological effects of various spaces.</w:t>
      </w:r>
      <w:r>
        <w:rPr>
          <w:rFonts w:ascii="Arial" w:hAnsi="Arial" w:cs="Arial"/>
          <w:sz w:val="24"/>
          <w:szCs w:val="24"/>
        </w:rPr>
        <w:t xml:space="preserve"> </w:t>
      </w:r>
      <w:r w:rsidRPr="005F0DB3">
        <w:rPr>
          <w:rFonts w:ascii="Arial" w:hAnsi="Arial" w:cs="Arial"/>
          <w:sz w:val="24"/>
          <w:szCs w:val="24"/>
        </w:rPr>
        <w:t>Finally, a laptop was used to create and distribute the survey, communicate with participants, and conduct preliminary data analysis. The laptop allowed for safe data storage as well as effective management and analysis of collected information.</w:t>
      </w:r>
      <w:r>
        <w:rPr>
          <w:rFonts w:ascii="Arial" w:hAnsi="Arial" w:cs="Arial"/>
          <w:sz w:val="24"/>
          <w:szCs w:val="24"/>
        </w:rPr>
        <w:t xml:space="preserve">      </w:t>
      </w:r>
      <w:r w:rsidRPr="005F0DB3">
        <w:rPr>
          <w:rFonts w:ascii="Arial" w:hAnsi="Arial" w:cs="Arial"/>
          <w:sz w:val="24"/>
          <w:szCs w:val="24"/>
        </w:rPr>
        <w:t xml:space="preserve">These resources worked together to assist the study process by ensuring that participants were well-informed and consented to their participation, data collecting was streamlined and effective, and analysis was carried out safely and methodically. </w:t>
      </w:r>
      <w:r w:rsidRPr="005F0DB3">
        <w:rPr>
          <w:rFonts w:ascii="Arial" w:hAnsi="Arial" w:cs="Arial"/>
          <w:sz w:val="24"/>
          <w:szCs w:val="24"/>
        </w:rPr>
        <w:lastRenderedPageBreak/>
        <w:t>This technique supported the study's goal of generating profound insights into how restorative s</w:t>
      </w:r>
      <w:r w:rsidR="002357BB">
        <w:rPr>
          <w:rFonts w:ascii="Arial" w:hAnsi="Arial" w:cs="Arial"/>
          <w:sz w:val="24"/>
          <w:szCs w:val="24"/>
        </w:rPr>
        <w:t>paces</w:t>
      </w:r>
      <w:r w:rsidRPr="005F0DB3">
        <w:rPr>
          <w:rFonts w:ascii="Arial" w:hAnsi="Arial" w:cs="Arial"/>
          <w:sz w:val="24"/>
          <w:szCs w:val="24"/>
        </w:rPr>
        <w:t xml:space="preserve"> affect psychological well-being.</w:t>
      </w:r>
    </w:p>
    <w:p w14:paraId="5CA1CA2E" w14:textId="77777777" w:rsidR="0051709B" w:rsidRDefault="0051709B" w:rsidP="005F0DB3">
      <w:pPr>
        <w:spacing w:line="360" w:lineRule="auto"/>
        <w:ind w:firstLine="720"/>
        <w:rPr>
          <w:rFonts w:ascii="Arial" w:hAnsi="Arial" w:cs="Arial"/>
          <w:sz w:val="24"/>
          <w:szCs w:val="24"/>
        </w:rPr>
      </w:pPr>
    </w:p>
    <w:p w14:paraId="457192F3" w14:textId="77777777" w:rsidR="0051709B" w:rsidRDefault="0051709B" w:rsidP="005F0DB3">
      <w:pPr>
        <w:spacing w:line="360" w:lineRule="auto"/>
        <w:ind w:firstLine="720"/>
        <w:rPr>
          <w:rFonts w:ascii="Arial" w:hAnsi="Arial" w:cs="Arial"/>
          <w:sz w:val="24"/>
          <w:szCs w:val="24"/>
        </w:rPr>
      </w:pPr>
    </w:p>
    <w:p w14:paraId="1BA26871" w14:textId="77777777" w:rsidR="0051709B" w:rsidRDefault="0051709B" w:rsidP="005F0DB3">
      <w:pPr>
        <w:spacing w:line="360" w:lineRule="auto"/>
        <w:ind w:firstLine="720"/>
        <w:rPr>
          <w:rFonts w:ascii="Arial" w:hAnsi="Arial" w:cs="Arial"/>
          <w:sz w:val="24"/>
          <w:szCs w:val="24"/>
        </w:rPr>
      </w:pPr>
    </w:p>
    <w:p w14:paraId="0C00316F" w14:textId="77777777" w:rsidR="0051709B" w:rsidRDefault="0051709B" w:rsidP="005F0DB3">
      <w:pPr>
        <w:spacing w:line="360" w:lineRule="auto"/>
        <w:ind w:firstLine="720"/>
        <w:rPr>
          <w:rFonts w:ascii="Arial" w:hAnsi="Arial" w:cs="Arial"/>
          <w:sz w:val="24"/>
          <w:szCs w:val="24"/>
        </w:rPr>
      </w:pPr>
    </w:p>
    <w:p w14:paraId="702C33FA" w14:textId="77777777" w:rsidR="0051709B" w:rsidRDefault="0051709B" w:rsidP="005F0DB3">
      <w:pPr>
        <w:spacing w:line="360" w:lineRule="auto"/>
        <w:ind w:firstLine="720"/>
        <w:rPr>
          <w:rFonts w:ascii="Arial" w:hAnsi="Arial" w:cs="Arial"/>
          <w:sz w:val="24"/>
          <w:szCs w:val="24"/>
        </w:rPr>
      </w:pPr>
    </w:p>
    <w:p w14:paraId="38E41AE5" w14:textId="77777777" w:rsidR="0051709B" w:rsidRDefault="0051709B" w:rsidP="005F0DB3">
      <w:pPr>
        <w:spacing w:line="360" w:lineRule="auto"/>
        <w:ind w:firstLine="720"/>
        <w:rPr>
          <w:rFonts w:ascii="Arial" w:hAnsi="Arial" w:cs="Arial"/>
          <w:sz w:val="24"/>
          <w:szCs w:val="24"/>
        </w:rPr>
      </w:pPr>
    </w:p>
    <w:p w14:paraId="7535FE0E" w14:textId="77777777" w:rsidR="0051709B" w:rsidRDefault="0051709B" w:rsidP="005F0DB3">
      <w:pPr>
        <w:spacing w:line="360" w:lineRule="auto"/>
        <w:ind w:firstLine="720"/>
        <w:rPr>
          <w:rFonts w:ascii="Arial" w:hAnsi="Arial" w:cs="Arial"/>
          <w:sz w:val="24"/>
          <w:szCs w:val="24"/>
        </w:rPr>
      </w:pPr>
    </w:p>
    <w:p w14:paraId="13C4252B" w14:textId="77777777" w:rsidR="0051709B" w:rsidRDefault="0051709B" w:rsidP="005F0DB3">
      <w:pPr>
        <w:spacing w:line="360" w:lineRule="auto"/>
        <w:ind w:firstLine="720"/>
        <w:rPr>
          <w:rFonts w:ascii="Arial" w:hAnsi="Arial" w:cs="Arial"/>
          <w:sz w:val="24"/>
          <w:szCs w:val="24"/>
        </w:rPr>
      </w:pPr>
    </w:p>
    <w:p w14:paraId="36ACFC13" w14:textId="77777777" w:rsidR="0051709B" w:rsidRDefault="0051709B" w:rsidP="005F0DB3">
      <w:pPr>
        <w:spacing w:line="360" w:lineRule="auto"/>
        <w:ind w:firstLine="720"/>
        <w:rPr>
          <w:rFonts w:ascii="Arial" w:hAnsi="Arial" w:cs="Arial"/>
          <w:sz w:val="24"/>
          <w:szCs w:val="24"/>
        </w:rPr>
      </w:pPr>
    </w:p>
    <w:p w14:paraId="6C746D33" w14:textId="77777777" w:rsidR="0051709B" w:rsidRDefault="0051709B" w:rsidP="005F0DB3">
      <w:pPr>
        <w:spacing w:line="360" w:lineRule="auto"/>
        <w:ind w:firstLine="720"/>
        <w:rPr>
          <w:rFonts w:ascii="Arial" w:hAnsi="Arial" w:cs="Arial"/>
          <w:sz w:val="24"/>
          <w:szCs w:val="24"/>
        </w:rPr>
      </w:pPr>
    </w:p>
    <w:p w14:paraId="71645AC8" w14:textId="77777777" w:rsidR="0051709B" w:rsidRDefault="0051709B" w:rsidP="005F0DB3">
      <w:pPr>
        <w:spacing w:line="360" w:lineRule="auto"/>
        <w:ind w:firstLine="720"/>
        <w:rPr>
          <w:rFonts w:ascii="Arial" w:hAnsi="Arial" w:cs="Arial"/>
          <w:sz w:val="24"/>
          <w:szCs w:val="24"/>
        </w:rPr>
      </w:pPr>
    </w:p>
    <w:p w14:paraId="1FB9A187" w14:textId="77777777" w:rsidR="0051709B" w:rsidRDefault="0051709B" w:rsidP="005F0DB3">
      <w:pPr>
        <w:spacing w:line="360" w:lineRule="auto"/>
        <w:ind w:firstLine="720"/>
        <w:rPr>
          <w:rFonts w:ascii="Arial" w:hAnsi="Arial" w:cs="Arial"/>
          <w:sz w:val="24"/>
          <w:szCs w:val="24"/>
        </w:rPr>
      </w:pPr>
    </w:p>
    <w:p w14:paraId="720105B2" w14:textId="77777777" w:rsidR="0051709B" w:rsidRDefault="0051709B" w:rsidP="005F0DB3">
      <w:pPr>
        <w:spacing w:line="360" w:lineRule="auto"/>
        <w:ind w:firstLine="720"/>
        <w:rPr>
          <w:rFonts w:ascii="Arial" w:hAnsi="Arial" w:cs="Arial"/>
          <w:sz w:val="24"/>
          <w:szCs w:val="24"/>
        </w:rPr>
      </w:pPr>
    </w:p>
    <w:p w14:paraId="572B0706" w14:textId="77777777" w:rsidR="0051709B" w:rsidRDefault="0051709B" w:rsidP="005F0DB3">
      <w:pPr>
        <w:spacing w:line="360" w:lineRule="auto"/>
        <w:ind w:firstLine="720"/>
        <w:rPr>
          <w:rFonts w:ascii="Arial" w:hAnsi="Arial" w:cs="Arial"/>
          <w:sz w:val="24"/>
          <w:szCs w:val="24"/>
        </w:rPr>
      </w:pPr>
    </w:p>
    <w:p w14:paraId="674EF2AF" w14:textId="77777777" w:rsidR="0051709B" w:rsidRDefault="0051709B" w:rsidP="005F0DB3">
      <w:pPr>
        <w:spacing w:line="360" w:lineRule="auto"/>
        <w:ind w:firstLine="720"/>
        <w:rPr>
          <w:rFonts w:ascii="Arial" w:hAnsi="Arial" w:cs="Arial"/>
          <w:sz w:val="24"/>
          <w:szCs w:val="24"/>
        </w:rPr>
      </w:pPr>
    </w:p>
    <w:p w14:paraId="3D754740" w14:textId="77777777" w:rsidR="0051709B" w:rsidRDefault="0051709B" w:rsidP="005F0DB3">
      <w:pPr>
        <w:spacing w:line="360" w:lineRule="auto"/>
        <w:ind w:firstLine="720"/>
        <w:rPr>
          <w:rFonts w:ascii="Arial" w:hAnsi="Arial" w:cs="Arial"/>
          <w:sz w:val="24"/>
          <w:szCs w:val="24"/>
        </w:rPr>
      </w:pPr>
    </w:p>
    <w:p w14:paraId="1799A33A" w14:textId="77777777" w:rsidR="0051709B" w:rsidRDefault="0051709B" w:rsidP="005F0DB3">
      <w:pPr>
        <w:spacing w:line="360" w:lineRule="auto"/>
        <w:ind w:firstLine="720"/>
        <w:rPr>
          <w:rFonts w:ascii="Arial" w:hAnsi="Arial" w:cs="Arial"/>
          <w:sz w:val="24"/>
          <w:szCs w:val="24"/>
        </w:rPr>
      </w:pPr>
    </w:p>
    <w:p w14:paraId="32BF6420" w14:textId="77777777" w:rsidR="0051709B" w:rsidRDefault="0051709B" w:rsidP="005F0DB3">
      <w:pPr>
        <w:spacing w:line="360" w:lineRule="auto"/>
        <w:ind w:firstLine="720"/>
        <w:rPr>
          <w:rFonts w:ascii="Arial" w:hAnsi="Arial" w:cs="Arial"/>
          <w:sz w:val="24"/>
          <w:szCs w:val="24"/>
        </w:rPr>
      </w:pPr>
    </w:p>
    <w:p w14:paraId="4D8439E8" w14:textId="77777777" w:rsidR="0051709B" w:rsidRDefault="0051709B" w:rsidP="005F0DB3">
      <w:pPr>
        <w:spacing w:line="360" w:lineRule="auto"/>
        <w:ind w:firstLine="720"/>
        <w:rPr>
          <w:rFonts w:ascii="Arial" w:hAnsi="Arial" w:cs="Arial"/>
          <w:sz w:val="24"/>
          <w:szCs w:val="24"/>
        </w:rPr>
      </w:pPr>
    </w:p>
    <w:p w14:paraId="0E3923A1" w14:textId="77777777" w:rsidR="0051709B" w:rsidRDefault="0051709B" w:rsidP="005F0DB3">
      <w:pPr>
        <w:spacing w:line="360" w:lineRule="auto"/>
        <w:ind w:firstLine="720"/>
        <w:rPr>
          <w:rFonts w:ascii="Arial" w:hAnsi="Arial" w:cs="Arial"/>
          <w:sz w:val="24"/>
          <w:szCs w:val="24"/>
        </w:rPr>
      </w:pPr>
    </w:p>
    <w:p w14:paraId="63F44A48" w14:textId="77777777" w:rsidR="0051709B" w:rsidRDefault="0051709B" w:rsidP="005F0DB3">
      <w:pPr>
        <w:spacing w:line="360" w:lineRule="auto"/>
        <w:ind w:firstLine="720"/>
        <w:rPr>
          <w:rFonts w:ascii="Arial" w:hAnsi="Arial" w:cs="Arial"/>
          <w:sz w:val="24"/>
          <w:szCs w:val="24"/>
        </w:rPr>
      </w:pPr>
    </w:p>
    <w:p w14:paraId="04482CD3" w14:textId="77777777" w:rsidR="0051709B" w:rsidRDefault="0051709B" w:rsidP="005F0DB3">
      <w:pPr>
        <w:spacing w:line="360" w:lineRule="auto"/>
        <w:ind w:firstLine="720"/>
        <w:rPr>
          <w:rFonts w:ascii="Arial" w:hAnsi="Arial" w:cs="Arial"/>
          <w:sz w:val="24"/>
          <w:szCs w:val="24"/>
        </w:rPr>
      </w:pPr>
    </w:p>
    <w:p w14:paraId="07B1D756" w14:textId="77777777" w:rsidR="0051709B" w:rsidRDefault="0051709B" w:rsidP="005F0DB3">
      <w:pPr>
        <w:spacing w:line="360" w:lineRule="auto"/>
        <w:ind w:firstLine="720"/>
        <w:rPr>
          <w:rFonts w:ascii="Arial" w:hAnsi="Arial" w:cs="Arial"/>
          <w:sz w:val="24"/>
          <w:szCs w:val="24"/>
        </w:rPr>
      </w:pPr>
    </w:p>
    <w:p w14:paraId="7F652DE4" w14:textId="77777777" w:rsidR="0051709B" w:rsidRDefault="0051709B" w:rsidP="005F0DB3">
      <w:pPr>
        <w:spacing w:line="360" w:lineRule="auto"/>
        <w:ind w:firstLine="720"/>
        <w:rPr>
          <w:rFonts w:ascii="Arial" w:hAnsi="Arial" w:cs="Arial"/>
          <w:sz w:val="24"/>
          <w:szCs w:val="24"/>
        </w:rPr>
      </w:pPr>
    </w:p>
    <w:p w14:paraId="471F39F2" w14:textId="689F92E9" w:rsidR="0051709B" w:rsidRPr="001F1321" w:rsidRDefault="0051709B" w:rsidP="001F1321">
      <w:pPr>
        <w:spacing w:line="360" w:lineRule="auto"/>
        <w:ind w:firstLine="720"/>
        <w:rPr>
          <w:rFonts w:ascii="Arial Black" w:hAnsi="Arial Black" w:cs="Arial"/>
          <w:sz w:val="24"/>
          <w:szCs w:val="24"/>
        </w:rPr>
      </w:pPr>
      <w:r w:rsidRPr="001F1321">
        <w:rPr>
          <w:rFonts w:ascii="Arial Black" w:hAnsi="Arial Black" w:cs="Arial"/>
          <w:sz w:val="24"/>
          <w:szCs w:val="24"/>
        </w:rPr>
        <w:t>References</w:t>
      </w:r>
    </w:p>
    <w:p w14:paraId="42F3D3F8" w14:textId="46DF61F0" w:rsidR="0051709B" w:rsidRDefault="0051709B" w:rsidP="0051709B">
      <w:pPr>
        <w:spacing w:line="360" w:lineRule="auto"/>
        <w:ind w:left="720" w:hanging="720"/>
        <w:rPr>
          <w:rFonts w:ascii="Arial" w:hAnsi="Arial" w:cs="Arial"/>
          <w:sz w:val="24"/>
          <w:szCs w:val="24"/>
        </w:rPr>
      </w:pPr>
      <w:r w:rsidRPr="0051709B">
        <w:rPr>
          <w:rFonts w:ascii="Arial" w:hAnsi="Arial" w:cs="Arial"/>
          <w:sz w:val="24"/>
          <w:szCs w:val="24"/>
        </w:rPr>
        <w:t xml:space="preserve">Braun, V., &amp; Clarke, V. (2006). Using thematic analysis in psychology. </w:t>
      </w:r>
      <w:r w:rsidRPr="001F1321">
        <w:rPr>
          <w:rFonts w:ascii="Arial" w:hAnsi="Arial" w:cs="Arial"/>
          <w:i/>
          <w:iCs/>
          <w:sz w:val="24"/>
          <w:szCs w:val="24"/>
        </w:rPr>
        <w:t>Qualitative Research in Psychology</w:t>
      </w:r>
      <w:r w:rsidRPr="0051709B">
        <w:rPr>
          <w:rFonts w:ascii="Arial" w:hAnsi="Arial" w:cs="Arial"/>
          <w:sz w:val="24"/>
          <w:szCs w:val="24"/>
        </w:rPr>
        <w:t xml:space="preserve">, 3(2), 77–101. </w:t>
      </w:r>
      <w:hyperlink r:id="rId4" w:history="1">
        <w:r w:rsidRPr="00B36133">
          <w:rPr>
            <w:rStyle w:val="Hyperlink"/>
            <w:rFonts w:ascii="Arial" w:hAnsi="Arial" w:cs="Arial"/>
            <w:sz w:val="24"/>
            <w:szCs w:val="24"/>
          </w:rPr>
          <w:t>https://doi.org/10.1191/1478088706qp063oa</w:t>
        </w:r>
      </w:hyperlink>
    </w:p>
    <w:p w14:paraId="0A1C93E5" w14:textId="23F4846F" w:rsidR="0051709B" w:rsidRDefault="0051709B" w:rsidP="0051709B">
      <w:pPr>
        <w:spacing w:line="360" w:lineRule="auto"/>
        <w:ind w:left="720" w:hanging="720"/>
        <w:rPr>
          <w:rFonts w:ascii="Arial" w:hAnsi="Arial" w:cs="Arial"/>
          <w:sz w:val="24"/>
          <w:szCs w:val="24"/>
        </w:rPr>
      </w:pPr>
      <w:r w:rsidRPr="0051709B">
        <w:rPr>
          <w:rFonts w:ascii="Arial" w:hAnsi="Arial" w:cs="Arial"/>
          <w:sz w:val="24"/>
          <w:szCs w:val="24"/>
        </w:rPr>
        <w:t xml:space="preserve">Braun, V., &amp; Clarke, V. (2022). Thematic Analysis: A Practical Guide. </w:t>
      </w:r>
      <w:r w:rsidRPr="001F1321">
        <w:rPr>
          <w:rFonts w:ascii="Arial" w:hAnsi="Arial" w:cs="Arial"/>
          <w:i/>
          <w:iCs/>
          <w:sz w:val="24"/>
          <w:szCs w:val="24"/>
        </w:rPr>
        <w:t>QMiP Bulletin</w:t>
      </w:r>
      <w:r w:rsidRPr="0051709B">
        <w:rPr>
          <w:rFonts w:ascii="Arial" w:hAnsi="Arial" w:cs="Arial"/>
          <w:sz w:val="24"/>
          <w:szCs w:val="24"/>
        </w:rPr>
        <w:t xml:space="preserve">, 1(33), 46–50. </w:t>
      </w:r>
      <w:hyperlink r:id="rId5" w:history="1">
        <w:r w:rsidRPr="00B36133">
          <w:rPr>
            <w:rStyle w:val="Hyperlink"/>
            <w:rFonts w:ascii="Arial" w:hAnsi="Arial" w:cs="Arial"/>
            <w:sz w:val="24"/>
            <w:szCs w:val="24"/>
          </w:rPr>
          <w:t>https://doi.org/10.53841/bpsqmip.2022.1.33.46</w:t>
        </w:r>
      </w:hyperlink>
    </w:p>
    <w:p w14:paraId="3BA4440A" w14:textId="1C54EF98" w:rsidR="001F1321" w:rsidRDefault="001F1321" w:rsidP="0051709B">
      <w:pPr>
        <w:spacing w:line="360" w:lineRule="auto"/>
        <w:ind w:left="720" w:hanging="720"/>
        <w:rPr>
          <w:rFonts w:ascii="Arial" w:hAnsi="Arial" w:cs="Arial"/>
          <w:sz w:val="24"/>
          <w:szCs w:val="24"/>
        </w:rPr>
      </w:pPr>
      <w:r w:rsidRPr="001F1321">
        <w:rPr>
          <w:rFonts w:ascii="Arial" w:hAnsi="Arial" w:cs="Arial"/>
          <w:sz w:val="24"/>
          <w:szCs w:val="24"/>
        </w:rPr>
        <w:t xml:space="preserve">Klapwijk, N. (2011). Boeije, H. 2010. Analysis in Qualitative Research. Sage Publications Ltd. </w:t>
      </w:r>
      <w:r w:rsidRPr="001F1321">
        <w:rPr>
          <w:rFonts w:ascii="Arial" w:hAnsi="Arial" w:cs="Arial"/>
          <w:i/>
          <w:iCs/>
          <w:sz w:val="24"/>
          <w:szCs w:val="24"/>
        </w:rPr>
        <w:t>Per Linguam</w:t>
      </w:r>
      <w:r w:rsidRPr="001F1321">
        <w:rPr>
          <w:rFonts w:ascii="Arial" w:hAnsi="Arial" w:cs="Arial"/>
          <w:sz w:val="24"/>
          <w:szCs w:val="24"/>
        </w:rPr>
        <w:t xml:space="preserve">, 26(2). </w:t>
      </w:r>
      <w:hyperlink r:id="rId6" w:history="1">
        <w:r w:rsidRPr="00B36133">
          <w:rPr>
            <w:rStyle w:val="Hyperlink"/>
            <w:rFonts w:ascii="Arial" w:hAnsi="Arial" w:cs="Arial"/>
            <w:sz w:val="24"/>
            <w:szCs w:val="24"/>
          </w:rPr>
          <w:t>https://doi.org/10.5785/26-2-24</w:t>
        </w:r>
      </w:hyperlink>
    </w:p>
    <w:p w14:paraId="6FB18AA2" w14:textId="2FB988B2" w:rsidR="00914C5C" w:rsidRDefault="00914C5C" w:rsidP="0051709B">
      <w:pPr>
        <w:spacing w:line="360" w:lineRule="auto"/>
        <w:ind w:left="720" w:hanging="720"/>
        <w:rPr>
          <w:rFonts w:ascii="Arial" w:hAnsi="Arial" w:cs="Arial"/>
          <w:sz w:val="24"/>
          <w:szCs w:val="24"/>
        </w:rPr>
      </w:pPr>
      <w:r w:rsidRPr="00914C5C">
        <w:rPr>
          <w:rFonts w:ascii="Arial" w:hAnsi="Arial" w:cs="Arial"/>
          <w:sz w:val="24"/>
          <w:szCs w:val="24"/>
        </w:rPr>
        <w:t xml:space="preserve">Rodham, K. (2003). Qualitative Health Psychology: Theories and Methods Michael Murray and Kerry Chamberlain (Eds.) London: Sage Publications, 1999. pp.262. 18.99 (paperback). ISBN: 0-7619-5661-1. </w:t>
      </w:r>
      <w:r w:rsidRPr="00914C5C">
        <w:rPr>
          <w:rFonts w:ascii="Arial" w:hAnsi="Arial" w:cs="Arial"/>
          <w:i/>
          <w:iCs/>
          <w:sz w:val="24"/>
          <w:szCs w:val="24"/>
        </w:rPr>
        <w:t>Behavioural and Cognitive Psychotherapy,</w:t>
      </w:r>
      <w:r w:rsidRPr="00914C5C">
        <w:rPr>
          <w:rFonts w:ascii="Arial" w:hAnsi="Arial" w:cs="Arial"/>
          <w:sz w:val="24"/>
          <w:szCs w:val="24"/>
        </w:rPr>
        <w:t xml:space="preserve"> 31(2), 221–232. </w:t>
      </w:r>
      <w:hyperlink r:id="rId7" w:history="1">
        <w:r w:rsidRPr="00B36133">
          <w:rPr>
            <w:rStyle w:val="Hyperlink"/>
            <w:rFonts w:ascii="Arial" w:hAnsi="Arial" w:cs="Arial"/>
            <w:sz w:val="24"/>
            <w:szCs w:val="24"/>
          </w:rPr>
          <w:t>https://doi.org/10.1017/s1352465803292110</w:t>
        </w:r>
      </w:hyperlink>
    </w:p>
    <w:p w14:paraId="27AB967C" w14:textId="2973C72E" w:rsidR="00914C5C" w:rsidRDefault="00914C5C" w:rsidP="0051709B">
      <w:pPr>
        <w:spacing w:line="360" w:lineRule="auto"/>
        <w:ind w:left="720" w:hanging="720"/>
        <w:rPr>
          <w:rFonts w:ascii="Arial" w:hAnsi="Arial" w:cs="Arial"/>
          <w:sz w:val="24"/>
          <w:szCs w:val="24"/>
        </w:rPr>
      </w:pPr>
      <w:r w:rsidRPr="00914C5C">
        <w:rPr>
          <w:rFonts w:ascii="Arial" w:hAnsi="Arial" w:cs="Arial"/>
          <w:sz w:val="24"/>
          <w:szCs w:val="24"/>
        </w:rPr>
        <w:t xml:space="preserve">Wright, K. B. (2006). Researching Internet-Based Populations: Advantages and Disadvantages of Online Survey Research, Online Questionnaire Authoring Software Packages, and Web Survey Services. </w:t>
      </w:r>
      <w:r w:rsidRPr="00914C5C">
        <w:rPr>
          <w:rFonts w:ascii="Arial" w:hAnsi="Arial" w:cs="Arial"/>
          <w:i/>
          <w:iCs/>
          <w:sz w:val="24"/>
          <w:szCs w:val="24"/>
        </w:rPr>
        <w:t>Journal of Computer-Mediated Communication</w:t>
      </w:r>
      <w:r w:rsidRPr="00914C5C">
        <w:rPr>
          <w:rFonts w:ascii="Arial" w:hAnsi="Arial" w:cs="Arial"/>
          <w:sz w:val="24"/>
          <w:szCs w:val="24"/>
        </w:rPr>
        <w:t xml:space="preserve">, 10(3), 00–00. </w:t>
      </w:r>
      <w:hyperlink r:id="rId8" w:history="1">
        <w:r w:rsidRPr="00B36133">
          <w:rPr>
            <w:rStyle w:val="Hyperlink"/>
            <w:rFonts w:ascii="Arial" w:hAnsi="Arial" w:cs="Arial"/>
            <w:sz w:val="24"/>
            <w:szCs w:val="24"/>
          </w:rPr>
          <w:t>https://doi.org/10.1111/j.1083-6101.2005.tb00259.x</w:t>
        </w:r>
      </w:hyperlink>
    </w:p>
    <w:p w14:paraId="3987C00B" w14:textId="77777777" w:rsidR="00914C5C" w:rsidRDefault="00914C5C" w:rsidP="0051709B">
      <w:pPr>
        <w:spacing w:line="360" w:lineRule="auto"/>
        <w:ind w:left="720" w:hanging="720"/>
        <w:rPr>
          <w:rFonts w:ascii="Arial" w:hAnsi="Arial" w:cs="Arial"/>
          <w:sz w:val="24"/>
          <w:szCs w:val="24"/>
        </w:rPr>
      </w:pPr>
    </w:p>
    <w:p w14:paraId="1B4D71D8" w14:textId="77777777" w:rsidR="00914C5C" w:rsidRDefault="00914C5C" w:rsidP="0051709B">
      <w:pPr>
        <w:spacing w:line="360" w:lineRule="auto"/>
        <w:ind w:left="720" w:hanging="720"/>
        <w:rPr>
          <w:rFonts w:ascii="Arial" w:hAnsi="Arial" w:cs="Arial"/>
          <w:sz w:val="24"/>
          <w:szCs w:val="24"/>
        </w:rPr>
      </w:pPr>
    </w:p>
    <w:p w14:paraId="5044DDAA" w14:textId="77777777" w:rsidR="001F1321" w:rsidRDefault="001F1321" w:rsidP="0051709B">
      <w:pPr>
        <w:spacing w:line="360" w:lineRule="auto"/>
        <w:ind w:left="720" w:hanging="720"/>
        <w:rPr>
          <w:rFonts w:ascii="Arial" w:hAnsi="Arial" w:cs="Arial"/>
          <w:sz w:val="24"/>
          <w:szCs w:val="24"/>
        </w:rPr>
      </w:pPr>
    </w:p>
    <w:p w14:paraId="1DFFEFA6" w14:textId="77777777" w:rsidR="0051709B" w:rsidRDefault="0051709B" w:rsidP="0051709B">
      <w:pPr>
        <w:spacing w:line="360" w:lineRule="auto"/>
        <w:ind w:left="720" w:hanging="720"/>
        <w:rPr>
          <w:rFonts w:ascii="Arial" w:hAnsi="Arial" w:cs="Arial"/>
          <w:sz w:val="24"/>
          <w:szCs w:val="24"/>
        </w:rPr>
      </w:pPr>
    </w:p>
    <w:p w14:paraId="6388CD52" w14:textId="77777777" w:rsidR="002357BB" w:rsidRDefault="002357BB" w:rsidP="005F0DB3">
      <w:pPr>
        <w:spacing w:line="360" w:lineRule="auto"/>
        <w:ind w:firstLine="720"/>
        <w:rPr>
          <w:rFonts w:ascii="Arial" w:hAnsi="Arial" w:cs="Arial"/>
          <w:sz w:val="24"/>
          <w:szCs w:val="24"/>
        </w:rPr>
      </w:pPr>
    </w:p>
    <w:p w14:paraId="4C7BED19" w14:textId="77777777" w:rsidR="002357BB" w:rsidRDefault="002357BB" w:rsidP="005F0DB3">
      <w:pPr>
        <w:spacing w:line="360" w:lineRule="auto"/>
        <w:ind w:firstLine="720"/>
        <w:rPr>
          <w:rFonts w:ascii="Arial" w:hAnsi="Arial" w:cs="Arial"/>
          <w:sz w:val="24"/>
          <w:szCs w:val="24"/>
        </w:rPr>
      </w:pPr>
    </w:p>
    <w:p w14:paraId="47F5FAE9" w14:textId="77777777" w:rsidR="002357BB" w:rsidRDefault="002357BB" w:rsidP="005F0DB3">
      <w:pPr>
        <w:spacing w:line="360" w:lineRule="auto"/>
        <w:ind w:firstLine="720"/>
        <w:rPr>
          <w:rFonts w:ascii="Arial" w:hAnsi="Arial" w:cs="Arial"/>
          <w:sz w:val="24"/>
          <w:szCs w:val="24"/>
        </w:rPr>
      </w:pPr>
    </w:p>
    <w:p w14:paraId="333939BA" w14:textId="77777777" w:rsidR="002357BB" w:rsidRDefault="002357BB" w:rsidP="005F0DB3">
      <w:pPr>
        <w:spacing w:line="360" w:lineRule="auto"/>
        <w:ind w:firstLine="720"/>
        <w:rPr>
          <w:rFonts w:ascii="Arial" w:hAnsi="Arial" w:cs="Arial"/>
          <w:sz w:val="24"/>
          <w:szCs w:val="24"/>
        </w:rPr>
      </w:pPr>
    </w:p>
    <w:p w14:paraId="39A0A34E" w14:textId="77777777" w:rsidR="00914C5C" w:rsidRDefault="00914C5C" w:rsidP="00914C5C">
      <w:pPr>
        <w:spacing w:line="360" w:lineRule="auto"/>
        <w:rPr>
          <w:rFonts w:ascii="Arial" w:hAnsi="Arial" w:cs="Arial"/>
          <w:sz w:val="24"/>
          <w:szCs w:val="24"/>
        </w:rPr>
      </w:pPr>
    </w:p>
    <w:p w14:paraId="792B3D22" w14:textId="2A6D2E94" w:rsidR="00F354BD" w:rsidRPr="00914C5C" w:rsidRDefault="002357BB" w:rsidP="00914C5C">
      <w:pPr>
        <w:spacing w:line="360" w:lineRule="auto"/>
        <w:rPr>
          <w:rFonts w:ascii="Arial Black" w:hAnsi="Arial Black" w:cs="Arial"/>
          <w:sz w:val="24"/>
          <w:szCs w:val="24"/>
        </w:rPr>
      </w:pPr>
      <w:r w:rsidRPr="00914C5C">
        <w:rPr>
          <w:rFonts w:ascii="Arial Black" w:hAnsi="Arial Black" w:cs="Arial"/>
          <w:sz w:val="24"/>
          <w:szCs w:val="24"/>
        </w:rPr>
        <w:lastRenderedPageBreak/>
        <w:t xml:space="preserve">Appendix </w:t>
      </w:r>
    </w:p>
    <w:p w14:paraId="307D6AB7" w14:textId="1B6F5983" w:rsidR="00F354BD" w:rsidRPr="00914C5C" w:rsidRDefault="00F354BD" w:rsidP="005F0DB3">
      <w:pPr>
        <w:spacing w:line="360" w:lineRule="auto"/>
        <w:ind w:firstLine="720"/>
        <w:rPr>
          <w:rFonts w:ascii="Arial Black" w:hAnsi="Arial Black" w:cs="Arial"/>
          <w:sz w:val="24"/>
          <w:szCs w:val="24"/>
        </w:rPr>
      </w:pPr>
      <w:r w:rsidRPr="00914C5C">
        <w:rPr>
          <w:rFonts w:ascii="Arial Black" w:hAnsi="Arial Black" w:cs="Arial"/>
          <w:sz w:val="24"/>
          <w:szCs w:val="24"/>
        </w:rPr>
        <w:drawing>
          <wp:anchor distT="0" distB="0" distL="114300" distR="114300" simplePos="0" relativeHeight="251658240" behindDoc="1" locked="0" layoutInCell="1" allowOverlap="1" wp14:anchorId="0094889D" wp14:editId="6D13F155">
            <wp:simplePos x="0" y="0"/>
            <wp:positionH relativeFrom="margin">
              <wp:align>right</wp:align>
            </wp:positionH>
            <wp:positionV relativeFrom="paragraph">
              <wp:posOffset>361950</wp:posOffset>
            </wp:positionV>
            <wp:extent cx="5731510" cy="4188460"/>
            <wp:effectExtent l="0" t="0" r="2540" b="2540"/>
            <wp:wrapTight wrapText="bothSides">
              <wp:wrapPolygon edited="0">
                <wp:start x="0" y="0"/>
                <wp:lineTo x="0" y="21515"/>
                <wp:lineTo x="21538" y="21515"/>
                <wp:lineTo x="21538" y="0"/>
                <wp:lineTo x="0" y="0"/>
              </wp:wrapPolygon>
            </wp:wrapTight>
            <wp:docPr id="1602174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74430"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188460"/>
                    </a:xfrm>
                    <a:prstGeom prst="rect">
                      <a:avLst/>
                    </a:prstGeom>
                  </pic:spPr>
                </pic:pic>
              </a:graphicData>
            </a:graphic>
          </wp:anchor>
        </w:drawing>
      </w:r>
      <w:r w:rsidRPr="00914C5C">
        <w:rPr>
          <w:rFonts w:ascii="Arial Black" w:hAnsi="Arial Black" w:cs="Arial"/>
          <w:sz w:val="24"/>
          <w:szCs w:val="24"/>
        </w:rPr>
        <w:t xml:space="preserve">Microsoft Form </w:t>
      </w:r>
    </w:p>
    <w:p w14:paraId="2E581752" w14:textId="3CCAAD85" w:rsidR="00F354BD" w:rsidRDefault="00F354BD" w:rsidP="005F0DB3">
      <w:pPr>
        <w:spacing w:line="360" w:lineRule="auto"/>
        <w:ind w:firstLine="720"/>
        <w:rPr>
          <w:rFonts w:ascii="Arial" w:hAnsi="Arial" w:cs="Arial"/>
          <w:sz w:val="24"/>
          <w:szCs w:val="24"/>
        </w:rPr>
      </w:pPr>
    </w:p>
    <w:p w14:paraId="69440046" w14:textId="1965102F" w:rsidR="002357BB" w:rsidRPr="00914C5C" w:rsidRDefault="00F354BD" w:rsidP="005F0DB3">
      <w:pPr>
        <w:spacing w:line="360" w:lineRule="auto"/>
        <w:ind w:firstLine="720"/>
        <w:rPr>
          <w:rFonts w:ascii="Arial Black" w:hAnsi="Arial Black" w:cs="Arial"/>
          <w:sz w:val="24"/>
          <w:szCs w:val="24"/>
        </w:rPr>
      </w:pPr>
      <w:r w:rsidRPr="00914C5C">
        <w:rPr>
          <w:rFonts w:ascii="Arial Black" w:hAnsi="Arial Black" w:cs="Arial"/>
          <w:noProof/>
          <w:sz w:val="24"/>
          <w:szCs w:val="24"/>
        </w:rPr>
        <w:drawing>
          <wp:anchor distT="0" distB="0" distL="114300" distR="114300" simplePos="0" relativeHeight="251659264" behindDoc="0" locked="0" layoutInCell="1" allowOverlap="1" wp14:anchorId="78338B1F" wp14:editId="6A5FCAE5">
            <wp:simplePos x="0" y="0"/>
            <wp:positionH relativeFrom="margin">
              <wp:align>left</wp:align>
            </wp:positionH>
            <wp:positionV relativeFrom="paragraph">
              <wp:posOffset>354965</wp:posOffset>
            </wp:positionV>
            <wp:extent cx="5905500" cy="2674620"/>
            <wp:effectExtent l="0" t="0" r="0" b="0"/>
            <wp:wrapThrough wrapText="bothSides">
              <wp:wrapPolygon edited="0">
                <wp:start x="0" y="0"/>
                <wp:lineTo x="0" y="21385"/>
                <wp:lineTo x="21530" y="21385"/>
                <wp:lineTo x="21530" y="0"/>
                <wp:lineTo x="0" y="0"/>
              </wp:wrapPolygon>
            </wp:wrapThrough>
            <wp:docPr id="1387911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5500" cy="2674620"/>
                    </a:xfrm>
                    <a:prstGeom prst="rect">
                      <a:avLst/>
                    </a:prstGeom>
                    <a:noFill/>
                  </pic:spPr>
                </pic:pic>
              </a:graphicData>
            </a:graphic>
            <wp14:sizeRelH relativeFrom="margin">
              <wp14:pctWidth>0</wp14:pctWidth>
            </wp14:sizeRelH>
            <wp14:sizeRelV relativeFrom="margin">
              <wp14:pctHeight>0</wp14:pctHeight>
            </wp14:sizeRelV>
          </wp:anchor>
        </w:drawing>
      </w:r>
      <w:r w:rsidRPr="00914C5C">
        <w:rPr>
          <w:rFonts w:ascii="Arial Black" w:hAnsi="Arial Black" w:cs="Arial"/>
          <w:sz w:val="24"/>
          <w:szCs w:val="24"/>
        </w:rPr>
        <w:t>Invitation email</w:t>
      </w:r>
    </w:p>
    <w:p w14:paraId="55899177" w14:textId="77777777" w:rsidR="00F354BD" w:rsidRPr="00752669" w:rsidRDefault="00F354BD" w:rsidP="005F0DB3">
      <w:pPr>
        <w:spacing w:line="360" w:lineRule="auto"/>
        <w:ind w:firstLine="720"/>
        <w:rPr>
          <w:rFonts w:ascii="Arial" w:hAnsi="Arial" w:cs="Arial"/>
          <w:sz w:val="24"/>
          <w:szCs w:val="24"/>
        </w:rPr>
      </w:pPr>
    </w:p>
    <w:sectPr w:rsidR="00F354BD" w:rsidRPr="00752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3F8"/>
    <w:rsid w:val="001D6E89"/>
    <w:rsid w:val="001F1321"/>
    <w:rsid w:val="002357BB"/>
    <w:rsid w:val="003A2F4E"/>
    <w:rsid w:val="003E72E7"/>
    <w:rsid w:val="004F43F8"/>
    <w:rsid w:val="0051709B"/>
    <w:rsid w:val="005E6A13"/>
    <w:rsid w:val="005F0DB3"/>
    <w:rsid w:val="00752669"/>
    <w:rsid w:val="007A1C6A"/>
    <w:rsid w:val="00914C5C"/>
    <w:rsid w:val="009652AE"/>
    <w:rsid w:val="00B37FFC"/>
    <w:rsid w:val="00DA5D03"/>
    <w:rsid w:val="00F354BD"/>
    <w:rsid w:val="00F67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188CC7"/>
  <w15:chartTrackingRefBased/>
  <w15:docId w15:val="{08E38C7E-92E5-41E1-BA07-CE368EE06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3F8"/>
    <w:rPr>
      <w:rFonts w:eastAsiaTheme="majorEastAsia" w:cstheme="majorBidi"/>
      <w:color w:val="272727" w:themeColor="text1" w:themeTint="D8"/>
    </w:rPr>
  </w:style>
  <w:style w:type="paragraph" w:styleId="Title">
    <w:name w:val="Title"/>
    <w:basedOn w:val="Normal"/>
    <w:next w:val="Normal"/>
    <w:link w:val="TitleChar"/>
    <w:uiPriority w:val="10"/>
    <w:qFormat/>
    <w:rsid w:val="004F4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3F8"/>
    <w:pPr>
      <w:spacing w:before="160"/>
      <w:jc w:val="center"/>
    </w:pPr>
    <w:rPr>
      <w:i/>
      <w:iCs/>
      <w:color w:val="404040" w:themeColor="text1" w:themeTint="BF"/>
    </w:rPr>
  </w:style>
  <w:style w:type="character" w:customStyle="1" w:styleId="QuoteChar">
    <w:name w:val="Quote Char"/>
    <w:basedOn w:val="DefaultParagraphFont"/>
    <w:link w:val="Quote"/>
    <w:uiPriority w:val="29"/>
    <w:rsid w:val="004F43F8"/>
    <w:rPr>
      <w:i/>
      <w:iCs/>
      <w:color w:val="404040" w:themeColor="text1" w:themeTint="BF"/>
    </w:rPr>
  </w:style>
  <w:style w:type="paragraph" w:styleId="ListParagraph">
    <w:name w:val="List Paragraph"/>
    <w:basedOn w:val="Normal"/>
    <w:uiPriority w:val="34"/>
    <w:qFormat/>
    <w:rsid w:val="004F43F8"/>
    <w:pPr>
      <w:ind w:left="720"/>
      <w:contextualSpacing/>
    </w:pPr>
  </w:style>
  <w:style w:type="character" w:styleId="IntenseEmphasis">
    <w:name w:val="Intense Emphasis"/>
    <w:basedOn w:val="DefaultParagraphFont"/>
    <w:uiPriority w:val="21"/>
    <w:qFormat/>
    <w:rsid w:val="004F43F8"/>
    <w:rPr>
      <w:i/>
      <w:iCs/>
      <w:color w:val="0F4761" w:themeColor="accent1" w:themeShade="BF"/>
    </w:rPr>
  </w:style>
  <w:style w:type="paragraph" w:styleId="IntenseQuote">
    <w:name w:val="Intense Quote"/>
    <w:basedOn w:val="Normal"/>
    <w:next w:val="Normal"/>
    <w:link w:val="IntenseQuoteChar"/>
    <w:uiPriority w:val="30"/>
    <w:qFormat/>
    <w:rsid w:val="004F4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3F8"/>
    <w:rPr>
      <w:i/>
      <w:iCs/>
      <w:color w:val="0F4761" w:themeColor="accent1" w:themeShade="BF"/>
    </w:rPr>
  </w:style>
  <w:style w:type="character" w:styleId="IntenseReference">
    <w:name w:val="Intense Reference"/>
    <w:basedOn w:val="DefaultParagraphFont"/>
    <w:uiPriority w:val="32"/>
    <w:qFormat/>
    <w:rsid w:val="004F43F8"/>
    <w:rPr>
      <w:b/>
      <w:bCs/>
      <w:smallCaps/>
      <w:color w:val="0F4761" w:themeColor="accent1" w:themeShade="BF"/>
      <w:spacing w:val="5"/>
    </w:rPr>
  </w:style>
  <w:style w:type="character" w:styleId="Hyperlink">
    <w:name w:val="Hyperlink"/>
    <w:basedOn w:val="DefaultParagraphFont"/>
    <w:uiPriority w:val="99"/>
    <w:unhideWhenUsed/>
    <w:rsid w:val="0051709B"/>
    <w:rPr>
      <w:color w:val="467886" w:themeColor="hyperlink"/>
      <w:u w:val="single"/>
    </w:rPr>
  </w:style>
  <w:style w:type="character" w:styleId="UnresolvedMention">
    <w:name w:val="Unresolved Mention"/>
    <w:basedOn w:val="DefaultParagraphFont"/>
    <w:uiPriority w:val="99"/>
    <w:semiHidden/>
    <w:unhideWhenUsed/>
    <w:rsid w:val="005170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083-6101.2005.tb00259.x" TargetMode="External"/><Relationship Id="rId3" Type="http://schemas.openxmlformats.org/officeDocument/2006/relationships/webSettings" Target="webSettings.xml"/><Relationship Id="rId7" Type="http://schemas.openxmlformats.org/officeDocument/2006/relationships/hyperlink" Target="https://doi.org/10.1017/s135246580329211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785/26-2-24" TargetMode="External"/><Relationship Id="rId11" Type="http://schemas.openxmlformats.org/officeDocument/2006/relationships/fontTable" Target="fontTable.xml"/><Relationship Id="rId5" Type="http://schemas.openxmlformats.org/officeDocument/2006/relationships/hyperlink" Target="https://doi.org/10.53841/bpsqmip.2022.1.33.46" TargetMode="External"/><Relationship Id="rId10" Type="http://schemas.openxmlformats.org/officeDocument/2006/relationships/image" Target="media/image2.png"/><Relationship Id="rId4" Type="http://schemas.openxmlformats.org/officeDocument/2006/relationships/hyperlink" Target="https://doi.org/10.1191/1478088706qp063oa" TargetMode="Externa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1169</Words>
  <Characters>7442</Characters>
  <Application>Microsoft Office Word</Application>
  <DocSecurity>0</DocSecurity>
  <Lines>162</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2024-03-03T19:34:00Z</dcterms:created>
  <dcterms:modified xsi:type="dcterms:W3CDTF">2024-03-03T19:34:00Z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440e7d3b-ce20-4a9c-b6eb-721388b4d791</vt:lpwstr>
  </property>
</Properties>
</file>