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E6D516" w14:textId="77777777" w:rsidR="00E15690" w:rsidRDefault="00E15690" w:rsidP="00E15690"/>
    <w:p w14:paraId="4689700E" w14:textId="77777777" w:rsidR="00E15690" w:rsidRDefault="00305D8D" w:rsidP="00305D8D">
      <w:pPr>
        <w:jc w:val="center"/>
      </w:pPr>
      <w:r>
        <w:rPr>
          <w:noProof/>
        </w:rPr>
        <w:drawing>
          <wp:inline distT="0" distB="0" distL="0" distR="0" wp14:anchorId="0E1DE688" wp14:editId="2C219BFD">
            <wp:extent cx="2736026" cy="2009331"/>
            <wp:effectExtent l="19050" t="0" r="7174"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a:srcRect/>
                    <a:stretch>
                      <a:fillRect/>
                    </a:stretch>
                  </pic:blipFill>
                  <pic:spPr bwMode="auto">
                    <a:xfrm>
                      <a:off x="0" y="0"/>
                      <a:ext cx="2736313" cy="2009541"/>
                    </a:xfrm>
                    <a:prstGeom prst="rect">
                      <a:avLst/>
                    </a:prstGeom>
                    <a:noFill/>
                    <a:ln w="9525">
                      <a:noFill/>
                      <a:miter lim="800000"/>
                      <a:headEnd/>
                      <a:tailEnd/>
                    </a:ln>
                  </pic:spPr>
                </pic:pic>
              </a:graphicData>
            </a:graphic>
          </wp:inline>
        </w:drawing>
      </w:r>
    </w:p>
    <w:p w14:paraId="219C925E" w14:textId="77777777" w:rsidR="00E15690" w:rsidRDefault="00E15690" w:rsidP="00E15690"/>
    <w:p w14:paraId="0EA7EC5B" w14:textId="77777777" w:rsidR="00E15690" w:rsidRDefault="00000000" w:rsidP="00E15690">
      <w:r>
        <w:rPr>
          <w:noProof/>
        </w:rPr>
        <w:pict w14:anchorId="206A15AC">
          <v:shapetype id="_x0000_t202" coordsize="21600,21600" o:spt="202" path="m,l,21600r21600,l21600,xe">
            <v:stroke joinstyle="miter"/>
            <v:path gradientshapeok="t" o:connecttype="rect"/>
          </v:shapetype>
          <v:shape id="Text Box 131" o:spid="_x0000_s1026" type="#_x0000_t202" style="position:absolute;margin-left:30.3pt;margin-top:295.9pt;width:410.5pt;height:265.8pt;z-index:251658240;visibility:visible;mso-height-percent:350;mso-wrap-distance-left:14.4pt;mso-wrap-distance-right:14.4pt;mso-position-horizontal-relative:margin;mso-position-vertical-relative:page;mso-height-percent:35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" filled="f" stroked="f" strokeweight=".5pt">
            <v:textbox style="mso-fit-shape-to-text:t" inset="0,0,0,0">
              <w:txbxContent>
                <w:p w14:paraId="4BC5D142" w14:textId="77777777" w:rsidR="00181E04" w:rsidRPr="00456474" w:rsidRDefault="00181E04" w:rsidP="00E15690">
                  <w:pPr>
                    <w:pStyle w:val="NoSpacing"/>
                    <w:spacing w:before="80" w:after="40"/>
                    <w:jc w:val="center"/>
                    <w:rPr>
                      <w:rFonts w:ascii="Arial" w:hAnsi="Arial" w:cs="Arial"/>
                      <w:bCs/>
                      <w:sz w:val="56"/>
                      <w:szCs w:val="56"/>
                    </w:rPr>
                  </w:pPr>
                </w:p>
                <w:p w14:paraId="7EF9ACD6" w14:textId="77777777" w:rsidR="00181E04" w:rsidRPr="00456474" w:rsidRDefault="00181E04" w:rsidP="00E15690">
                  <w:pPr>
                    <w:pStyle w:val="NoSpacing"/>
                    <w:spacing w:before="80" w:after="40"/>
                    <w:jc w:val="center"/>
                    <w:rPr>
                      <w:rFonts w:ascii="Arial" w:hAnsi="Arial" w:cs="Arial"/>
                      <w:bCs/>
                      <w:sz w:val="56"/>
                      <w:szCs w:val="56"/>
                    </w:rPr>
                  </w:pPr>
                  <w:r w:rsidRPr="00456474">
                    <w:rPr>
                      <w:rFonts w:ascii="Arial" w:hAnsi="Arial" w:cs="Arial"/>
                      <w:bCs/>
                      <w:sz w:val="56"/>
                      <w:szCs w:val="56"/>
                    </w:rPr>
                    <w:t xml:space="preserve"> Vanguard Hospitality Advisory</w:t>
                  </w:r>
                  <w:r w:rsidR="00305D8D" w:rsidRPr="00456474">
                    <w:rPr>
                      <w:rFonts w:ascii="Arial" w:hAnsi="Arial" w:cs="Arial"/>
                      <w:bCs/>
                      <w:sz w:val="56"/>
                      <w:szCs w:val="56"/>
                    </w:rPr>
                    <w:t xml:space="preserve"> Report for</w:t>
                  </w:r>
                </w:p>
                <w:p w14:paraId="4B68821B" w14:textId="77777777" w:rsidR="00181E04" w:rsidRDefault="00181E04" w:rsidP="00E15690">
                  <w:pPr>
                    <w:pStyle w:val="NoSpacing"/>
                    <w:spacing w:before="80" w:after="40"/>
                    <w:jc w:val="center"/>
                    <w:rPr>
                      <w:rFonts w:ascii="Arial" w:hAnsi="Arial" w:cs="Arial"/>
                      <w:b/>
                      <w:bCs/>
                      <w:sz w:val="56"/>
                      <w:szCs w:val="56"/>
                    </w:rPr>
                  </w:pPr>
                </w:p>
                <w:p w14:paraId="03542319" w14:textId="77777777" w:rsidR="00181E04" w:rsidRPr="00456474" w:rsidRDefault="00E146A0" w:rsidP="00181E04">
                  <w:pPr>
                    <w:pStyle w:val="NoSpacing"/>
                    <w:spacing w:before="80" w:after="40"/>
                    <w:jc w:val="center"/>
                    <w:rPr>
                      <w:rFonts w:ascii="Arial" w:hAnsi="Arial" w:cs="Arial"/>
                      <w:b/>
                      <w:bCs/>
                      <w:sz w:val="72"/>
                      <w:szCs w:val="72"/>
                    </w:rPr>
                  </w:pPr>
                  <w:r w:rsidRPr="00456474">
                    <w:rPr>
                      <w:rFonts w:ascii="Arial" w:hAnsi="Arial" w:cs="Arial"/>
                      <w:b/>
                      <w:bCs/>
                      <w:sz w:val="72"/>
                      <w:szCs w:val="72"/>
                    </w:rPr>
                    <w:t>The Gleneagles Hotel</w:t>
                  </w:r>
                  <w:r w:rsidR="00181E04" w:rsidRPr="00456474">
                    <w:rPr>
                      <w:rFonts w:ascii="Arial" w:hAnsi="Arial" w:cs="Arial"/>
                      <w:b/>
                      <w:bCs/>
                      <w:sz w:val="72"/>
                      <w:szCs w:val="72"/>
                    </w:rPr>
                    <w:t xml:space="preserve"> Scotland</w:t>
                  </w:r>
                </w:p>
                <w:p w14:paraId="4DD32F07" w14:textId="77777777" w:rsidR="00181E04" w:rsidRPr="00456474" w:rsidRDefault="00181E04" w:rsidP="00E15690">
                  <w:pPr>
                    <w:pStyle w:val="NoSpacing"/>
                    <w:spacing w:before="80" w:after="40"/>
                    <w:jc w:val="center"/>
                    <w:rPr>
                      <w:rFonts w:ascii="Arial" w:hAnsi="Arial" w:cs="Arial"/>
                      <w:b/>
                      <w:caps/>
                      <w:color w:val="4BACC6" w:themeColor="accent5"/>
                      <w:sz w:val="56"/>
                      <w:szCs w:val="56"/>
                    </w:rPr>
                  </w:pPr>
                </w:p>
              </w:txbxContent>
            </v:textbox>
            <w10:wrap type="square" anchorx="margin" anchory="page"/>
          </v:shape>
        </w:pict>
      </w:r>
    </w:p>
    <w:p w14:paraId="5B23081E" w14:textId="77777777" w:rsidR="00E15690" w:rsidRDefault="00E15690" w:rsidP="00E15690"/>
    <w:p w14:paraId="69FB556A" w14:textId="77777777" w:rsidR="00E15690" w:rsidRPr="001C1C8E" w:rsidRDefault="00305D8D" w:rsidP="00305D8D">
      <w:pPr>
        <w:pStyle w:val="NoSpacing"/>
        <w:spacing w:line="360" w:lineRule="auto"/>
        <w:rPr>
          <w:rFonts w:ascii="Arial" w:hAnsi="Arial" w:cs="Arial"/>
          <w:b/>
          <w:sz w:val="24"/>
          <w:szCs w:val="24"/>
        </w:rPr>
      </w:pPr>
      <w:r>
        <w:rPr>
          <w:rFonts w:ascii="Arial" w:hAnsi="Arial" w:cs="Arial"/>
          <w:b/>
          <w:sz w:val="24"/>
          <w:szCs w:val="24"/>
        </w:rPr>
        <w:t xml:space="preserve">                                                 </w:t>
      </w:r>
      <w:proofErr w:type="spellStart"/>
      <w:r w:rsidR="00E15690" w:rsidRPr="001C1C8E">
        <w:rPr>
          <w:rFonts w:ascii="Arial" w:hAnsi="Arial" w:cs="Arial"/>
          <w:b/>
          <w:sz w:val="24"/>
          <w:szCs w:val="24"/>
        </w:rPr>
        <w:t>Organisational</w:t>
      </w:r>
      <w:proofErr w:type="spellEnd"/>
      <w:r w:rsidR="00E15690" w:rsidRPr="001C1C8E">
        <w:rPr>
          <w:rFonts w:ascii="Arial" w:hAnsi="Arial" w:cs="Arial"/>
          <w:b/>
          <w:sz w:val="24"/>
          <w:szCs w:val="24"/>
        </w:rPr>
        <w:t xml:space="preserve"> Consultancy </w:t>
      </w:r>
    </w:p>
    <w:p w14:paraId="6A08C0A3" w14:textId="77777777" w:rsidR="00E15690" w:rsidRPr="001108CD" w:rsidRDefault="00E15690" w:rsidP="00E15690">
      <w:pPr>
        <w:pStyle w:val="NoSpacing"/>
        <w:spacing w:line="360" w:lineRule="auto"/>
        <w:jc w:val="center"/>
        <w:rPr>
          <w:rFonts w:ascii="Arial" w:hAnsi="Arial" w:cs="Arial"/>
          <w:b/>
          <w:bCs/>
          <w:sz w:val="24"/>
          <w:szCs w:val="24"/>
        </w:rPr>
      </w:pPr>
      <w:r>
        <w:rPr>
          <w:rFonts w:ascii="Arial" w:hAnsi="Arial" w:cs="Arial"/>
          <w:b/>
          <w:bCs/>
          <w:sz w:val="24"/>
          <w:szCs w:val="24"/>
        </w:rPr>
        <w:t>BMIH6005</w:t>
      </w:r>
    </w:p>
    <w:p w14:paraId="6CD31417" w14:textId="77777777" w:rsidR="00E15690" w:rsidRPr="001108CD" w:rsidRDefault="00E15690" w:rsidP="00E15690">
      <w:pPr>
        <w:pStyle w:val="NoSpacing"/>
        <w:spacing w:line="360" w:lineRule="auto"/>
        <w:jc w:val="center"/>
        <w:rPr>
          <w:rFonts w:ascii="Arial" w:hAnsi="Arial" w:cs="Arial"/>
          <w:b/>
          <w:bCs/>
          <w:sz w:val="24"/>
          <w:szCs w:val="24"/>
        </w:rPr>
      </w:pPr>
      <w:r w:rsidRPr="001108CD">
        <w:rPr>
          <w:rFonts w:ascii="Arial" w:hAnsi="Arial" w:cs="Arial"/>
          <w:b/>
          <w:bCs/>
          <w:sz w:val="24"/>
          <w:szCs w:val="24"/>
        </w:rPr>
        <w:t xml:space="preserve">Lecturer: </w:t>
      </w:r>
      <w:r w:rsidRPr="001C1C8E">
        <w:rPr>
          <w:rFonts w:ascii="Arial" w:hAnsi="Arial" w:cs="Arial"/>
          <w:b/>
          <w:sz w:val="24"/>
          <w:szCs w:val="24"/>
        </w:rPr>
        <w:t>Natalie Brailsford</w:t>
      </w:r>
    </w:p>
    <w:p w14:paraId="78B69F40" w14:textId="77777777" w:rsidR="00E15690" w:rsidRPr="001108CD" w:rsidRDefault="00E15690" w:rsidP="00E15690">
      <w:pPr>
        <w:pStyle w:val="NoSpacing"/>
        <w:spacing w:line="360" w:lineRule="auto"/>
        <w:jc w:val="center"/>
        <w:rPr>
          <w:rFonts w:ascii="Arial" w:hAnsi="Arial" w:cs="Arial"/>
          <w:b/>
          <w:sz w:val="24"/>
          <w:szCs w:val="24"/>
        </w:rPr>
      </w:pPr>
      <w:r w:rsidRPr="001108CD">
        <w:rPr>
          <w:rFonts w:ascii="Arial" w:hAnsi="Arial" w:cs="Arial"/>
          <w:b/>
          <w:sz w:val="24"/>
          <w:szCs w:val="24"/>
        </w:rPr>
        <w:t>Student name: Florica Anamaria Ciuta</w:t>
      </w:r>
    </w:p>
    <w:p w14:paraId="110865D8" w14:textId="77777777" w:rsidR="00E15690" w:rsidRDefault="00E15690" w:rsidP="00E15690">
      <w:pPr>
        <w:rPr>
          <w:rFonts w:ascii="Arial" w:hAnsi="Arial" w:cs="Arial"/>
          <w:b/>
          <w:sz w:val="24"/>
          <w:szCs w:val="24"/>
        </w:rPr>
      </w:pPr>
      <w:r>
        <w:rPr>
          <w:rFonts w:ascii="Arial" w:hAnsi="Arial" w:cs="Arial"/>
          <w:b/>
          <w:sz w:val="24"/>
          <w:szCs w:val="24"/>
        </w:rPr>
        <w:t xml:space="preserve">                                                       </w:t>
      </w:r>
      <w:r w:rsidRPr="001108CD">
        <w:rPr>
          <w:rFonts w:ascii="Arial" w:hAnsi="Arial" w:cs="Arial"/>
          <w:b/>
          <w:sz w:val="24"/>
          <w:szCs w:val="24"/>
        </w:rPr>
        <w:t>Student ID: 2243597</w:t>
      </w:r>
    </w:p>
    <w:p w14:paraId="0A37D23C" w14:textId="77777777" w:rsidR="00E15690" w:rsidRDefault="00E15690" w:rsidP="00E15690">
      <w:pPr>
        <w:rPr>
          <w:rFonts w:ascii="Arial" w:hAnsi="Arial" w:cs="Arial"/>
          <w:b/>
          <w:sz w:val="24"/>
          <w:szCs w:val="24"/>
        </w:rPr>
      </w:pPr>
    </w:p>
    <w:p w14:paraId="1A88F535" w14:textId="77777777" w:rsidR="00E15690" w:rsidRDefault="00E15690" w:rsidP="00E15690">
      <w:pPr>
        <w:rPr>
          <w:rFonts w:ascii="Arial" w:hAnsi="Arial" w:cs="Arial"/>
          <w:b/>
          <w:sz w:val="24"/>
          <w:szCs w:val="24"/>
        </w:rPr>
      </w:pPr>
    </w:p>
    <w:p w14:paraId="1333A894" w14:textId="77777777" w:rsidR="00E15690" w:rsidRDefault="00E15690" w:rsidP="00E15690">
      <w:pPr>
        <w:rPr>
          <w:rFonts w:ascii="Arial" w:hAnsi="Arial" w:cs="Arial"/>
          <w:sz w:val="24"/>
          <w:szCs w:val="24"/>
        </w:rPr>
      </w:pPr>
      <w:r w:rsidRPr="00ED7792">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Pr>
          <w:rFonts w:ascii="Arial" w:hAnsi="Arial" w:cs="Arial"/>
          <w:sz w:val="24"/>
          <w:szCs w:val="24"/>
        </w:rPr>
        <w:t>.</w:t>
      </w:r>
    </w:p>
    <w:p w14:paraId="3FD703B1" w14:textId="77777777" w:rsidR="001A2765" w:rsidRDefault="001A2765" w:rsidP="00E15690">
      <w:pPr>
        <w:rPr>
          <w:rFonts w:ascii="Arial" w:hAnsi="Arial" w:cs="Arial"/>
          <w:sz w:val="24"/>
          <w:szCs w:val="24"/>
        </w:rPr>
      </w:pPr>
    </w:p>
    <w:p w14:paraId="36B5738B" w14:textId="77777777" w:rsidR="001A2765" w:rsidRDefault="001A2765" w:rsidP="00E15690">
      <w:pPr>
        <w:rPr>
          <w:rFonts w:ascii="Arial" w:hAnsi="Arial" w:cs="Arial"/>
          <w:sz w:val="24"/>
          <w:szCs w:val="24"/>
        </w:rPr>
      </w:pPr>
    </w:p>
    <w:p w14:paraId="6A1E77F5" w14:textId="77777777" w:rsidR="001A2765" w:rsidRDefault="001A2765" w:rsidP="00E15690">
      <w:pPr>
        <w:rPr>
          <w:rFonts w:ascii="Arial" w:hAnsi="Arial" w:cs="Arial"/>
          <w:sz w:val="24"/>
          <w:szCs w:val="24"/>
        </w:rPr>
      </w:pPr>
    </w:p>
    <w:p w14:paraId="2DECD164" w14:textId="77777777" w:rsidR="001A2765" w:rsidRDefault="001A2765" w:rsidP="00E15690">
      <w:pPr>
        <w:rPr>
          <w:rFonts w:ascii="Arial" w:hAnsi="Arial" w:cs="Arial"/>
          <w:sz w:val="24"/>
          <w:szCs w:val="24"/>
        </w:rPr>
      </w:pPr>
    </w:p>
    <w:p w14:paraId="7129A591" w14:textId="77777777" w:rsidR="001A2765" w:rsidRDefault="001A2765" w:rsidP="00E15690">
      <w:pPr>
        <w:rPr>
          <w:rFonts w:ascii="Arial" w:hAnsi="Arial" w:cs="Arial"/>
          <w:sz w:val="24"/>
          <w:szCs w:val="24"/>
        </w:rPr>
      </w:pPr>
    </w:p>
    <w:p w14:paraId="65C1AD60" w14:textId="77777777" w:rsidR="001A2765" w:rsidRDefault="001A2765" w:rsidP="00E15690">
      <w:pPr>
        <w:rPr>
          <w:rFonts w:ascii="Arial" w:hAnsi="Arial" w:cs="Arial"/>
          <w:sz w:val="24"/>
          <w:szCs w:val="24"/>
        </w:rPr>
      </w:pPr>
    </w:p>
    <w:p w14:paraId="522525E6" w14:textId="77777777" w:rsidR="001A2765" w:rsidRDefault="001A2765" w:rsidP="00E15690">
      <w:pPr>
        <w:rPr>
          <w:rFonts w:ascii="Arial" w:hAnsi="Arial" w:cs="Arial"/>
          <w:sz w:val="24"/>
          <w:szCs w:val="24"/>
        </w:rPr>
      </w:pPr>
    </w:p>
    <w:p w14:paraId="762BC337" w14:textId="77777777" w:rsidR="001A2765" w:rsidRDefault="001A2765" w:rsidP="00E15690">
      <w:pPr>
        <w:rPr>
          <w:rFonts w:ascii="Arial" w:hAnsi="Arial" w:cs="Arial"/>
          <w:sz w:val="24"/>
          <w:szCs w:val="24"/>
        </w:rPr>
      </w:pPr>
    </w:p>
    <w:p w14:paraId="07ED0CF2" w14:textId="77777777" w:rsidR="001A2765" w:rsidRDefault="001A2765" w:rsidP="00E15690">
      <w:pPr>
        <w:rPr>
          <w:rFonts w:ascii="Arial" w:hAnsi="Arial" w:cs="Arial"/>
          <w:sz w:val="24"/>
          <w:szCs w:val="24"/>
        </w:rPr>
      </w:pPr>
    </w:p>
    <w:p w14:paraId="2C164C0C" w14:textId="77777777" w:rsidR="001A2765" w:rsidRDefault="001A2765" w:rsidP="00E15690">
      <w:pPr>
        <w:rPr>
          <w:rFonts w:ascii="Arial" w:hAnsi="Arial" w:cs="Arial"/>
          <w:sz w:val="24"/>
          <w:szCs w:val="24"/>
        </w:rPr>
      </w:pPr>
    </w:p>
    <w:p w14:paraId="6E7041AC" w14:textId="77777777" w:rsidR="001A2765" w:rsidRDefault="001A2765" w:rsidP="00E15690">
      <w:pPr>
        <w:rPr>
          <w:rFonts w:ascii="Arial" w:hAnsi="Arial" w:cs="Arial"/>
          <w:sz w:val="24"/>
          <w:szCs w:val="24"/>
        </w:rPr>
      </w:pPr>
    </w:p>
    <w:p w14:paraId="6394511A" w14:textId="77777777" w:rsidR="001A2765" w:rsidRDefault="001A2765" w:rsidP="00E15690">
      <w:pPr>
        <w:rPr>
          <w:rFonts w:ascii="Arial" w:hAnsi="Arial" w:cs="Arial"/>
          <w:sz w:val="24"/>
          <w:szCs w:val="24"/>
        </w:rPr>
      </w:pPr>
    </w:p>
    <w:p w14:paraId="4BF848C2" w14:textId="77777777" w:rsidR="001A2765" w:rsidRDefault="001A2765" w:rsidP="00E15690">
      <w:pPr>
        <w:rPr>
          <w:rFonts w:ascii="Arial" w:hAnsi="Arial" w:cs="Arial"/>
          <w:sz w:val="24"/>
          <w:szCs w:val="24"/>
        </w:rPr>
      </w:pPr>
    </w:p>
    <w:p w14:paraId="0F0C0D0D" w14:textId="77777777" w:rsidR="001A2765" w:rsidRDefault="001A2765" w:rsidP="00E15690">
      <w:pPr>
        <w:rPr>
          <w:rFonts w:ascii="Arial" w:hAnsi="Arial" w:cs="Arial"/>
          <w:sz w:val="24"/>
          <w:szCs w:val="24"/>
        </w:rPr>
      </w:pPr>
    </w:p>
    <w:p w14:paraId="5C5D65A4" w14:textId="77777777" w:rsidR="001A2765" w:rsidRDefault="001A2765" w:rsidP="00E15690">
      <w:pPr>
        <w:rPr>
          <w:rFonts w:ascii="Arial" w:hAnsi="Arial" w:cs="Arial"/>
          <w:sz w:val="24"/>
          <w:szCs w:val="24"/>
        </w:rPr>
      </w:pPr>
    </w:p>
    <w:p w14:paraId="06112E15" w14:textId="77777777" w:rsidR="001A2765" w:rsidRDefault="001A2765" w:rsidP="00E15690">
      <w:pPr>
        <w:rPr>
          <w:rFonts w:ascii="Arial" w:hAnsi="Arial" w:cs="Arial"/>
          <w:sz w:val="24"/>
          <w:szCs w:val="24"/>
        </w:rPr>
      </w:pPr>
    </w:p>
    <w:p w14:paraId="5C218583" w14:textId="77777777" w:rsidR="001A2765" w:rsidRDefault="001A2765" w:rsidP="00E15690">
      <w:pPr>
        <w:rPr>
          <w:rFonts w:ascii="Arial" w:hAnsi="Arial" w:cs="Arial"/>
          <w:sz w:val="24"/>
          <w:szCs w:val="24"/>
        </w:rPr>
      </w:pPr>
    </w:p>
    <w:p w14:paraId="0D0BE10A" w14:textId="77777777" w:rsidR="00286147" w:rsidRDefault="00286147" w:rsidP="00286147">
      <w:pPr>
        <w:spacing w:line="360" w:lineRule="auto"/>
        <w:jc w:val="both"/>
        <w:rPr>
          <w:rFonts w:ascii="Arial" w:hAnsi="Arial" w:cs="Arial"/>
          <w:b/>
          <w:bCs/>
          <w:sz w:val="24"/>
          <w:szCs w:val="24"/>
        </w:rPr>
      </w:pPr>
    </w:p>
    <w:p w14:paraId="1BC4E612" w14:textId="77777777" w:rsidR="00286147" w:rsidRDefault="00286147" w:rsidP="00286147">
      <w:pPr>
        <w:spacing w:line="360" w:lineRule="auto"/>
        <w:jc w:val="both"/>
        <w:rPr>
          <w:rFonts w:ascii="Arial" w:hAnsi="Arial" w:cs="Arial"/>
          <w:b/>
          <w:bCs/>
          <w:sz w:val="24"/>
          <w:szCs w:val="24"/>
        </w:rPr>
      </w:pPr>
    </w:p>
    <w:p w14:paraId="6BBB052C" w14:textId="77777777" w:rsidR="00286147" w:rsidRDefault="00286147" w:rsidP="00286147">
      <w:pPr>
        <w:spacing w:line="360" w:lineRule="auto"/>
        <w:jc w:val="both"/>
        <w:rPr>
          <w:rFonts w:ascii="Arial" w:hAnsi="Arial" w:cs="Arial"/>
          <w:b/>
          <w:bCs/>
          <w:sz w:val="24"/>
          <w:szCs w:val="24"/>
        </w:rPr>
      </w:pPr>
    </w:p>
    <w:p w14:paraId="00C25183" w14:textId="77777777" w:rsidR="001A2765" w:rsidRPr="00286147" w:rsidRDefault="00286147" w:rsidP="00286147">
      <w:pPr>
        <w:spacing w:line="360" w:lineRule="auto"/>
        <w:jc w:val="both"/>
        <w:rPr>
          <w:rFonts w:ascii="Arial" w:hAnsi="Arial" w:cs="Arial"/>
          <w:b/>
          <w:bCs/>
          <w:sz w:val="24"/>
          <w:szCs w:val="24"/>
        </w:rPr>
      </w:pPr>
      <w:r>
        <w:rPr>
          <w:rFonts w:ascii="Arial" w:hAnsi="Arial" w:cs="Arial"/>
          <w:b/>
          <w:bCs/>
          <w:sz w:val="24"/>
          <w:szCs w:val="24"/>
        </w:rPr>
        <w:lastRenderedPageBreak/>
        <w:t xml:space="preserve">Table of </w:t>
      </w:r>
      <w:r w:rsidR="001A2765" w:rsidRPr="00286147">
        <w:rPr>
          <w:rFonts w:ascii="Arial" w:hAnsi="Arial" w:cs="Arial"/>
          <w:b/>
          <w:bCs/>
          <w:sz w:val="24"/>
          <w:szCs w:val="24"/>
        </w:rPr>
        <w:t>Contents</w:t>
      </w:r>
    </w:p>
    <w:p w14:paraId="39BDD10D"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b/>
          <w:bCs/>
          <w:sz w:val="24"/>
          <w:szCs w:val="24"/>
        </w:rPr>
        <w:t>Executive Summary</w:t>
      </w:r>
      <w:r w:rsidR="003E3DD8">
        <w:rPr>
          <w:rFonts w:ascii="Arial" w:hAnsi="Arial" w:cs="Arial"/>
          <w:b/>
          <w:bCs/>
          <w:sz w:val="24"/>
          <w:szCs w:val="24"/>
        </w:rPr>
        <w:t>……………………………………………………………………..….4</w:t>
      </w:r>
    </w:p>
    <w:p w14:paraId="4209BDFC" w14:textId="77777777" w:rsidR="000A6345" w:rsidRPr="003E3DD8" w:rsidRDefault="001A2765" w:rsidP="00286147">
      <w:pPr>
        <w:spacing w:line="360" w:lineRule="auto"/>
        <w:jc w:val="both"/>
        <w:rPr>
          <w:rFonts w:ascii="Arial" w:hAnsi="Arial" w:cs="Arial"/>
          <w:b/>
          <w:sz w:val="24"/>
          <w:szCs w:val="24"/>
        </w:rPr>
      </w:pPr>
      <w:r w:rsidRPr="00286147">
        <w:rPr>
          <w:rFonts w:ascii="Arial" w:hAnsi="Arial" w:cs="Arial"/>
          <w:b/>
          <w:bCs/>
          <w:sz w:val="24"/>
          <w:szCs w:val="24"/>
        </w:rPr>
        <w:t>Introduction</w:t>
      </w:r>
      <w:r w:rsidR="003E3DD8">
        <w:rPr>
          <w:rFonts w:ascii="Arial" w:hAnsi="Arial" w:cs="Arial"/>
          <w:b/>
          <w:sz w:val="24"/>
          <w:szCs w:val="24"/>
        </w:rPr>
        <w:t>.......................................................................................................6</w:t>
      </w:r>
    </w:p>
    <w:p w14:paraId="0ACA3ED2" w14:textId="77777777" w:rsidR="000A634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 xml:space="preserve">The Consultancy Engagement Client Context: </w:t>
      </w:r>
    </w:p>
    <w:p w14:paraId="0BD8C2B4" w14:textId="77777777" w:rsidR="000A634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 xml:space="preserve">The Glorious Playground </w:t>
      </w:r>
      <w:proofErr w:type="gramStart"/>
      <w:r w:rsidRPr="00286147">
        <w:rPr>
          <w:rFonts w:ascii="Arial" w:hAnsi="Arial" w:cs="Arial"/>
          <w:sz w:val="24"/>
          <w:szCs w:val="24"/>
        </w:rPr>
        <w:t>The</w:t>
      </w:r>
      <w:proofErr w:type="gramEnd"/>
      <w:r w:rsidRPr="00286147">
        <w:rPr>
          <w:rFonts w:ascii="Arial" w:hAnsi="Arial" w:cs="Arial"/>
          <w:sz w:val="24"/>
          <w:szCs w:val="24"/>
        </w:rPr>
        <w:t xml:space="preserve"> Strategic Imperative: </w:t>
      </w:r>
    </w:p>
    <w:p w14:paraId="15B220A6"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The Rise of Conscientious Luxury Methodology and Report Structure</w:t>
      </w:r>
    </w:p>
    <w:p w14:paraId="6D9B4F0D" w14:textId="77777777" w:rsidR="000A6345" w:rsidRPr="00286147" w:rsidRDefault="001A2765" w:rsidP="00286147">
      <w:pPr>
        <w:spacing w:line="360" w:lineRule="auto"/>
        <w:jc w:val="both"/>
        <w:rPr>
          <w:rFonts w:ascii="Arial" w:hAnsi="Arial" w:cs="Arial"/>
          <w:sz w:val="24"/>
          <w:szCs w:val="24"/>
        </w:rPr>
      </w:pPr>
      <w:r w:rsidRPr="00286147">
        <w:rPr>
          <w:rFonts w:ascii="Arial" w:hAnsi="Arial" w:cs="Arial"/>
          <w:b/>
          <w:bCs/>
          <w:sz w:val="24"/>
          <w:szCs w:val="24"/>
        </w:rPr>
        <w:t>Analysis</w:t>
      </w:r>
      <w:r w:rsidR="003E3DD8" w:rsidRPr="003E3DD8">
        <w:rPr>
          <w:rFonts w:ascii="Arial" w:hAnsi="Arial" w:cs="Arial"/>
          <w:b/>
          <w:sz w:val="24"/>
          <w:szCs w:val="24"/>
        </w:rPr>
        <w:t>………………………………………………</w:t>
      </w:r>
      <w:r w:rsidR="003E3DD8">
        <w:rPr>
          <w:rFonts w:ascii="Arial" w:hAnsi="Arial" w:cs="Arial"/>
          <w:b/>
          <w:sz w:val="24"/>
          <w:szCs w:val="24"/>
        </w:rPr>
        <w:t>……………………………………….</w:t>
      </w:r>
      <w:r w:rsidR="003E3DD8" w:rsidRPr="003E3DD8">
        <w:rPr>
          <w:rFonts w:ascii="Arial" w:hAnsi="Arial" w:cs="Arial"/>
          <w:b/>
          <w:sz w:val="24"/>
          <w:szCs w:val="24"/>
        </w:rPr>
        <w:t>.</w:t>
      </w:r>
      <w:r w:rsidR="003E3DD8">
        <w:rPr>
          <w:rFonts w:ascii="Arial" w:hAnsi="Arial" w:cs="Arial"/>
          <w:b/>
          <w:sz w:val="24"/>
          <w:szCs w:val="24"/>
        </w:rPr>
        <w:t>8</w:t>
      </w:r>
    </w:p>
    <w:p w14:paraId="7A34A240" w14:textId="77777777" w:rsidR="000A634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A Narrative Analysis of the Sustainability Challenge</w:t>
      </w:r>
    </w:p>
    <w:p w14:paraId="50416D41" w14:textId="77777777" w:rsidR="000A634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 xml:space="preserve"> A STEEPLED Analysis of the Macro-Environmental Landscape</w:t>
      </w:r>
    </w:p>
    <w:p w14:paraId="79094820" w14:textId="77777777" w:rsidR="000A634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 xml:space="preserve"> A SWOT Analysis of the </w:t>
      </w:r>
      <w:proofErr w:type="spellStart"/>
      <w:r w:rsidRPr="00286147">
        <w:rPr>
          <w:rFonts w:ascii="Arial" w:hAnsi="Arial" w:cs="Arial"/>
          <w:sz w:val="24"/>
          <w:szCs w:val="24"/>
        </w:rPr>
        <w:t>Organisational</w:t>
      </w:r>
      <w:proofErr w:type="spellEnd"/>
      <w:r w:rsidRPr="00286147">
        <w:rPr>
          <w:rFonts w:ascii="Arial" w:hAnsi="Arial" w:cs="Arial"/>
          <w:sz w:val="24"/>
          <w:szCs w:val="24"/>
        </w:rPr>
        <w:t xml:space="preserve"> Position </w:t>
      </w:r>
    </w:p>
    <w:p w14:paraId="7420FAF1"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A TOWS Analysis for Strategic Direction</w:t>
      </w:r>
    </w:p>
    <w:p w14:paraId="3047F18D" w14:textId="55A62633" w:rsidR="000A6345" w:rsidRPr="00286147" w:rsidRDefault="001A2765" w:rsidP="00286147">
      <w:pPr>
        <w:spacing w:line="360" w:lineRule="auto"/>
        <w:jc w:val="both"/>
        <w:rPr>
          <w:rFonts w:ascii="Arial" w:hAnsi="Arial" w:cs="Arial"/>
          <w:sz w:val="24"/>
          <w:szCs w:val="24"/>
        </w:rPr>
      </w:pPr>
      <w:r w:rsidRPr="00286147">
        <w:rPr>
          <w:rFonts w:ascii="Arial" w:hAnsi="Arial" w:cs="Arial"/>
          <w:b/>
          <w:bCs/>
          <w:sz w:val="24"/>
          <w:szCs w:val="24"/>
        </w:rPr>
        <w:t>Reco</w:t>
      </w:r>
      <w:r w:rsidR="003E3DD8">
        <w:rPr>
          <w:rFonts w:ascii="Arial" w:hAnsi="Arial" w:cs="Arial"/>
          <w:b/>
          <w:bCs/>
          <w:sz w:val="24"/>
          <w:szCs w:val="24"/>
        </w:rPr>
        <w:t>mmendations and Change Manageme</w:t>
      </w:r>
      <w:r w:rsidR="006078F3">
        <w:rPr>
          <w:rFonts w:ascii="Arial" w:hAnsi="Arial" w:cs="Arial"/>
          <w:b/>
          <w:bCs/>
          <w:sz w:val="24"/>
          <w:szCs w:val="24"/>
        </w:rPr>
        <w:t>n</w:t>
      </w:r>
      <w:r w:rsidR="003E3DD8">
        <w:rPr>
          <w:rFonts w:ascii="Arial" w:hAnsi="Arial" w:cs="Arial"/>
          <w:b/>
          <w:bCs/>
          <w:sz w:val="24"/>
          <w:szCs w:val="24"/>
        </w:rPr>
        <w:t>t………………………………….…….15</w:t>
      </w:r>
    </w:p>
    <w:p w14:paraId="530A8DC1" w14:textId="77777777" w:rsidR="000A634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 xml:space="preserve">Recommendation One: Achieving Verifiable Sustainability through B Corp Certification </w:t>
      </w:r>
    </w:p>
    <w:p w14:paraId="56ED15A8" w14:textId="77777777" w:rsidR="000A634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 xml:space="preserve">Recommendation Two: An 'Estate-to-Plate' Gastronomic Philosophy </w:t>
      </w:r>
    </w:p>
    <w:p w14:paraId="6064A120" w14:textId="77777777" w:rsidR="003E3DD8" w:rsidRDefault="001A2765" w:rsidP="00286147">
      <w:pPr>
        <w:spacing w:line="360" w:lineRule="auto"/>
        <w:jc w:val="both"/>
        <w:rPr>
          <w:rFonts w:ascii="Arial" w:hAnsi="Arial" w:cs="Arial"/>
          <w:sz w:val="24"/>
          <w:szCs w:val="24"/>
        </w:rPr>
      </w:pPr>
      <w:r w:rsidRPr="00286147">
        <w:rPr>
          <w:rFonts w:ascii="Arial" w:hAnsi="Arial" w:cs="Arial"/>
          <w:sz w:val="24"/>
          <w:szCs w:val="24"/>
        </w:rPr>
        <w:t xml:space="preserve">Recommendation Three: Communicating Conscientious Luxury Authentically </w:t>
      </w:r>
    </w:p>
    <w:p w14:paraId="0F863353"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A Framework for Managing Deep Operational and Cultural Change Projected Investment and Value Creation</w:t>
      </w:r>
    </w:p>
    <w:p w14:paraId="2A6BC3CE"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b/>
          <w:bCs/>
          <w:sz w:val="24"/>
          <w:szCs w:val="24"/>
        </w:rPr>
        <w:t>Action Plan</w:t>
      </w:r>
      <w:r w:rsidR="003E3DD8">
        <w:rPr>
          <w:rFonts w:ascii="Arial" w:hAnsi="Arial" w:cs="Arial"/>
          <w:b/>
          <w:bCs/>
          <w:sz w:val="24"/>
          <w:szCs w:val="24"/>
        </w:rPr>
        <w:t>……………………………………………………………….………………….21</w:t>
      </w:r>
    </w:p>
    <w:p w14:paraId="034388B6"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b/>
          <w:bCs/>
          <w:sz w:val="24"/>
          <w:szCs w:val="24"/>
        </w:rPr>
        <w:t>Conclusion</w:t>
      </w:r>
      <w:r w:rsidR="003E3DD8">
        <w:rPr>
          <w:rFonts w:ascii="Arial" w:hAnsi="Arial" w:cs="Arial"/>
          <w:b/>
          <w:bCs/>
          <w:sz w:val="24"/>
          <w:szCs w:val="24"/>
        </w:rPr>
        <w:t>…………………………………………………………………………………..23</w:t>
      </w:r>
    </w:p>
    <w:p w14:paraId="50E05D8C"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b/>
          <w:bCs/>
          <w:sz w:val="24"/>
          <w:szCs w:val="24"/>
        </w:rPr>
        <w:t>Reference List</w:t>
      </w:r>
      <w:r w:rsidR="003E3DD8">
        <w:rPr>
          <w:rFonts w:ascii="Arial" w:hAnsi="Arial" w:cs="Arial"/>
          <w:b/>
          <w:bCs/>
          <w:sz w:val="24"/>
          <w:szCs w:val="24"/>
        </w:rPr>
        <w:t>……………………………………………………………………………….25</w:t>
      </w:r>
    </w:p>
    <w:p w14:paraId="4A719CE0" w14:textId="77777777" w:rsidR="001A2765" w:rsidRPr="00286147" w:rsidRDefault="001A2765" w:rsidP="00286147">
      <w:pPr>
        <w:spacing w:line="360" w:lineRule="auto"/>
        <w:jc w:val="both"/>
        <w:rPr>
          <w:rFonts w:ascii="Arial" w:hAnsi="Arial" w:cs="Arial"/>
          <w:sz w:val="24"/>
          <w:szCs w:val="24"/>
        </w:rPr>
      </w:pPr>
    </w:p>
    <w:p w14:paraId="039C2621" w14:textId="77777777" w:rsidR="00286147" w:rsidRDefault="00286147" w:rsidP="00286147">
      <w:pPr>
        <w:spacing w:line="360" w:lineRule="auto"/>
        <w:jc w:val="both"/>
        <w:rPr>
          <w:rFonts w:ascii="Arial" w:hAnsi="Arial" w:cs="Arial"/>
          <w:sz w:val="24"/>
          <w:szCs w:val="24"/>
        </w:rPr>
      </w:pPr>
    </w:p>
    <w:p w14:paraId="186F70EB" w14:textId="77777777" w:rsidR="001A2765" w:rsidRPr="00286147" w:rsidRDefault="001A2765" w:rsidP="00286147">
      <w:pPr>
        <w:spacing w:line="360" w:lineRule="auto"/>
        <w:jc w:val="both"/>
        <w:rPr>
          <w:rFonts w:ascii="Arial" w:hAnsi="Arial" w:cs="Arial"/>
          <w:b/>
          <w:bCs/>
          <w:sz w:val="24"/>
          <w:szCs w:val="24"/>
        </w:rPr>
      </w:pPr>
      <w:r w:rsidRPr="00286147">
        <w:rPr>
          <w:rFonts w:ascii="Arial" w:hAnsi="Arial" w:cs="Arial"/>
          <w:b/>
          <w:bCs/>
          <w:sz w:val="24"/>
          <w:szCs w:val="24"/>
        </w:rPr>
        <w:t>Executive Summary</w:t>
      </w:r>
    </w:p>
    <w:p w14:paraId="064BB24E"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 xml:space="preserve">This report, delivered by Vanguard Hospitality Advisory, presents a strategic roadmap for The Gleneagles Hotel to transition from a leader in traditional luxury to a global pioneer of 'conscientious luxury'. Our mandate is to provide a framework for authentically embedding comprehensive sustainability practices across the hotel's vast operations and to leverage this transformation as a core pillar of its brand identity. This document outlines a pathway for Gleneagles to not only meet the demands of the modern, environmentally-aware </w:t>
      </w:r>
      <w:proofErr w:type="spellStart"/>
      <w:r w:rsidRPr="00286147">
        <w:rPr>
          <w:rFonts w:ascii="Arial" w:hAnsi="Arial" w:cs="Arial"/>
          <w:sz w:val="24"/>
          <w:szCs w:val="24"/>
        </w:rPr>
        <w:t>traveller</w:t>
      </w:r>
      <w:proofErr w:type="spellEnd"/>
      <w:r w:rsidRPr="00286147">
        <w:rPr>
          <w:rFonts w:ascii="Arial" w:hAnsi="Arial" w:cs="Arial"/>
          <w:sz w:val="24"/>
          <w:szCs w:val="24"/>
        </w:rPr>
        <w:t xml:space="preserve"> but to set a new global standard for responsible hospitality (Elkington, 1997).</w:t>
      </w:r>
    </w:p>
    <w:p w14:paraId="21040007"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The central challenge addressed is the complex task of moving beyond superficial "greenwashing" to achieve a state of genuine, verifiable, and deeply integrated sustainability. For an iconic institution like Gleneagles, this involves a profound operational and cultural shift. The strategic paradox lies in implementing rigorous environmental and social practices without compromising the sense of unrestricted opulence, comfort, and indulgence that defines the guest experience. The objective is to prove that true luxury and profound responsibility are not mutually exclusive but are, in fact, complementary (</w:t>
      </w:r>
      <w:proofErr w:type="spellStart"/>
      <w:r w:rsidRPr="00286147">
        <w:rPr>
          <w:rFonts w:ascii="Arial" w:hAnsi="Arial" w:cs="Arial"/>
          <w:sz w:val="24"/>
          <w:szCs w:val="24"/>
        </w:rPr>
        <w:t>Boiral</w:t>
      </w:r>
      <w:proofErr w:type="spellEnd"/>
      <w:r w:rsidRPr="00286147">
        <w:rPr>
          <w:rFonts w:ascii="Arial" w:hAnsi="Arial" w:cs="Arial"/>
          <w:sz w:val="24"/>
          <w:szCs w:val="24"/>
        </w:rPr>
        <w:t>, 2016).</w:t>
      </w:r>
    </w:p>
    <w:p w14:paraId="3181CE08"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Our analysis of the external environment reveals a confluence of powerful forces making this transition not just an opportunity, but a necessity. A narrative STEEPLED analysis highlights increasingly stringent environmental regulations, a powerful social demand for corporate transparency and accountability, and a significant economic shift towards the high-value eco-tourism and wellness markets. The modern definition of a premium brand is now intrinsically linked to its perceived positive impact on the planet and society, creating a new basis for competition (Fuller, 2016).</w:t>
      </w:r>
    </w:p>
    <w:p w14:paraId="5BC9D94E"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 xml:space="preserve">The internal analysis of the </w:t>
      </w:r>
      <w:proofErr w:type="spellStart"/>
      <w:r w:rsidRPr="00286147">
        <w:rPr>
          <w:rFonts w:ascii="Arial" w:hAnsi="Arial" w:cs="Arial"/>
          <w:sz w:val="24"/>
          <w:szCs w:val="24"/>
        </w:rPr>
        <w:t>organisation</w:t>
      </w:r>
      <w:proofErr w:type="spellEnd"/>
      <w:r w:rsidRPr="00286147">
        <w:rPr>
          <w:rFonts w:ascii="Arial" w:hAnsi="Arial" w:cs="Arial"/>
          <w:sz w:val="24"/>
          <w:szCs w:val="24"/>
        </w:rPr>
        <w:t xml:space="preserve">, presented in a narrative SWOT format, identifies a core strategic tension. The hotel's greatest strength is its magnificent 850-acre Perthshire estate, a vast natural asset offering immense potential for sustainable initiatives. This is counterbalanced by the inherent weaknesses of a large, historic </w:t>
      </w:r>
      <w:r w:rsidRPr="00286147">
        <w:rPr>
          <w:rFonts w:ascii="Arial" w:hAnsi="Arial" w:cs="Arial"/>
          <w:sz w:val="24"/>
          <w:szCs w:val="24"/>
        </w:rPr>
        <w:lastRenderedPageBreak/>
        <w:t>property, including high energy consumption, complex international supply chains, and operational traditions that may not be environmentally optimal. This highlights the need for a strategy that leverages the estate's strengths to overcome its operational weaknesses (Hart, 1995).</w:t>
      </w:r>
    </w:p>
    <w:p w14:paraId="69A25B5A"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To resolve this, a narrative TOWS analysis was conducted, pointing towards a clear strategic direction. The optimal strategy is to use the estate's natural resources (Strength) to create unique, educational, and sustainable guest experiences (Opportunity), such as 'estate-to-plate' dining, rewilding projects, and renewable energy generation. This approach transforms sustainability from a "cost of doing business" into a powerful engine for creating unique value and a compelling brand story, directly addressing the weakness of a generic or superficial environmental message (Gladwin, Kennelly &amp; Krause, 1995).</w:t>
      </w:r>
    </w:p>
    <w:p w14:paraId="1497799E"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 xml:space="preserve">Based on this analysis, this report proposes three integrated, high-impact recommendations. The first is for Gleneagles to pursue </w:t>
      </w:r>
      <w:r w:rsidRPr="00286147">
        <w:rPr>
          <w:rFonts w:ascii="Arial" w:hAnsi="Arial" w:cs="Arial"/>
          <w:bCs/>
          <w:sz w:val="24"/>
          <w:szCs w:val="24"/>
        </w:rPr>
        <w:t>B Corp Certification</w:t>
      </w:r>
      <w:r w:rsidRPr="00286147">
        <w:rPr>
          <w:rFonts w:ascii="Arial" w:hAnsi="Arial" w:cs="Arial"/>
          <w:sz w:val="24"/>
          <w:szCs w:val="24"/>
        </w:rPr>
        <w:t xml:space="preserve">, a rigorous, third-party standard that verifies high levels of social and environmental performance, public transparency, and legal accountability. This moves beyond self-proclamation to provide authentic, globally </w:t>
      </w:r>
      <w:proofErr w:type="spellStart"/>
      <w:r w:rsidRPr="00286147">
        <w:rPr>
          <w:rFonts w:ascii="Arial" w:hAnsi="Arial" w:cs="Arial"/>
          <w:sz w:val="24"/>
          <w:szCs w:val="24"/>
        </w:rPr>
        <w:t>recognised</w:t>
      </w:r>
      <w:proofErr w:type="spellEnd"/>
      <w:r w:rsidRPr="00286147">
        <w:rPr>
          <w:rFonts w:ascii="Arial" w:hAnsi="Arial" w:cs="Arial"/>
          <w:sz w:val="24"/>
          <w:szCs w:val="24"/>
        </w:rPr>
        <w:t xml:space="preserve"> proof of commitment, building immense trust and brand value (Rawhouser, Cummings &amp; Newbert, 2019).</w:t>
      </w:r>
    </w:p>
    <w:p w14:paraId="122167C9"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 xml:space="preserve">The second recommendation is the implementation of a hyper-local </w:t>
      </w:r>
      <w:r w:rsidRPr="00286147">
        <w:rPr>
          <w:rFonts w:ascii="Arial" w:hAnsi="Arial" w:cs="Arial"/>
          <w:bCs/>
          <w:sz w:val="24"/>
          <w:szCs w:val="24"/>
        </w:rPr>
        <w:t>'Estate-to-Plate' Gastronomic Philosophy</w:t>
      </w:r>
      <w:r w:rsidRPr="00286147">
        <w:rPr>
          <w:rFonts w:ascii="Arial" w:hAnsi="Arial" w:cs="Arial"/>
          <w:sz w:val="24"/>
          <w:szCs w:val="24"/>
        </w:rPr>
        <w:t xml:space="preserve">. This involves a radical reorientation of the hotel's entire food and beverage </w:t>
      </w:r>
      <w:proofErr w:type="spellStart"/>
      <w:r w:rsidRPr="00286147">
        <w:rPr>
          <w:rFonts w:ascii="Arial" w:hAnsi="Arial" w:cs="Arial"/>
          <w:sz w:val="24"/>
          <w:szCs w:val="24"/>
        </w:rPr>
        <w:t>programme</w:t>
      </w:r>
      <w:proofErr w:type="spellEnd"/>
      <w:r w:rsidRPr="00286147">
        <w:rPr>
          <w:rFonts w:ascii="Arial" w:hAnsi="Arial" w:cs="Arial"/>
          <w:sz w:val="24"/>
          <w:szCs w:val="24"/>
        </w:rPr>
        <w:t xml:space="preserve"> to </w:t>
      </w:r>
      <w:proofErr w:type="spellStart"/>
      <w:r w:rsidRPr="00286147">
        <w:rPr>
          <w:rFonts w:ascii="Arial" w:hAnsi="Arial" w:cs="Arial"/>
          <w:sz w:val="24"/>
          <w:szCs w:val="24"/>
        </w:rPr>
        <w:t>maximise</w:t>
      </w:r>
      <w:proofErr w:type="spellEnd"/>
      <w:r w:rsidRPr="00286147">
        <w:rPr>
          <w:rFonts w:ascii="Arial" w:hAnsi="Arial" w:cs="Arial"/>
          <w:sz w:val="24"/>
          <w:szCs w:val="24"/>
        </w:rPr>
        <w:t xml:space="preserve"> sourcing from its own estate—its gardens, livestock, and hunting grounds—and from a curated network of local artisanal producers. This strategy drastically reduces food miles, enhances quality and provenance, and creates a powerful and authentic story that connects guests directly to the Scottish landscape (Higgins-</w:t>
      </w:r>
      <w:proofErr w:type="spellStart"/>
      <w:r w:rsidRPr="00286147">
        <w:rPr>
          <w:rFonts w:ascii="Arial" w:hAnsi="Arial" w:cs="Arial"/>
          <w:sz w:val="24"/>
          <w:szCs w:val="24"/>
        </w:rPr>
        <w:t>Desbiolles</w:t>
      </w:r>
      <w:proofErr w:type="spellEnd"/>
      <w:r w:rsidRPr="00286147">
        <w:rPr>
          <w:rFonts w:ascii="Arial" w:hAnsi="Arial" w:cs="Arial"/>
          <w:sz w:val="24"/>
          <w:szCs w:val="24"/>
        </w:rPr>
        <w:t>, 2018).</w:t>
      </w:r>
    </w:p>
    <w:p w14:paraId="26974524"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 xml:space="preserve">The third recommendation focuses on </w:t>
      </w:r>
      <w:r w:rsidRPr="00286147">
        <w:rPr>
          <w:rFonts w:ascii="Arial" w:hAnsi="Arial" w:cs="Arial"/>
          <w:bCs/>
          <w:sz w:val="24"/>
          <w:szCs w:val="24"/>
        </w:rPr>
        <w:t>Communicating Conscientious Luxury</w:t>
      </w:r>
      <w:r w:rsidRPr="00286147">
        <w:rPr>
          <w:rFonts w:ascii="Arial" w:hAnsi="Arial" w:cs="Arial"/>
          <w:sz w:val="24"/>
          <w:szCs w:val="24"/>
        </w:rPr>
        <w:t xml:space="preserve">. This involves developing a sophisticated marketing and communications strategy that tells the hotel's sustainability story authentically and engagingly. The focus must be on the positive impact and the enhanced guest experience—the exceptional taste of locally </w:t>
      </w:r>
      <w:r w:rsidRPr="00286147">
        <w:rPr>
          <w:rFonts w:ascii="Arial" w:hAnsi="Arial" w:cs="Arial"/>
          <w:sz w:val="24"/>
          <w:szCs w:val="24"/>
        </w:rPr>
        <w:lastRenderedPageBreak/>
        <w:t>sourced food, the beauty of a rewilded landscape—rather than on dry data. It is about weaving the sustainability narrative into the very fabric of the brand's storytelling (Chen, 2010).</w:t>
      </w:r>
    </w:p>
    <w:p w14:paraId="1444359F"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 xml:space="preserve">Implementing such a profound transformation requires a dedicated change management approach. This report outlines a framework that focuses on engaging employees at all levels, from groundskeepers and chefs to the guest relations team, making them proud ambassadors of the hotel's new philosophy. The ultimate goal is to create a powerful new layer of brand value that will attract high-value, conscientious </w:t>
      </w:r>
      <w:proofErr w:type="spellStart"/>
      <w:r w:rsidRPr="00286147">
        <w:rPr>
          <w:rFonts w:ascii="Arial" w:hAnsi="Arial" w:cs="Arial"/>
          <w:sz w:val="24"/>
          <w:szCs w:val="24"/>
        </w:rPr>
        <w:t>travellers</w:t>
      </w:r>
      <w:proofErr w:type="spellEnd"/>
      <w:r w:rsidRPr="00286147">
        <w:rPr>
          <w:rFonts w:ascii="Arial" w:hAnsi="Arial" w:cs="Arial"/>
          <w:sz w:val="24"/>
          <w:szCs w:val="24"/>
        </w:rPr>
        <w:t>, create deep emotional loyalty, and secure the glorious legacy of Gleneagles for another century (Porter &amp; Kramer, 2011).</w:t>
      </w:r>
    </w:p>
    <w:p w14:paraId="17C9C970" w14:textId="77777777" w:rsidR="001A2765" w:rsidRPr="00286147" w:rsidRDefault="001A2765" w:rsidP="00286147">
      <w:pPr>
        <w:spacing w:line="360" w:lineRule="auto"/>
        <w:jc w:val="both"/>
        <w:rPr>
          <w:rFonts w:ascii="Arial" w:hAnsi="Arial" w:cs="Arial"/>
          <w:sz w:val="24"/>
          <w:szCs w:val="24"/>
        </w:rPr>
      </w:pPr>
    </w:p>
    <w:p w14:paraId="33419BC4" w14:textId="77777777" w:rsidR="001A2765" w:rsidRPr="00286147" w:rsidRDefault="001A2765" w:rsidP="00286147">
      <w:pPr>
        <w:spacing w:line="360" w:lineRule="auto"/>
        <w:jc w:val="both"/>
        <w:rPr>
          <w:rFonts w:ascii="Arial" w:hAnsi="Arial" w:cs="Arial"/>
          <w:b/>
          <w:bCs/>
          <w:sz w:val="24"/>
          <w:szCs w:val="24"/>
        </w:rPr>
      </w:pPr>
      <w:r w:rsidRPr="00286147">
        <w:rPr>
          <w:rFonts w:ascii="Arial" w:hAnsi="Arial" w:cs="Arial"/>
          <w:b/>
          <w:bCs/>
          <w:sz w:val="24"/>
          <w:szCs w:val="24"/>
        </w:rPr>
        <w:t>Introduction</w:t>
      </w:r>
    </w:p>
    <w:p w14:paraId="77016C04"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 xml:space="preserve">Vanguard Hospitality Advisory, a consultancy focused on the intersection of brand strategy, operational excellence, and sustainable development within the luxury sector, has been formally engaged by the leadership of The Gleneagles Hotel. Our mandate is to conduct a comprehensive </w:t>
      </w:r>
      <w:proofErr w:type="spellStart"/>
      <w:r w:rsidRPr="00286147">
        <w:rPr>
          <w:rFonts w:ascii="Arial" w:hAnsi="Arial" w:cs="Arial"/>
          <w:sz w:val="24"/>
          <w:szCs w:val="24"/>
        </w:rPr>
        <w:t>organisational</w:t>
      </w:r>
      <w:proofErr w:type="spellEnd"/>
      <w:r w:rsidRPr="00286147">
        <w:rPr>
          <w:rFonts w:ascii="Arial" w:hAnsi="Arial" w:cs="Arial"/>
          <w:sz w:val="24"/>
          <w:szCs w:val="24"/>
        </w:rPr>
        <w:t xml:space="preserve"> analysis and develop a strategic framework that will guide the hotel in becoming a world-leading example of sustainable luxury. This report presents our findings and a proposed pathway for embedding genuine responsibility into the core of the Gleneagles brand and operations (Epstein, 2018).</w:t>
      </w:r>
    </w:p>
    <w:p w14:paraId="0C99D00A"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The client, The Gleneagles Hotel, is an institution in the world of luxury travel. Opened in 1924, it was conceived as "the palace in the glens," a magnificent rural retreat and a "glorious playground" set amidst an 850-acre estate in the heart of Perthshire, Scotland. Famed for its three championship golf courses, its world-class spa, and its extensive array of country pursuits, Gleneagles offers a unique vision of Scottish hospitality. As a flagship property within the prestigious Ennismore collection, it blends its distinct, iconic character with the creative energy and global reach of the Accor group, representing the pinnacle of resort experiences (Gleneagles, 2025).</w:t>
      </w:r>
    </w:p>
    <w:p w14:paraId="03CEC968"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lastRenderedPageBreak/>
        <w:t xml:space="preserve">The strategic challenge that forms the heart of this report is driven by a fundamental evolution in the mindset of the luxury consumer. The traditional definition of luxury, once </w:t>
      </w:r>
      <w:proofErr w:type="spellStart"/>
      <w:r w:rsidRPr="00286147">
        <w:rPr>
          <w:rFonts w:ascii="Arial" w:hAnsi="Arial" w:cs="Arial"/>
          <w:sz w:val="24"/>
          <w:szCs w:val="24"/>
        </w:rPr>
        <w:t>centred</w:t>
      </w:r>
      <w:proofErr w:type="spellEnd"/>
      <w:r w:rsidRPr="00286147">
        <w:rPr>
          <w:rFonts w:ascii="Arial" w:hAnsi="Arial" w:cs="Arial"/>
          <w:sz w:val="24"/>
          <w:szCs w:val="24"/>
        </w:rPr>
        <w:t xml:space="preserve"> on overt opulence and conspicuous consumption, is being redefined. Today's high-net-worth individual, particularly among younger, more influential cohorts, increasingly seeks 'conscientious consumption'. They value brands that demonstrate a genuine commitment to environmental stewardship, social responsibility, and ethical practices. For this new consumer, true luxury is not just about personal indulgence, but about experiences that are enriching, authentic, and aligned with their personal values (Davies, Lee &amp;</w:t>
      </w:r>
      <w:proofErr w:type="spellStart"/>
      <w:r w:rsidRPr="00286147">
        <w:rPr>
          <w:rFonts w:ascii="Arial" w:hAnsi="Arial" w:cs="Arial"/>
          <w:sz w:val="24"/>
          <w:szCs w:val="24"/>
        </w:rPr>
        <w:t>Ahonkhai</w:t>
      </w:r>
      <w:proofErr w:type="spellEnd"/>
      <w:r w:rsidRPr="00286147">
        <w:rPr>
          <w:rFonts w:ascii="Arial" w:hAnsi="Arial" w:cs="Arial"/>
          <w:sz w:val="24"/>
          <w:szCs w:val="24"/>
        </w:rPr>
        <w:t>, 2012).</w:t>
      </w:r>
    </w:p>
    <w:p w14:paraId="2F114FFB"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This shift presents both a profound risk and a transformative opportunity for Gleneagles. The risk of inaction is that the brand will be perceived as traditional to the point of being out of touch with modern values, potentially alienating a new generation of guests. The risk of inauthenticity is even greater. In an age of intense scrutiny, superficial environmental claims, or "greenwashing," are quickly exposed, leading to severe reputational damage and a loss of brand trust. The greatest opportunity lies in moving beyond token gestures to embrace a deep, authentic, and comprehensive sustainability philosophy, thereby creating a powerful new layer of brand meaning and a formidable competitive advantage (Crane, 2000).</w:t>
      </w:r>
    </w:p>
    <w:p w14:paraId="463628AD"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 xml:space="preserve">To address this complex challenge, this report </w:t>
      </w:r>
      <w:proofErr w:type="spellStart"/>
      <w:r w:rsidRPr="00286147">
        <w:rPr>
          <w:rFonts w:ascii="Arial" w:hAnsi="Arial" w:cs="Arial"/>
          <w:sz w:val="24"/>
          <w:szCs w:val="24"/>
        </w:rPr>
        <w:t>utilises</w:t>
      </w:r>
      <w:proofErr w:type="spellEnd"/>
      <w:r w:rsidRPr="00286147">
        <w:rPr>
          <w:rFonts w:ascii="Arial" w:hAnsi="Arial" w:cs="Arial"/>
          <w:sz w:val="24"/>
          <w:szCs w:val="24"/>
        </w:rPr>
        <w:t xml:space="preserve"> a narrative-driven analytical methodology. In a departure from traditional table-based formats, the core analyses—STEEPLED, SWOT, and TOWS—are presented in flowing paragraphs. This approach has been chosen deliberately to better articulate the interconnected and nuanced nature of the sustainability challenge, telling a coherent strategic story rather than presenting a series of disconnected data points. This ensures the analysis is not only rigorous but also accessible and compelling, providing a clear foundation for the strategic choices that follow (Boje, 2001).</w:t>
      </w:r>
    </w:p>
    <w:p w14:paraId="26C33C2E" w14:textId="77777777" w:rsidR="001A2765" w:rsidRDefault="001A2765" w:rsidP="00286147">
      <w:pPr>
        <w:spacing w:line="360" w:lineRule="auto"/>
        <w:jc w:val="both"/>
        <w:rPr>
          <w:rFonts w:ascii="Arial" w:hAnsi="Arial" w:cs="Arial"/>
          <w:sz w:val="24"/>
          <w:szCs w:val="24"/>
        </w:rPr>
      </w:pPr>
      <w:r w:rsidRPr="00286147">
        <w:rPr>
          <w:rFonts w:ascii="Arial" w:hAnsi="Arial" w:cs="Arial"/>
          <w:sz w:val="24"/>
          <w:szCs w:val="24"/>
        </w:rPr>
        <w:t xml:space="preserve">The report is structured to guide the reader logically from diagnosis to action. The </w:t>
      </w:r>
      <w:r w:rsidRPr="00A050FC">
        <w:rPr>
          <w:rFonts w:ascii="Arial" w:hAnsi="Arial" w:cs="Arial"/>
          <w:bCs/>
          <w:sz w:val="24"/>
          <w:szCs w:val="24"/>
        </w:rPr>
        <w:t>Analysis</w:t>
      </w:r>
      <w:r w:rsidRPr="00A050FC">
        <w:rPr>
          <w:rFonts w:ascii="Arial" w:hAnsi="Arial" w:cs="Arial"/>
          <w:sz w:val="24"/>
          <w:szCs w:val="24"/>
        </w:rPr>
        <w:t xml:space="preserve"> section will explore the internal and external factors shaping the sustainability imperative for Gleneagles. Based on this diagnosis, the </w:t>
      </w:r>
      <w:r w:rsidRPr="00A050FC">
        <w:rPr>
          <w:rFonts w:ascii="Arial" w:hAnsi="Arial" w:cs="Arial"/>
          <w:bCs/>
          <w:sz w:val="24"/>
          <w:szCs w:val="24"/>
        </w:rPr>
        <w:t>Recommendations and Change Management</w:t>
      </w:r>
      <w:r w:rsidRPr="00A050FC">
        <w:rPr>
          <w:rFonts w:ascii="Arial" w:hAnsi="Arial" w:cs="Arial"/>
          <w:sz w:val="24"/>
          <w:szCs w:val="24"/>
        </w:rPr>
        <w:t xml:space="preserve"> section will outline a synergistic </w:t>
      </w:r>
      <w:proofErr w:type="spellStart"/>
      <w:r w:rsidRPr="00A050FC">
        <w:rPr>
          <w:rFonts w:ascii="Arial" w:hAnsi="Arial" w:cs="Arial"/>
          <w:sz w:val="24"/>
          <w:szCs w:val="24"/>
        </w:rPr>
        <w:t>programme</w:t>
      </w:r>
      <w:proofErr w:type="spellEnd"/>
      <w:r w:rsidRPr="00A050FC">
        <w:rPr>
          <w:rFonts w:ascii="Arial" w:hAnsi="Arial" w:cs="Arial"/>
          <w:sz w:val="24"/>
          <w:szCs w:val="24"/>
        </w:rPr>
        <w:t xml:space="preserve"> of initiatives designed to </w:t>
      </w:r>
      <w:r w:rsidRPr="00A050FC">
        <w:rPr>
          <w:rFonts w:ascii="Arial" w:hAnsi="Arial" w:cs="Arial"/>
          <w:sz w:val="24"/>
          <w:szCs w:val="24"/>
        </w:rPr>
        <w:lastRenderedPageBreak/>
        <w:t xml:space="preserve">transform the hotel's operations, brand, and culture. The report culminates in a practical </w:t>
      </w:r>
      <w:r w:rsidRPr="00A050FC">
        <w:rPr>
          <w:rFonts w:ascii="Arial" w:hAnsi="Arial" w:cs="Arial"/>
          <w:bCs/>
          <w:sz w:val="24"/>
          <w:szCs w:val="24"/>
        </w:rPr>
        <w:t>Action Plan</w:t>
      </w:r>
      <w:r w:rsidRPr="00A050FC">
        <w:rPr>
          <w:rFonts w:ascii="Arial" w:hAnsi="Arial" w:cs="Arial"/>
          <w:sz w:val="24"/>
          <w:szCs w:val="24"/>
        </w:rPr>
        <w:t xml:space="preserve"> and a concluding summary, providing</w:t>
      </w:r>
      <w:r w:rsidRPr="00286147">
        <w:rPr>
          <w:rFonts w:ascii="Arial" w:hAnsi="Arial" w:cs="Arial"/>
          <w:sz w:val="24"/>
          <w:szCs w:val="24"/>
        </w:rPr>
        <w:t xml:space="preserve"> the leadership team with a clear and inspiring vision for pioneering the future of conscientious luxury (</w:t>
      </w:r>
      <w:proofErr w:type="spellStart"/>
      <w:r w:rsidRPr="00286147">
        <w:rPr>
          <w:rFonts w:ascii="Arial" w:hAnsi="Arial" w:cs="Arial"/>
          <w:sz w:val="24"/>
          <w:szCs w:val="24"/>
        </w:rPr>
        <w:t>Okumus</w:t>
      </w:r>
      <w:proofErr w:type="spellEnd"/>
      <w:r w:rsidRPr="00286147">
        <w:rPr>
          <w:rFonts w:ascii="Arial" w:hAnsi="Arial" w:cs="Arial"/>
          <w:sz w:val="24"/>
          <w:szCs w:val="24"/>
        </w:rPr>
        <w:t>, Altinay &amp;</w:t>
      </w:r>
      <w:proofErr w:type="spellStart"/>
      <w:r w:rsidRPr="00286147">
        <w:rPr>
          <w:rFonts w:ascii="Arial" w:hAnsi="Arial" w:cs="Arial"/>
          <w:sz w:val="24"/>
          <w:szCs w:val="24"/>
        </w:rPr>
        <w:t>Chathoth</w:t>
      </w:r>
      <w:proofErr w:type="spellEnd"/>
      <w:r w:rsidRPr="00286147">
        <w:rPr>
          <w:rFonts w:ascii="Arial" w:hAnsi="Arial" w:cs="Arial"/>
          <w:sz w:val="24"/>
          <w:szCs w:val="24"/>
        </w:rPr>
        <w:t>, 2010).</w:t>
      </w:r>
    </w:p>
    <w:p w14:paraId="2AE8878E" w14:textId="77777777" w:rsidR="00A050FC" w:rsidRPr="00286147" w:rsidRDefault="00A050FC" w:rsidP="00286147">
      <w:pPr>
        <w:spacing w:line="360" w:lineRule="auto"/>
        <w:jc w:val="both"/>
        <w:rPr>
          <w:rFonts w:ascii="Arial" w:hAnsi="Arial" w:cs="Arial"/>
          <w:sz w:val="24"/>
          <w:szCs w:val="24"/>
        </w:rPr>
      </w:pPr>
    </w:p>
    <w:p w14:paraId="35A51A12" w14:textId="77777777" w:rsidR="001A2765" w:rsidRPr="00286147" w:rsidRDefault="001A2765" w:rsidP="00286147">
      <w:pPr>
        <w:spacing w:line="360" w:lineRule="auto"/>
        <w:jc w:val="both"/>
        <w:rPr>
          <w:rFonts w:ascii="Arial" w:hAnsi="Arial" w:cs="Arial"/>
          <w:b/>
          <w:bCs/>
          <w:sz w:val="24"/>
          <w:szCs w:val="24"/>
        </w:rPr>
      </w:pPr>
      <w:r w:rsidRPr="00286147">
        <w:rPr>
          <w:rFonts w:ascii="Arial" w:hAnsi="Arial" w:cs="Arial"/>
          <w:b/>
          <w:bCs/>
          <w:sz w:val="24"/>
          <w:szCs w:val="24"/>
        </w:rPr>
        <w:t>Analysis</w:t>
      </w:r>
    </w:p>
    <w:p w14:paraId="19E5E2F5"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This section provides a comprehensive diagnostic analysis of the strategic imperative for sustainability facing The Gleneagles Hotel. Moving beyond superficial assessments, this analysis deconstructs the challenge, examines the powerful external forces driving it, and evaluates the hotel's specific internal capabilities and vulnerabilities. The entire analysis is presented in a narrative format to better capture the interconnected and complex nature of embedding authentic sustainability within a heritage luxury brand. The objective is to build a deep, contextual understanding that will form a robust, evidence-based foundation for the strategic recommendations that follow (Rondinelli &amp; London, 2003).</w:t>
      </w:r>
    </w:p>
    <w:p w14:paraId="2340903F" w14:textId="77777777" w:rsidR="001A2765" w:rsidRPr="00286147" w:rsidRDefault="001A2765" w:rsidP="00286147">
      <w:pPr>
        <w:spacing w:line="360" w:lineRule="auto"/>
        <w:jc w:val="both"/>
        <w:rPr>
          <w:rFonts w:ascii="Arial" w:hAnsi="Arial" w:cs="Arial"/>
          <w:b/>
          <w:bCs/>
          <w:sz w:val="24"/>
          <w:szCs w:val="24"/>
        </w:rPr>
      </w:pPr>
      <w:r w:rsidRPr="00286147">
        <w:rPr>
          <w:rFonts w:ascii="Arial" w:hAnsi="Arial" w:cs="Arial"/>
          <w:b/>
          <w:bCs/>
          <w:sz w:val="24"/>
          <w:szCs w:val="24"/>
        </w:rPr>
        <w:t>A Narrative Analysis of the Sustainability Challenge</w:t>
      </w:r>
    </w:p>
    <w:p w14:paraId="7EEA800C"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The challenge for The Gleneagles Hotel extends far beyond traditional Corporate Social Responsibility (CSR). It requires a fundamental strategic shift from a model of peripheral, often reputation-driven initiatives, towards one of deeply embedded "Creating Shared Value" (CSV). In a CSV model, social and environmental considerations are not seen as constraints on value creation, but as central drivers of it. For an institution of Gleneagles' stature and scale, sustainability cannot be the responsibility of a single department; it must become a core tenet of its business philosophy, influencing every decision from capital investment to menu design (Porter &amp; Kramer, 2011).</w:t>
      </w:r>
    </w:p>
    <w:p w14:paraId="053F5149"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 xml:space="preserve">At the heart of this challenge lies the concept of "authentic sustainability" and the immense reputational risk of "greenwashing." The modern affluent consumer is increasingly sophisticated, knowledgeable, and cynical towards superficial </w:t>
      </w:r>
      <w:r w:rsidRPr="00286147">
        <w:rPr>
          <w:rFonts w:ascii="Arial" w:hAnsi="Arial" w:cs="Arial"/>
          <w:sz w:val="24"/>
          <w:szCs w:val="24"/>
        </w:rPr>
        <w:lastRenderedPageBreak/>
        <w:t>environmental claims. Authenticity in this context requires radical transparency and verifiable proof of action, not just compelling marketing narratives. For Gleneagles, this means that any sustainability claim—be it about carbon neutrality, biodiversity, or local sourcing—must be backed by rigorous data, transparent reporting, and ideally, third-party certification. A failure to do so could lead to accusations of inauthenticity, causing severe and lasting damage to the brand's most valuable asset: trust (</w:t>
      </w:r>
      <w:proofErr w:type="spellStart"/>
      <w:r w:rsidRPr="00286147">
        <w:rPr>
          <w:rFonts w:ascii="Arial" w:hAnsi="Arial" w:cs="Arial"/>
          <w:sz w:val="24"/>
          <w:szCs w:val="24"/>
        </w:rPr>
        <w:t>Jahdi&amp;Acikdilli</w:t>
      </w:r>
      <w:proofErr w:type="spellEnd"/>
      <w:r w:rsidRPr="00286147">
        <w:rPr>
          <w:rFonts w:ascii="Arial" w:hAnsi="Arial" w:cs="Arial"/>
          <w:sz w:val="24"/>
          <w:szCs w:val="24"/>
        </w:rPr>
        <w:t>, 2009).</w:t>
      </w:r>
    </w:p>
    <w:p w14:paraId="691E19FC"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The operational complexity of this transformation for Gleneagles is immense. Managing an 850-acre estate with diverse ecosystems—including moorlands, forests, and rivers—presents a significant land stewardship responsibility. The historic nature of the main hotel building and its extensive facilities, including multiple swimming pools and a world-class spa, results in an inherently high energy and water footprint that is challenging to mitigate. Furthermore, transforming the hotel's existing supply chain, which likely relies on global sources for consistency and quality, to a "local-first" model is a complex logistical and procurement challenge that requires a multi-year commitment (Graci &amp; Dodds, 2010).</w:t>
      </w:r>
    </w:p>
    <w:p w14:paraId="42D7C8CA"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The strategic imperative, therefore, is to reframe these significant operational challenges as the hotel's greatest storytelling assets. The energy-intensive historic building can become a showcase for cutting-edge renewable energy retrofitting. The vast estate transforms from a simple amenity into a living laboratory for biodiversity and conservation projects. The complex supply chain evolves into a celebrated network of local, artisanal Scottish producers. The challenge is one of strategic alchemy: transforming operational burdens into powerful, authentic narratives that create a new, profound layer of brand value and guest experience (Holt, 2004).</w:t>
      </w:r>
    </w:p>
    <w:p w14:paraId="6B3ECAF7" w14:textId="77777777" w:rsidR="001A2765" w:rsidRPr="00286147" w:rsidRDefault="001A2765" w:rsidP="00286147">
      <w:pPr>
        <w:spacing w:line="360" w:lineRule="auto"/>
        <w:jc w:val="both"/>
        <w:rPr>
          <w:rFonts w:ascii="Arial" w:hAnsi="Arial" w:cs="Arial"/>
          <w:b/>
          <w:bCs/>
          <w:sz w:val="24"/>
          <w:szCs w:val="24"/>
        </w:rPr>
      </w:pPr>
      <w:r w:rsidRPr="00286147">
        <w:rPr>
          <w:rFonts w:ascii="Arial" w:hAnsi="Arial" w:cs="Arial"/>
          <w:b/>
          <w:bCs/>
          <w:sz w:val="24"/>
          <w:szCs w:val="24"/>
        </w:rPr>
        <w:t>A STEEPLED Analysis of the Macro-Environmental Landscape</w:t>
      </w:r>
    </w:p>
    <w:p w14:paraId="62FD60E9"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 xml:space="preserve">The strategic urgency for Gleneagles to embrace sustainability is propelled by a confluence of powerful and accelerating external forces. The following narrative exploration, guided by the STEEPLED framework, examines the key macro-environmental trends that are collectively reshaping the landscape of luxury hospitality </w:t>
      </w:r>
      <w:r w:rsidRPr="00286147">
        <w:rPr>
          <w:rFonts w:ascii="Arial" w:hAnsi="Arial" w:cs="Arial"/>
          <w:sz w:val="24"/>
          <w:szCs w:val="24"/>
        </w:rPr>
        <w:lastRenderedPageBreak/>
        <w:t>and creating the context for this necessary transformation (Sammut-Bonnici &amp; Galea, 2015).</w:t>
      </w:r>
    </w:p>
    <w:p w14:paraId="2D7BBC2A"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A profound social shift towards conscious consumption and holistic wellness is a primary driver. Today's affluent consumers are increasingly seeking experiences that offer not just indulgence, but also meaning, connection, and a sense of positive contribution. The concept of luxury is expanding to include personal wellbeing and the wellbeing of the planet. This creates a powerful social expectation for premier brands like Gleneagles to act as responsible stewards and to offer experiences that align with these evolving values, moving beyond simple hedonism to incorporate elements of restoration and purpose (Johnstone &amp; Tan, 2015).</w:t>
      </w:r>
    </w:p>
    <w:p w14:paraId="7EEE51D9"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This social trend is enabled by rapid technological advancements in the field of "green tech." The increasing efficiency and decreasing cost of renewable energy solutions, such as solar panels, ground source heat pumps, and biomass systems fuelled by the estate's own forestry operations, make energy self-sufficiency a viable long-term goal. Similarly, smart-building technologies for energy and water management, advanced food waste tracking systems, and electric vehicle charging infrastructure are no longer niche, but essential tools for any large-scale sustainable operation. These technologies provide the practical means to achieve ambitious environmental targets (Horbach, Rammer &amp;</w:t>
      </w:r>
      <w:proofErr w:type="spellStart"/>
      <w:r w:rsidRPr="00286147">
        <w:rPr>
          <w:rFonts w:ascii="Arial" w:hAnsi="Arial" w:cs="Arial"/>
          <w:sz w:val="24"/>
          <w:szCs w:val="24"/>
        </w:rPr>
        <w:t>Rennings</w:t>
      </w:r>
      <w:proofErr w:type="spellEnd"/>
      <w:r w:rsidRPr="00286147">
        <w:rPr>
          <w:rFonts w:ascii="Arial" w:hAnsi="Arial" w:cs="Arial"/>
          <w:sz w:val="24"/>
          <w:szCs w:val="24"/>
        </w:rPr>
        <w:t>, 2012).</w:t>
      </w:r>
    </w:p>
    <w:p w14:paraId="17C6F3AF"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From an economic perspective, the business case for sustainability is stronger than ever. The global market for eco-tourism, wellness travel, and sustainable luxury is a rapidly growing, high-value segment. Attracting this demographic can lead to higher occupancy rates and a greater willingness to pay a premium for authentic, responsible experiences. Furthermore, there are significant long-term economic benefits from operational efficiencies, including reduced energy and water costs, lower waste disposal fees, and mitigation of risks associated with future carbon taxes or resource price volatility. This makes sustainability a driver of both top-line growth and bottom-line resilience (</w:t>
      </w:r>
      <w:proofErr w:type="spellStart"/>
      <w:r w:rsidRPr="00286147">
        <w:rPr>
          <w:rFonts w:ascii="Arial" w:hAnsi="Arial" w:cs="Arial"/>
          <w:sz w:val="24"/>
          <w:szCs w:val="24"/>
        </w:rPr>
        <w:t>Manaktola</w:t>
      </w:r>
      <w:proofErr w:type="spellEnd"/>
      <w:r w:rsidRPr="00286147">
        <w:rPr>
          <w:rFonts w:ascii="Arial" w:hAnsi="Arial" w:cs="Arial"/>
          <w:sz w:val="24"/>
          <w:szCs w:val="24"/>
        </w:rPr>
        <w:t>&amp; Jauhari, 2007).</w:t>
      </w:r>
    </w:p>
    <w:p w14:paraId="467F522C"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lastRenderedPageBreak/>
        <w:t>The environmental context of the Scottish Highlands is, of course, central to this analysis. The increasing physical impacts of climate change, the pressing need for biodiversity conservation, and the specific ecological characteristics of the Perthshire landscape place a unique responsibility on large landowners like Gleneagles. The hotel has the opportunity to become a leader in land stewardship, implementing projects such as peatland restoration, native woodland regeneration, and river conservation. These actions are not only environmentally vital but also serve to protect and enhance the very "natural capital" upon which the hotel's appeal is based (Butler, 2008).</w:t>
      </w:r>
    </w:p>
    <w:p w14:paraId="1D803468"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 xml:space="preserve">The political landscape in both Scotland and the wider UK is strongly supportive of this direction. Ambitious government policies targeting Net Zero emissions by 2045 (in Scotland) and supporting the growth of the green economy create a </w:t>
      </w:r>
      <w:proofErr w:type="spellStart"/>
      <w:r w:rsidRPr="00286147">
        <w:rPr>
          <w:rFonts w:ascii="Arial" w:hAnsi="Arial" w:cs="Arial"/>
          <w:sz w:val="24"/>
          <w:szCs w:val="24"/>
        </w:rPr>
        <w:t>favourable</w:t>
      </w:r>
      <w:proofErr w:type="spellEnd"/>
      <w:r w:rsidRPr="00286147">
        <w:rPr>
          <w:rFonts w:ascii="Arial" w:hAnsi="Arial" w:cs="Arial"/>
          <w:sz w:val="24"/>
          <w:szCs w:val="24"/>
        </w:rPr>
        <w:t xml:space="preserve"> context. There are often government grants, tax incentives, and support schemes available for businesses investing in renewable energy, energy efficiency, and sustainable land management. Aligning the hotel's strategy with these national political priorities can unlock access to valuable support and public recognition (Scottish Government, 2023).</w:t>
      </w:r>
    </w:p>
    <w:p w14:paraId="5A674C20"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The legal framework surrounding environmental practices is becoming increasingly stringent. Legislation covering carbon emissions reporting (e.g., SECR), waste management regulations, water usage, and biodiversity protection imposes clear legal obligations. Failure to comply with these evolving regulations presents a significant legal risk, including the potential for heavy fines and operational sanctions. Proactively exceeding these legal minimums is the hallmark of a true industry leader and a key risk mitigation strategy (Nash, 2009).</w:t>
      </w:r>
    </w:p>
    <w:p w14:paraId="47E0595E"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Beyond the law, there is a powerful ethical imperative for a prestigious and influential brand like Gleneagles to lead by example. As a major employer and landowner in its region, the hotel has a moral responsibility to its local community, its employees, and the natural environment. Adopting a truly sustainable and ethical approach to business is no longer just a strategic choice; for a brand that trades on a reputation of quality and integrity, it is a fundamental ethical duty (Schwartz &amp; Carroll, 2003).</w:t>
      </w:r>
    </w:p>
    <w:p w14:paraId="04D13AA7"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lastRenderedPageBreak/>
        <w:t>Finally, demographic trends are reinforcing this entire shift. The primary drivers of the demand for sustainable luxury are the younger, affluent cohorts of Millennials and Gen Z. These generations consistently demonstrate a preference for brands that reflect their values, are transparent about their impact, and contribute positively to society. As these demographics become the dominant force in the luxury market, their values will become the market's values, making a robust sustainability strategy essential for long-term relevance and success (</w:t>
      </w:r>
      <w:proofErr w:type="spellStart"/>
      <w:r w:rsidRPr="00286147">
        <w:rPr>
          <w:rFonts w:ascii="Arial" w:hAnsi="Arial" w:cs="Arial"/>
          <w:sz w:val="24"/>
          <w:szCs w:val="24"/>
        </w:rPr>
        <w:t>Brosdahl</w:t>
      </w:r>
      <w:proofErr w:type="spellEnd"/>
      <w:r w:rsidRPr="00286147">
        <w:rPr>
          <w:rFonts w:ascii="Arial" w:hAnsi="Arial" w:cs="Arial"/>
          <w:sz w:val="24"/>
          <w:szCs w:val="24"/>
        </w:rPr>
        <w:t>&amp; Carpenter, 2010).</w:t>
      </w:r>
    </w:p>
    <w:p w14:paraId="69C3C16D" w14:textId="77777777" w:rsidR="001A2765" w:rsidRPr="00286147" w:rsidRDefault="001A2765" w:rsidP="00286147">
      <w:pPr>
        <w:spacing w:line="360" w:lineRule="auto"/>
        <w:jc w:val="both"/>
        <w:rPr>
          <w:rFonts w:ascii="Arial" w:hAnsi="Arial" w:cs="Arial"/>
          <w:b/>
          <w:bCs/>
          <w:sz w:val="24"/>
          <w:szCs w:val="24"/>
        </w:rPr>
      </w:pPr>
      <w:r w:rsidRPr="00286147">
        <w:rPr>
          <w:rFonts w:ascii="Arial" w:hAnsi="Arial" w:cs="Arial"/>
          <w:b/>
          <w:bCs/>
          <w:sz w:val="24"/>
          <w:szCs w:val="24"/>
        </w:rPr>
        <w:t xml:space="preserve">A SWOT Analysis of the </w:t>
      </w:r>
      <w:proofErr w:type="spellStart"/>
      <w:r w:rsidRPr="00286147">
        <w:rPr>
          <w:rFonts w:ascii="Arial" w:hAnsi="Arial" w:cs="Arial"/>
          <w:b/>
          <w:bCs/>
          <w:sz w:val="24"/>
          <w:szCs w:val="24"/>
        </w:rPr>
        <w:t>Organisational</w:t>
      </w:r>
      <w:proofErr w:type="spellEnd"/>
      <w:r w:rsidRPr="00286147">
        <w:rPr>
          <w:rFonts w:ascii="Arial" w:hAnsi="Arial" w:cs="Arial"/>
          <w:b/>
          <w:bCs/>
          <w:sz w:val="24"/>
          <w:szCs w:val="24"/>
        </w:rPr>
        <w:t xml:space="preserve"> Position</w:t>
      </w:r>
    </w:p>
    <w:p w14:paraId="15E06B9C"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 xml:space="preserve">Having examined the external landscape, this narrative SWOT analysis now turns inward to provide a candid appraisal of The Gleneagles Hotel's specific internal strengths and weaknesses as they relate to the opportunities and threats of the sustainability imperative. This provides a clear-eyed view of the </w:t>
      </w:r>
      <w:proofErr w:type="spellStart"/>
      <w:r w:rsidRPr="00286147">
        <w:rPr>
          <w:rFonts w:ascii="Arial" w:hAnsi="Arial" w:cs="Arial"/>
          <w:sz w:val="24"/>
          <w:szCs w:val="24"/>
        </w:rPr>
        <w:t>organisation's</w:t>
      </w:r>
      <w:proofErr w:type="spellEnd"/>
      <w:r w:rsidRPr="00286147">
        <w:rPr>
          <w:rFonts w:ascii="Arial" w:hAnsi="Arial" w:cs="Arial"/>
          <w:sz w:val="24"/>
          <w:szCs w:val="24"/>
        </w:rPr>
        <w:t xml:space="preserve"> strategic starting point (Dyson, 2004).</w:t>
      </w:r>
    </w:p>
    <w:p w14:paraId="5D8D008F"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The foremost strength of The Gleneagles Hotel is undoubtedly its magnificent 850-acre Perthshire estate. This vast expanse of land is not merely a backdrop for leisure activities; it is a living, breathing asset that provides an unparalleled platform for authentic sustainability initiatives. The estate offers the potential for renewable energy generation, extensive biodiversity and conservation projects, and a unique "farm-to-table" food production capability. This physical asset, combined with the immense power and trust of the Gleneagles brand and the financial backing of the Ennismore/Accor group, creates a foundation for leadership that few competitors in the world can match (Wernerfelt, 1984).</w:t>
      </w:r>
    </w:p>
    <w:p w14:paraId="055B5355"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 xml:space="preserve">However, these strengths are matched by significant weaknesses inherent in the nature of the property. The historic main building, while architecturally beautiful, is also operationally inefficient, with a correspondingly high energy and carbon footprint. The scale and diversity of the hotel's operations—from its multiple restaurants to its spa and golf courses—create a highly complex supply chain that is likely reliant on global suppliers, making a transition to local sourcing a formidable challenge. Furthermore, the existing </w:t>
      </w:r>
      <w:proofErr w:type="spellStart"/>
      <w:r w:rsidRPr="00286147">
        <w:rPr>
          <w:rFonts w:ascii="Arial" w:hAnsi="Arial" w:cs="Arial"/>
          <w:sz w:val="24"/>
          <w:szCs w:val="24"/>
        </w:rPr>
        <w:t>organisational</w:t>
      </w:r>
      <w:proofErr w:type="spellEnd"/>
      <w:r w:rsidRPr="00286147">
        <w:rPr>
          <w:rFonts w:ascii="Arial" w:hAnsi="Arial" w:cs="Arial"/>
          <w:sz w:val="24"/>
          <w:szCs w:val="24"/>
        </w:rPr>
        <w:t xml:space="preserve"> culture and performance metrics may be heavily focused on </w:t>
      </w:r>
      <w:r w:rsidRPr="00286147">
        <w:rPr>
          <w:rFonts w:ascii="Arial" w:hAnsi="Arial" w:cs="Arial"/>
          <w:sz w:val="24"/>
          <w:szCs w:val="24"/>
        </w:rPr>
        <w:lastRenderedPageBreak/>
        <w:t xml:space="preserve">traditional luxury standards (e.g., opulence, service speed) and may lack the in-house expertise and ingrained mindset required to </w:t>
      </w:r>
      <w:proofErr w:type="spellStart"/>
      <w:r w:rsidRPr="00286147">
        <w:rPr>
          <w:rFonts w:ascii="Arial" w:hAnsi="Arial" w:cs="Arial"/>
          <w:sz w:val="24"/>
          <w:szCs w:val="24"/>
        </w:rPr>
        <w:t>prioritise</w:t>
      </w:r>
      <w:proofErr w:type="spellEnd"/>
      <w:r w:rsidRPr="00286147">
        <w:rPr>
          <w:rFonts w:ascii="Arial" w:hAnsi="Arial" w:cs="Arial"/>
          <w:sz w:val="24"/>
          <w:szCs w:val="24"/>
        </w:rPr>
        <w:t xml:space="preserve"> and execute a complex sustainability agenda (</w:t>
      </w:r>
      <w:proofErr w:type="spellStart"/>
      <w:r w:rsidRPr="00286147">
        <w:rPr>
          <w:rFonts w:ascii="Arial" w:hAnsi="Arial" w:cs="Arial"/>
          <w:sz w:val="24"/>
          <w:szCs w:val="24"/>
        </w:rPr>
        <w:t>Lankoski</w:t>
      </w:r>
      <w:proofErr w:type="spellEnd"/>
      <w:r w:rsidRPr="00286147">
        <w:rPr>
          <w:rFonts w:ascii="Arial" w:hAnsi="Arial" w:cs="Arial"/>
          <w:sz w:val="24"/>
          <w:szCs w:val="24"/>
        </w:rPr>
        <w:t>, 2016).</w:t>
      </w:r>
    </w:p>
    <w:p w14:paraId="1B988E24" w14:textId="166019E0"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 xml:space="preserve">The opportunities presented by a wholehearted commitment to sustainability are transformative. The most significant opportunity is for Gleneagles to position itself as the definitive global benchmark for sustainable luxury resorts, attracting a new and growing segment of high-value, conscientious </w:t>
      </w:r>
      <w:r w:rsidR="006078F3">
        <w:rPr>
          <w:rFonts w:ascii="Arial" w:hAnsi="Arial" w:cs="Arial"/>
          <w:sz w:val="24"/>
          <w:szCs w:val="24"/>
        </w:rPr>
        <w:t>guests</w:t>
      </w:r>
      <w:r w:rsidRPr="00286147">
        <w:rPr>
          <w:rFonts w:ascii="Arial" w:hAnsi="Arial" w:cs="Arial"/>
          <w:sz w:val="24"/>
          <w:szCs w:val="24"/>
        </w:rPr>
        <w:t>. This positioning can be solidified by achieving a prestigious and rigorous third-party certification, such as B Corp, which would provide unimpeachable verification of its credentials. Specific opportunities include developing a unique range of eco-tourism guest experiences (e.g., rewilding tours, foraging classes), creating a powerful brand narrative around its "Estate-to-Plate" dining philosophy, and becoming a celebrated case study in responsible hospitality (Han, 2021).</w:t>
      </w:r>
    </w:p>
    <w:p w14:paraId="4691BFA3"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These opportunities are set against a backdrop of tangible threats. The most significant threat is the reputational damage that would result from any perception of "greenwashing." In the current climate, inauthentic or exaggerated claims can be ruinous to a brand's credibility. There is also the threat posed by the emergence of smaller, highly focused, "born-sustainable" luxury eco-lodges that can claim a more intimate and inherently authentic connection to nature. Finally, the high upfront capital investment required for major green technology projects represents a financial risk that must be carefully managed, especially in an uncertain economic climate (Chen &amp; Chang, 2013).</w:t>
      </w:r>
    </w:p>
    <w:p w14:paraId="6071B1C5" w14:textId="77777777" w:rsidR="001A2765" w:rsidRPr="00286147" w:rsidRDefault="001A2765" w:rsidP="00286147">
      <w:pPr>
        <w:spacing w:line="360" w:lineRule="auto"/>
        <w:jc w:val="both"/>
        <w:rPr>
          <w:rFonts w:ascii="Arial" w:hAnsi="Arial" w:cs="Arial"/>
          <w:b/>
          <w:bCs/>
          <w:sz w:val="24"/>
          <w:szCs w:val="24"/>
        </w:rPr>
      </w:pPr>
      <w:r w:rsidRPr="00286147">
        <w:rPr>
          <w:rFonts w:ascii="Arial" w:hAnsi="Arial" w:cs="Arial"/>
          <w:b/>
          <w:bCs/>
          <w:sz w:val="24"/>
          <w:szCs w:val="24"/>
        </w:rPr>
        <w:t>A TOWS Analysis for Strategic Direction</w:t>
      </w:r>
    </w:p>
    <w:p w14:paraId="04BDBF71"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This final stage of the analysis synthesizes the SWOT findings into a clear, narrative-driven set of strategic directions. By matching internal capabilities with external realities, the TOWS framework illuminates the most logical and powerful path forward for The Gleneagles Hotel (</w:t>
      </w:r>
      <w:proofErr w:type="spellStart"/>
      <w:r w:rsidRPr="00286147">
        <w:rPr>
          <w:rFonts w:ascii="Arial" w:hAnsi="Arial" w:cs="Arial"/>
          <w:sz w:val="24"/>
          <w:szCs w:val="24"/>
        </w:rPr>
        <w:t>Weihrich</w:t>
      </w:r>
      <w:proofErr w:type="spellEnd"/>
      <w:r w:rsidRPr="00286147">
        <w:rPr>
          <w:rFonts w:ascii="Arial" w:hAnsi="Arial" w:cs="Arial"/>
          <w:sz w:val="24"/>
          <w:szCs w:val="24"/>
        </w:rPr>
        <w:t>, 1982).</w:t>
      </w:r>
    </w:p>
    <w:p w14:paraId="7E66029A"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 xml:space="preserve">The most compelling strategic direction, emerging from the alignment of strengths and opportunities (SO), is for Gleneagles to </w:t>
      </w:r>
      <w:r w:rsidRPr="00A050FC">
        <w:rPr>
          <w:rFonts w:ascii="Arial" w:hAnsi="Arial" w:cs="Arial"/>
          <w:bCs/>
          <w:sz w:val="24"/>
          <w:szCs w:val="24"/>
        </w:rPr>
        <w:t xml:space="preserve">use its vast estate and powerful brand </w:t>
      </w:r>
      <w:r w:rsidRPr="00A050FC">
        <w:rPr>
          <w:rFonts w:ascii="Arial" w:hAnsi="Arial" w:cs="Arial"/>
          <w:bCs/>
          <w:sz w:val="24"/>
          <w:szCs w:val="24"/>
        </w:rPr>
        <w:lastRenderedPageBreak/>
        <w:t>(Strengths) to create and market a unique portfolio of high-value, authentic sustainable experiences (Opportunities)</w:t>
      </w:r>
      <w:r w:rsidRPr="00A050FC">
        <w:rPr>
          <w:rFonts w:ascii="Arial" w:hAnsi="Arial" w:cs="Arial"/>
          <w:sz w:val="24"/>
          <w:szCs w:val="24"/>
        </w:rPr>
        <w:t>. Thi</w:t>
      </w:r>
      <w:r w:rsidRPr="00286147">
        <w:rPr>
          <w:rFonts w:ascii="Arial" w:hAnsi="Arial" w:cs="Arial"/>
          <w:sz w:val="24"/>
          <w:szCs w:val="24"/>
        </w:rPr>
        <w:t>s is the primary offensive strategy. It involves transforming the estate from a passive asset into the central character in the hotel's story—a source of food, a haven for biodiversity, a platform for education, and a testament to responsible stewardship. By deeply integrating the estate into every aspect of the guest experience, Gleneagles can create a proposition that is not only luxurious but also meaningful, educational, and impossible to imitate (Hart &amp; Milstein, 2003).</w:t>
      </w:r>
    </w:p>
    <w:p w14:paraId="2A7EC2C3" w14:textId="77777777" w:rsidR="001A2765" w:rsidRPr="00A050FC" w:rsidRDefault="001A2765" w:rsidP="00286147">
      <w:pPr>
        <w:spacing w:line="360" w:lineRule="auto"/>
        <w:jc w:val="both"/>
        <w:rPr>
          <w:rFonts w:ascii="Arial" w:hAnsi="Arial" w:cs="Arial"/>
          <w:sz w:val="24"/>
          <w:szCs w:val="24"/>
        </w:rPr>
      </w:pPr>
      <w:r w:rsidRPr="00286147">
        <w:rPr>
          <w:rFonts w:ascii="Arial" w:hAnsi="Arial" w:cs="Arial"/>
          <w:sz w:val="24"/>
          <w:szCs w:val="24"/>
        </w:rPr>
        <w:t xml:space="preserve">To enable this, the hotel must pursue a </w:t>
      </w:r>
      <w:r w:rsidRPr="00A050FC">
        <w:rPr>
          <w:rFonts w:ascii="Arial" w:hAnsi="Arial" w:cs="Arial"/>
          <w:sz w:val="24"/>
          <w:szCs w:val="24"/>
        </w:rPr>
        <w:t xml:space="preserve">strategy that overcomes its internal weaknesses by seizing external opportunities (WO). This involves </w:t>
      </w:r>
      <w:r w:rsidRPr="00A050FC">
        <w:rPr>
          <w:rFonts w:ascii="Arial" w:hAnsi="Arial" w:cs="Arial"/>
          <w:bCs/>
          <w:sz w:val="24"/>
          <w:szCs w:val="24"/>
        </w:rPr>
        <w:t>making a strategic investment in green technology and external expertise (Opportunities) to systematically address the high resource consumption of the historic property and the internal knowledge gaps (Weaknesses)</w:t>
      </w:r>
      <w:r w:rsidRPr="00A050FC">
        <w:rPr>
          <w:rFonts w:ascii="Arial" w:hAnsi="Arial" w:cs="Arial"/>
          <w:sz w:val="24"/>
          <w:szCs w:val="24"/>
        </w:rPr>
        <w:t>. This means actively seeking out partnerships with sustainability experts, pursuing a rigorous certification framework like B Corp to guide internal change, and investing in the technology needed to make its sustainability goals operationally achievable. This strategy focuses on building the necessary</w:t>
      </w:r>
      <w:r w:rsidRPr="00286147">
        <w:rPr>
          <w:rFonts w:ascii="Arial" w:hAnsi="Arial" w:cs="Arial"/>
          <w:sz w:val="24"/>
          <w:szCs w:val="24"/>
        </w:rPr>
        <w:t xml:space="preserve"> capabilities for long-term </w:t>
      </w:r>
      <w:r w:rsidRPr="00A050FC">
        <w:rPr>
          <w:rFonts w:ascii="Arial" w:hAnsi="Arial" w:cs="Arial"/>
          <w:sz w:val="24"/>
          <w:szCs w:val="24"/>
        </w:rPr>
        <w:t>success (King, 2007).</w:t>
      </w:r>
    </w:p>
    <w:p w14:paraId="5C026D35" w14:textId="77777777" w:rsidR="001A2765" w:rsidRPr="00286147" w:rsidRDefault="001A2765" w:rsidP="00286147">
      <w:pPr>
        <w:spacing w:line="360" w:lineRule="auto"/>
        <w:jc w:val="both"/>
        <w:rPr>
          <w:rFonts w:ascii="Arial" w:hAnsi="Arial" w:cs="Arial"/>
          <w:sz w:val="24"/>
          <w:szCs w:val="24"/>
        </w:rPr>
      </w:pPr>
      <w:r w:rsidRPr="00A050FC">
        <w:rPr>
          <w:rFonts w:ascii="Arial" w:hAnsi="Arial" w:cs="Arial"/>
          <w:sz w:val="24"/>
          <w:szCs w:val="24"/>
        </w:rPr>
        <w:t xml:space="preserve">In parallel, Gleneagles must use its strengths to defend against external threats (ST). The core defensive strategy is to </w:t>
      </w:r>
      <w:r w:rsidRPr="00A050FC">
        <w:rPr>
          <w:rFonts w:ascii="Arial" w:hAnsi="Arial" w:cs="Arial"/>
          <w:bCs/>
          <w:sz w:val="24"/>
          <w:szCs w:val="24"/>
        </w:rPr>
        <w:t>use the tangible reality of its 850-acre estate and its trusted brand name (Strengths) to provide verifiable proof of its commitment, thereby inoculating itself against accusations of greenwashing and differentiating itself from smaller, niche competitors (Threats)</w:t>
      </w:r>
      <w:r w:rsidRPr="00A050FC">
        <w:rPr>
          <w:rFonts w:ascii="Arial" w:hAnsi="Arial" w:cs="Arial"/>
          <w:sz w:val="24"/>
          <w:szCs w:val="24"/>
        </w:rPr>
        <w:t xml:space="preserve">. While a small eco-lodge might talk about being "in nature," Gleneagles can demonstrate that it is actively </w:t>
      </w:r>
      <w:r w:rsidRPr="00A050FC">
        <w:rPr>
          <w:rFonts w:ascii="Arial" w:hAnsi="Arial" w:cs="Arial"/>
          <w:i/>
          <w:iCs/>
          <w:sz w:val="24"/>
          <w:szCs w:val="24"/>
        </w:rPr>
        <w:t>restoring</w:t>
      </w:r>
      <w:r w:rsidRPr="00A050FC">
        <w:rPr>
          <w:rFonts w:ascii="Arial" w:hAnsi="Arial" w:cs="Arial"/>
          <w:sz w:val="24"/>
          <w:szCs w:val="24"/>
        </w:rPr>
        <w:t xml:space="preserve"> nature at a landscape scale. This strategy is about using</w:t>
      </w:r>
      <w:r w:rsidRPr="00286147">
        <w:rPr>
          <w:rFonts w:ascii="Arial" w:hAnsi="Arial" w:cs="Arial"/>
          <w:sz w:val="24"/>
          <w:szCs w:val="24"/>
        </w:rPr>
        <w:t xml:space="preserve"> authenticity and scale as a powerful </w:t>
      </w:r>
      <w:proofErr w:type="spellStart"/>
      <w:r w:rsidRPr="00286147">
        <w:rPr>
          <w:rFonts w:ascii="Arial" w:hAnsi="Arial" w:cs="Arial"/>
          <w:sz w:val="24"/>
          <w:szCs w:val="24"/>
        </w:rPr>
        <w:t>defence</w:t>
      </w:r>
      <w:proofErr w:type="spellEnd"/>
      <w:r w:rsidRPr="00286147">
        <w:rPr>
          <w:rFonts w:ascii="Arial" w:hAnsi="Arial" w:cs="Arial"/>
          <w:sz w:val="24"/>
          <w:szCs w:val="24"/>
        </w:rPr>
        <w:t xml:space="preserve"> (Orsato, 2006).</w:t>
      </w:r>
    </w:p>
    <w:p w14:paraId="64247733" w14:textId="77777777" w:rsidR="001A2765" w:rsidRPr="00286147" w:rsidRDefault="001A2765" w:rsidP="00286147">
      <w:pPr>
        <w:spacing w:line="360" w:lineRule="auto"/>
        <w:jc w:val="both"/>
        <w:rPr>
          <w:rFonts w:ascii="Arial" w:hAnsi="Arial" w:cs="Arial"/>
          <w:sz w:val="24"/>
          <w:szCs w:val="24"/>
        </w:rPr>
      </w:pPr>
      <w:r w:rsidRPr="00A050FC">
        <w:rPr>
          <w:rFonts w:ascii="Arial" w:hAnsi="Arial" w:cs="Arial"/>
          <w:sz w:val="24"/>
          <w:szCs w:val="24"/>
        </w:rPr>
        <w:t xml:space="preserve">Finally, a turnaround strategy is required to address the most significant internal weakness in the face of external threats (WT). The hotel must </w:t>
      </w:r>
      <w:r w:rsidRPr="00A050FC">
        <w:rPr>
          <w:rFonts w:ascii="Arial" w:hAnsi="Arial" w:cs="Arial"/>
          <w:bCs/>
          <w:sz w:val="24"/>
          <w:szCs w:val="24"/>
        </w:rPr>
        <w:t>begin a long-term, deliberate project to transform its complex supply chain (Weakness), mitigating the threat of being perceived as inauthentic due to a high reliance on non-local sources (Threat)</w:t>
      </w:r>
      <w:r w:rsidRPr="00A050FC">
        <w:rPr>
          <w:rFonts w:ascii="Arial" w:hAnsi="Arial" w:cs="Arial"/>
          <w:sz w:val="24"/>
          <w:szCs w:val="24"/>
        </w:rPr>
        <w:t>. This involves proactively building a network of local, high-quality artisanal suppliers and</w:t>
      </w:r>
      <w:r w:rsidRPr="00286147">
        <w:rPr>
          <w:rFonts w:ascii="Arial" w:hAnsi="Arial" w:cs="Arial"/>
          <w:sz w:val="24"/>
          <w:szCs w:val="24"/>
        </w:rPr>
        <w:t xml:space="preserve"> turning this commitment to the local economy into a core part of its brand </w:t>
      </w:r>
      <w:r w:rsidRPr="00286147">
        <w:rPr>
          <w:rFonts w:ascii="Arial" w:hAnsi="Arial" w:cs="Arial"/>
          <w:sz w:val="24"/>
          <w:szCs w:val="24"/>
        </w:rPr>
        <w:lastRenderedPageBreak/>
        <w:t>narrative. This transforms a major operational weakness into a powerful story of community and provenance (Sharma &amp; Henriques, 2005).</w:t>
      </w:r>
    </w:p>
    <w:p w14:paraId="65FDBD69"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In synthesis, the entire analysis points to a singular, powerful conclusion. For The Gleneagles Hotel, a deep and authentic commitment to sustainability is not merely a CSR initiative or a marketing tactic; it is the most logical, powerful, and inspiring evolution of its brand identity. It is a strategy that aligns its operations with its unique sense of place, deepens its connection with its guests, and secures its legacy for a new era of conscientious luxury (</w:t>
      </w:r>
      <w:proofErr w:type="spellStart"/>
      <w:r w:rsidRPr="00286147">
        <w:rPr>
          <w:rFonts w:ascii="Arial" w:hAnsi="Arial" w:cs="Arial"/>
          <w:sz w:val="24"/>
          <w:szCs w:val="24"/>
        </w:rPr>
        <w:t>Dyllick</w:t>
      </w:r>
      <w:proofErr w:type="spellEnd"/>
      <w:r w:rsidRPr="00286147">
        <w:rPr>
          <w:rFonts w:ascii="Arial" w:hAnsi="Arial" w:cs="Arial"/>
          <w:sz w:val="24"/>
          <w:szCs w:val="24"/>
        </w:rPr>
        <w:t>&amp; Muff, 2016).</w:t>
      </w:r>
    </w:p>
    <w:p w14:paraId="525855D6" w14:textId="77777777" w:rsidR="001A2765" w:rsidRPr="00286147" w:rsidRDefault="001A2765" w:rsidP="00286147">
      <w:pPr>
        <w:spacing w:line="360" w:lineRule="auto"/>
        <w:jc w:val="both"/>
        <w:rPr>
          <w:rFonts w:ascii="Arial" w:hAnsi="Arial" w:cs="Arial"/>
          <w:b/>
          <w:bCs/>
          <w:sz w:val="24"/>
          <w:szCs w:val="24"/>
        </w:rPr>
      </w:pPr>
      <w:r w:rsidRPr="00286147">
        <w:rPr>
          <w:rFonts w:ascii="Arial" w:hAnsi="Arial" w:cs="Arial"/>
          <w:b/>
          <w:bCs/>
          <w:sz w:val="24"/>
          <w:szCs w:val="24"/>
        </w:rPr>
        <w:t>Recommendations and Change Management</w:t>
      </w:r>
    </w:p>
    <w:p w14:paraId="21E1D3C7"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 xml:space="preserve">Following the comprehensive analysis of the internal and external environments, this section presents a cohesive and synergistic </w:t>
      </w:r>
      <w:proofErr w:type="spellStart"/>
      <w:r w:rsidRPr="00286147">
        <w:rPr>
          <w:rFonts w:ascii="Arial" w:hAnsi="Arial" w:cs="Arial"/>
          <w:sz w:val="24"/>
          <w:szCs w:val="24"/>
        </w:rPr>
        <w:t>programme</w:t>
      </w:r>
      <w:proofErr w:type="spellEnd"/>
      <w:r w:rsidRPr="00286147">
        <w:rPr>
          <w:rFonts w:ascii="Arial" w:hAnsi="Arial" w:cs="Arial"/>
          <w:sz w:val="24"/>
          <w:szCs w:val="24"/>
        </w:rPr>
        <w:t xml:space="preserve"> of strategic recommendations. These proposals are designed to provide a clear and actionable pathway for The Gleneagles Hotel to authentically embed sustainability into its core operational and brand identity. The recommendations form an integrated framework, addressing certification and governance, operational transformation, and brand communication. This is supported by a robust change management strategy designed to navigate the profound cultural shifts required for success. The ultimate objective is to transform Gleneagles into a global exemplar of 'conscientious luxury' (</w:t>
      </w:r>
      <w:proofErr w:type="spellStart"/>
      <w:r w:rsidRPr="00286147">
        <w:rPr>
          <w:rFonts w:ascii="Arial" w:hAnsi="Arial" w:cs="Arial"/>
          <w:sz w:val="24"/>
          <w:szCs w:val="24"/>
        </w:rPr>
        <w:t>Hrebiniak</w:t>
      </w:r>
      <w:proofErr w:type="spellEnd"/>
      <w:r w:rsidRPr="00286147">
        <w:rPr>
          <w:rFonts w:ascii="Arial" w:hAnsi="Arial" w:cs="Arial"/>
          <w:sz w:val="24"/>
          <w:szCs w:val="24"/>
        </w:rPr>
        <w:t>, 2005).</w:t>
      </w:r>
    </w:p>
    <w:p w14:paraId="6F863562" w14:textId="77777777" w:rsidR="001A2765" w:rsidRPr="00286147" w:rsidRDefault="001A2765" w:rsidP="00286147">
      <w:pPr>
        <w:spacing w:line="360" w:lineRule="auto"/>
        <w:jc w:val="both"/>
        <w:rPr>
          <w:rFonts w:ascii="Arial" w:hAnsi="Arial" w:cs="Arial"/>
          <w:b/>
          <w:bCs/>
          <w:sz w:val="24"/>
          <w:szCs w:val="24"/>
        </w:rPr>
      </w:pPr>
      <w:r w:rsidRPr="00286147">
        <w:rPr>
          <w:rFonts w:ascii="Arial" w:hAnsi="Arial" w:cs="Arial"/>
          <w:b/>
          <w:bCs/>
          <w:sz w:val="24"/>
          <w:szCs w:val="24"/>
        </w:rPr>
        <w:t>Recommendation One: Achieving Verifiable Sustainability through B Corp Certification</w:t>
      </w:r>
    </w:p>
    <w:p w14:paraId="0ABAE45F"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 xml:space="preserve">In an era of widespread consumer </w:t>
      </w:r>
      <w:proofErr w:type="spellStart"/>
      <w:r w:rsidRPr="00286147">
        <w:rPr>
          <w:rFonts w:ascii="Arial" w:hAnsi="Arial" w:cs="Arial"/>
          <w:sz w:val="24"/>
          <w:szCs w:val="24"/>
        </w:rPr>
        <w:t>scepticism</w:t>
      </w:r>
      <w:proofErr w:type="spellEnd"/>
      <w:r w:rsidRPr="00286147">
        <w:rPr>
          <w:rFonts w:ascii="Arial" w:hAnsi="Arial" w:cs="Arial"/>
          <w:sz w:val="24"/>
          <w:szCs w:val="24"/>
        </w:rPr>
        <w:t xml:space="preserve"> towards corporate environmental claims, self-proclamation is no longer a viable strategy for building trust. The first and most fundamental recommendation is, therefore, for The Gleneagles Hotel to commit to </w:t>
      </w:r>
      <w:r w:rsidRPr="00A050FC">
        <w:rPr>
          <w:rFonts w:ascii="Arial" w:hAnsi="Arial" w:cs="Arial"/>
          <w:sz w:val="24"/>
          <w:szCs w:val="24"/>
        </w:rPr>
        <w:t xml:space="preserve">achieving </w:t>
      </w:r>
      <w:r w:rsidRPr="00A050FC">
        <w:rPr>
          <w:rFonts w:ascii="Arial" w:hAnsi="Arial" w:cs="Arial"/>
          <w:bCs/>
          <w:sz w:val="24"/>
          <w:szCs w:val="24"/>
        </w:rPr>
        <w:t>B Corporation (B Corp) Certification</w:t>
      </w:r>
      <w:r w:rsidRPr="00286147">
        <w:rPr>
          <w:rFonts w:ascii="Arial" w:hAnsi="Arial" w:cs="Arial"/>
          <w:sz w:val="24"/>
          <w:szCs w:val="24"/>
        </w:rPr>
        <w:t xml:space="preserve">. This is not merely a marketing badge; it is a rigorous, holistic, and globally respected framework that provides third-party verification of a company's entire social and environmental performance. Pursuing B Corp signals an unwavering commitment to purpose beyond profit and provides the highest standard of </w:t>
      </w:r>
      <w:proofErr w:type="spellStart"/>
      <w:r w:rsidRPr="00286147">
        <w:rPr>
          <w:rFonts w:ascii="Arial" w:hAnsi="Arial" w:cs="Arial"/>
          <w:sz w:val="24"/>
          <w:szCs w:val="24"/>
        </w:rPr>
        <w:t>defence</w:t>
      </w:r>
      <w:proofErr w:type="spellEnd"/>
      <w:r w:rsidRPr="00286147">
        <w:rPr>
          <w:rFonts w:ascii="Arial" w:hAnsi="Arial" w:cs="Arial"/>
          <w:sz w:val="24"/>
          <w:szCs w:val="24"/>
        </w:rPr>
        <w:t xml:space="preserve"> against any accusations of "greenwashing" (Marquis, 2020).</w:t>
      </w:r>
    </w:p>
    <w:p w14:paraId="3ED7B60D"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lastRenderedPageBreak/>
        <w:t xml:space="preserve">The process of achieving B Corp certification is, in itself, a powerful catalyst for internal change. It requires the company to undertake the B Impact Assessment (BIA), a comprehensive audit that measures performance across five key pillars: Governance, Workers, Community, Environment, and Customers. This process will compel Gleneagles to move beyond isolated initiatives and to develop a holistic, data-driven understanding of its impact. It will necessitate the </w:t>
      </w:r>
      <w:proofErr w:type="spellStart"/>
      <w:r w:rsidRPr="00286147">
        <w:rPr>
          <w:rFonts w:ascii="Arial" w:hAnsi="Arial" w:cs="Arial"/>
          <w:sz w:val="24"/>
          <w:szCs w:val="24"/>
        </w:rPr>
        <w:t>formalisation</w:t>
      </w:r>
      <w:proofErr w:type="spellEnd"/>
      <w:r w:rsidRPr="00286147">
        <w:rPr>
          <w:rFonts w:ascii="Arial" w:hAnsi="Arial" w:cs="Arial"/>
          <w:sz w:val="24"/>
          <w:szCs w:val="24"/>
        </w:rPr>
        <w:t xml:space="preserve"> of new policies, the rigorous tracking of new metrics (such as greenhouse gas emissions per guest-night, water consumption, waste diversion rates, and employee wage equity), and a deep engagement with suppliers to assess their own ethical and environmental standards (Honeyman, 2014).</w:t>
      </w:r>
    </w:p>
    <w:p w14:paraId="746FEAA2"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 xml:space="preserve">Operationally, the B Corp framework will act as a roadmap for systematic improvement. The detailed feedback from the BIA will highlight specific areas of weakness and provide a clear structure for </w:t>
      </w:r>
      <w:proofErr w:type="spellStart"/>
      <w:r w:rsidRPr="00286147">
        <w:rPr>
          <w:rFonts w:ascii="Arial" w:hAnsi="Arial" w:cs="Arial"/>
          <w:sz w:val="24"/>
          <w:szCs w:val="24"/>
        </w:rPr>
        <w:t>prioritising</w:t>
      </w:r>
      <w:proofErr w:type="spellEnd"/>
      <w:r w:rsidRPr="00286147">
        <w:rPr>
          <w:rFonts w:ascii="Arial" w:hAnsi="Arial" w:cs="Arial"/>
          <w:sz w:val="24"/>
          <w:szCs w:val="24"/>
        </w:rPr>
        <w:t xml:space="preserve"> action. For instance, the 'Governance' pillar will require the hotel to legally amend its corporate charter to consider the impact of its decisions on all stakeholders, not just shareholders. The 'Environment' pillar will drive investment in energy efficiency and conservation projects. The 'Workers' pillar will necessitate a review of wages, benefits, training, and workplace safety, directly contributing to employee wellbeing and retention. This framework transforms a vague ambition for sustainability into a structured, measurable, and accountable corporate objective (Perrini, </w:t>
      </w:r>
      <w:proofErr w:type="spellStart"/>
      <w:r w:rsidRPr="00286147">
        <w:rPr>
          <w:rFonts w:ascii="Arial" w:hAnsi="Arial" w:cs="Arial"/>
          <w:sz w:val="24"/>
          <w:szCs w:val="24"/>
        </w:rPr>
        <w:t>Vurro</w:t>
      </w:r>
      <w:proofErr w:type="spellEnd"/>
      <w:r w:rsidRPr="00286147">
        <w:rPr>
          <w:rFonts w:ascii="Arial" w:hAnsi="Arial" w:cs="Arial"/>
          <w:sz w:val="24"/>
          <w:szCs w:val="24"/>
        </w:rPr>
        <w:t>&amp; Costanzo, 2010).</w:t>
      </w:r>
    </w:p>
    <w:p w14:paraId="048947DC"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 xml:space="preserve">The brand and market impact of achieving B Corp certification would be transformative. It would immediately differentiate Gleneagles from virtually all of its competitors in the global luxury resort market, providing a powerful and authentic story for its marketing and communications teams. This credential resonates strongly with the conscientious consumer, attracts top-tier talent who increasingly want to work for purposeful </w:t>
      </w:r>
      <w:proofErr w:type="spellStart"/>
      <w:r w:rsidRPr="00286147">
        <w:rPr>
          <w:rFonts w:ascii="Arial" w:hAnsi="Arial" w:cs="Arial"/>
          <w:sz w:val="24"/>
          <w:szCs w:val="24"/>
        </w:rPr>
        <w:t>organisations</w:t>
      </w:r>
      <w:proofErr w:type="spellEnd"/>
      <w:r w:rsidRPr="00286147">
        <w:rPr>
          <w:rFonts w:ascii="Arial" w:hAnsi="Arial" w:cs="Arial"/>
          <w:sz w:val="24"/>
          <w:szCs w:val="24"/>
        </w:rPr>
        <w:t>, and can even open doors to new sources of investment from the growing field of impact investing. It is a strategic move that builds immense brand equity by aligning the hotel with a global movement of businesses as a force for good (Christopher, 2019).</w:t>
      </w:r>
    </w:p>
    <w:p w14:paraId="219671E7" w14:textId="77777777" w:rsidR="001A2765" w:rsidRPr="00286147" w:rsidRDefault="001A2765" w:rsidP="00286147">
      <w:pPr>
        <w:spacing w:line="360" w:lineRule="auto"/>
        <w:jc w:val="both"/>
        <w:rPr>
          <w:rFonts w:ascii="Arial" w:hAnsi="Arial" w:cs="Arial"/>
          <w:b/>
          <w:bCs/>
          <w:sz w:val="24"/>
          <w:szCs w:val="24"/>
        </w:rPr>
      </w:pPr>
      <w:r w:rsidRPr="00286147">
        <w:rPr>
          <w:rFonts w:ascii="Arial" w:hAnsi="Arial" w:cs="Arial"/>
          <w:b/>
          <w:bCs/>
          <w:sz w:val="24"/>
          <w:szCs w:val="24"/>
        </w:rPr>
        <w:t>Recommendation Two: An 'Estate-to-Plate' Gastronomic Philosophy</w:t>
      </w:r>
    </w:p>
    <w:p w14:paraId="239C807D"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lastRenderedPageBreak/>
        <w:t xml:space="preserve">The most tangible, experiential, and emotionally resonant way for Gleneagles to express its commitment to sustainability is through its food and beverage </w:t>
      </w:r>
      <w:proofErr w:type="spellStart"/>
      <w:r w:rsidRPr="00286147">
        <w:rPr>
          <w:rFonts w:ascii="Arial" w:hAnsi="Arial" w:cs="Arial"/>
          <w:sz w:val="24"/>
          <w:szCs w:val="24"/>
        </w:rPr>
        <w:t>programme</w:t>
      </w:r>
      <w:proofErr w:type="spellEnd"/>
      <w:r w:rsidRPr="00286147">
        <w:rPr>
          <w:rFonts w:ascii="Arial" w:hAnsi="Arial" w:cs="Arial"/>
          <w:sz w:val="24"/>
          <w:szCs w:val="24"/>
        </w:rPr>
        <w:t>. The second major recommendation is, therefore, the development and implementation of a hyper-</w:t>
      </w:r>
      <w:r w:rsidRPr="00A050FC">
        <w:rPr>
          <w:rFonts w:ascii="Arial" w:hAnsi="Arial" w:cs="Arial"/>
          <w:sz w:val="24"/>
          <w:szCs w:val="24"/>
        </w:rPr>
        <w:t xml:space="preserve">local </w:t>
      </w:r>
      <w:r w:rsidRPr="00A050FC">
        <w:rPr>
          <w:rFonts w:ascii="Arial" w:hAnsi="Arial" w:cs="Arial"/>
          <w:bCs/>
          <w:sz w:val="24"/>
          <w:szCs w:val="24"/>
        </w:rPr>
        <w:t>'Estate-to-Plate' Gastronomic Philosophy</w:t>
      </w:r>
      <w:r w:rsidRPr="00A050FC">
        <w:rPr>
          <w:rFonts w:ascii="Arial" w:hAnsi="Arial" w:cs="Arial"/>
          <w:sz w:val="24"/>
          <w:szCs w:val="24"/>
        </w:rPr>
        <w:t>. This</w:t>
      </w:r>
      <w:r w:rsidRPr="00286147">
        <w:rPr>
          <w:rFonts w:ascii="Arial" w:hAnsi="Arial" w:cs="Arial"/>
          <w:sz w:val="24"/>
          <w:szCs w:val="24"/>
        </w:rPr>
        <w:t xml:space="preserve"> is a strategy to radically reorient the hotel's entire culinary operation, moving away from a reliance on global supply chains towards a model that celebrates the provenance and quality of the ingredients sourced directly from the Gleneagles estate and its immediate local community. This transforms dining from a simple service into a powerful story of place, heritage, and responsibility (Sims, 2009).</w:t>
      </w:r>
    </w:p>
    <w:p w14:paraId="45F9FF85" w14:textId="77777777" w:rsidR="001A2765" w:rsidRPr="00A050FC" w:rsidRDefault="001A2765" w:rsidP="00286147">
      <w:pPr>
        <w:spacing w:line="360" w:lineRule="auto"/>
        <w:jc w:val="both"/>
        <w:rPr>
          <w:rFonts w:ascii="Arial" w:hAnsi="Arial" w:cs="Arial"/>
          <w:sz w:val="24"/>
          <w:szCs w:val="24"/>
        </w:rPr>
      </w:pPr>
      <w:r w:rsidRPr="00286147">
        <w:rPr>
          <w:rFonts w:ascii="Arial" w:hAnsi="Arial" w:cs="Arial"/>
          <w:sz w:val="24"/>
          <w:szCs w:val="24"/>
        </w:rPr>
        <w:t xml:space="preserve">This philosophy would be built upon three core pillars of action. The first is a significant expansion </w:t>
      </w:r>
      <w:r w:rsidRPr="00A050FC">
        <w:rPr>
          <w:rFonts w:ascii="Arial" w:hAnsi="Arial" w:cs="Arial"/>
          <w:sz w:val="24"/>
          <w:szCs w:val="24"/>
        </w:rPr>
        <w:t xml:space="preserve">of </w:t>
      </w:r>
      <w:r w:rsidRPr="00A050FC">
        <w:rPr>
          <w:rFonts w:ascii="Arial" w:hAnsi="Arial" w:cs="Arial"/>
          <w:bCs/>
          <w:sz w:val="24"/>
          <w:szCs w:val="24"/>
        </w:rPr>
        <w:t>on-site production</w:t>
      </w:r>
      <w:r w:rsidRPr="00A050FC">
        <w:rPr>
          <w:rFonts w:ascii="Arial" w:hAnsi="Arial" w:cs="Arial"/>
          <w:sz w:val="24"/>
          <w:szCs w:val="24"/>
        </w:rPr>
        <w:t>. This involves treating the 850-acre estate as a productive landscape. This would include</w:t>
      </w:r>
      <w:r w:rsidRPr="00286147">
        <w:rPr>
          <w:rFonts w:ascii="Arial" w:hAnsi="Arial" w:cs="Arial"/>
          <w:sz w:val="24"/>
          <w:szCs w:val="24"/>
        </w:rPr>
        <w:t xml:space="preserve"> developing extensive kitchen gardens and greenhouses to supply the hotel's kitchens with seasonal vegetables, herbs, and fruits. It could also involve managing a small herd of native-breed livestock for meat and dairy, establishing beehives for honey, and sustainably managing the estate's wild resources. This pillar is about </w:t>
      </w:r>
      <w:proofErr w:type="spellStart"/>
      <w:r w:rsidRPr="00286147">
        <w:rPr>
          <w:rFonts w:ascii="Arial" w:hAnsi="Arial" w:cs="Arial"/>
          <w:sz w:val="24"/>
          <w:szCs w:val="24"/>
        </w:rPr>
        <w:t>maximising</w:t>
      </w:r>
      <w:proofErr w:type="spellEnd"/>
      <w:r w:rsidRPr="00286147">
        <w:rPr>
          <w:rFonts w:ascii="Arial" w:hAnsi="Arial" w:cs="Arial"/>
          <w:sz w:val="24"/>
          <w:szCs w:val="24"/>
        </w:rPr>
        <w:t xml:space="preserve"> self-sufficiency and creating a direct, tangible link between </w:t>
      </w:r>
      <w:r w:rsidRPr="00A050FC">
        <w:rPr>
          <w:rFonts w:ascii="Arial" w:hAnsi="Arial" w:cs="Arial"/>
          <w:sz w:val="24"/>
          <w:szCs w:val="24"/>
        </w:rPr>
        <w:t>the land and the table (Garnett, 2011).</w:t>
      </w:r>
    </w:p>
    <w:p w14:paraId="22CC6F6E" w14:textId="77777777" w:rsidR="001A2765" w:rsidRPr="00286147" w:rsidRDefault="001A2765" w:rsidP="00286147">
      <w:pPr>
        <w:spacing w:line="360" w:lineRule="auto"/>
        <w:jc w:val="both"/>
        <w:rPr>
          <w:rFonts w:ascii="Arial" w:hAnsi="Arial" w:cs="Arial"/>
          <w:sz w:val="24"/>
          <w:szCs w:val="24"/>
        </w:rPr>
      </w:pPr>
      <w:r w:rsidRPr="00A050FC">
        <w:rPr>
          <w:rFonts w:ascii="Arial" w:hAnsi="Arial" w:cs="Arial"/>
          <w:sz w:val="24"/>
          <w:szCs w:val="24"/>
        </w:rPr>
        <w:t xml:space="preserve">The second pillar is </w:t>
      </w:r>
      <w:r w:rsidRPr="00A050FC">
        <w:rPr>
          <w:rFonts w:ascii="Arial" w:hAnsi="Arial" w:cs="Arial"/>
          <w:bCs/>
          <w:sz w:val="24"/>
          <w:szCs w:val="24"/>
        </w:rPr>
        <w:t>curated hyper-local sourcing</w:t>
      </w:r>
      <w:r w:rsidRPr="00A050FC">
        <w:rPr>
          <w:rFonts w:ascii="Arial" w:hAnsi="Arial" w:cs="Arial"/>
          <w:sz w:val="24"/>
          <w:szCs w:val="24"/>
        </w:rPr>
        <w:t>. For all</w:t>
      </w:r>
      <w:r w:rsidRPr="00286147">
        <w:rPr>
          <w:rFonts w:ascii="Arial" w:hAnsi="Arial" w:cs="Arial"/>
          <w:sz w:val="24"/>
          <w:szCs w:val="24"/>
        </w:rPr>
        <w:t xml:space="preserve"> the ingredients that cannot be produced on the estate, the procurement strategy must shift to </w:t>
      </w:r>
      <w:proofErr w:type="spellStart"/>
      <w:r w:rsidRPr="00286147">
        <w:rPr>
          <w:rFonts w:ascii="Arial" w:hAnsi="Arial" w:cs="Arial"/>
          <w:sz w:val="24"/>
          <w:szCs w:val="24"/>
        </w:rPr>
        <w:t>prioritise</w:t>
      </w:r>
      <w:proofErr w:type="spellEnd"/>
      <w:r w:rsidRPr="00286147">
        <w:rPr>
          <w:rFonts w:ascii="Arial" w:hAnsi="Arial" w:cs="Arial"/>
          <w:sz w:val="24"/>
          <w:szCs w:val="24"/>
        </w:rPr>
        <w:t xml:space="preserve"> a carefully selected network of local, artisanal partners. This means actively seeking out and building long-term relationships with the best cheesemakers, organic farmers, sustainable fisheries, craft brewers, and distillers in Perthshire and across Scotland. This not only ensures the highest quality ingredients but also directly supports the local rural economy, creating a powerful story of community engagement and mutual benefit. This is a fundamental move towards a more resilient and responsible supply chain (Kneafsey et al., 2013).</w:t>
      </w:r>
    </w:p>
    <w:p w14:paraId="17DB87D6"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 xml:space="preserve">The third and most important pillar is </w:t>
      </w:r>
      <w:r w:rsidRPr="00A050FC">
        <w:rPr>
          <w:rFonts w:ascii="Arial" w:hAnsi="Arial" w:cs="Arial"/>
          <w:bCs/>
          <w:sz w:val="24"/>
          <w:szCs w:val="24"/>
        </w:rPr>
        <w:t>guest experience integration</w:t>
      </w:r>
      <w:r w:rsidRPr="00A050FC">
        <w:rPr>
          <w:rFonts w:ascii="Arial" w:hAnsi="Arial" w:cs="Arial"/>
          <w:sz w:val="24"/>
          <w:szCs w:val="24"/>
        </w:rPr>
        <w:t>. The 'Estate-to-Plate' philosophy must be brought to life for the guest in a compelling and</w:t>
      </w:r>
      <w:r w:rsidRPr="00286147">
        <w:rPr>
          <w:rFonts w:ascii="Arial" w:hAnsi="Arial" w:cs="Arial"/>
          <w:sz w:val="24"/>
          <w:szCs w:val="24"/>
        </w:rPr>
        <w:t xml:space="preserve"> memorable way. Restaurant menus should be redesigned to tell the story of the ingredients, detailing their origin with phrases like "From our own Victorian Garden" or "Sourced from [Local </w:t>
      </w:r>
      <w:r w:rsidRPr="00286147">
        <w:rPr>
          <w:rFonts w:ascii="Arial" w:hAnsi="Arial" w:cs="Arial"/>
          <w:sz w:val="24"/>
          <w:szCs w:val="24"/>
        </w:rPr>
        <w:lastRenderedPageBreak/>
        <w:t>Farm Name], 10 miles away." Beyond the menu, the hotel should develop a portfolio of immersive experiences, such as guided foraging tours with the hotel's chefs, "meet the producer" dining events, cooking classes focused on seasonal Scottish produce, and tours of the kitchen gardens. This transforms the food on the plate into a multi-sensory, educational, and deeply engaging experience that connects guests directly to the Scottish landscape (Richards, 2015).</w:t>
      </w:r>
    </w:p>
    <w:p w14:paraId="5BF6CB0C" w14:textId="77777777" w:rsidR="001A2765" w:rsidRPr="00286147" w:rsidRDefault="001A2765" w:rsidP="00286147">
      <w:pPr>
        <w:spacing w:line="360" w:lineRule="auto"/>
        <w:jc w:val="both"/>
        <w:rPr>
          <w:rFonts w:ascii="Arial" w:hAnsi="Arial" w:cs="Arial"/>
          <w:b/>
          <w:bCs/>
          <w:sz w:val="24"/>
          <w:szCs w:val="24"/>
        </w:rPr>
      </w:pPr>
      <w:r w:rsidRPr="00286147">
        <w:rPr>
          <w:rFonts w:ascii="Arial" w:hAnsi="Arial" w:cs="Arial"/>
          <w:b/>
          <w:bCs/>
          <w:sz w:val="24"/>
          <w:szCs w:val="24"/>
        </w:rPr>
        <w:t>Recommendation Three: Communicating Conscientious Luxury Authentically</w:t>
      </w:r>
    </w:p>
    <w:p w14:paraId="25D86EF1"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 xml:space="preserve">A profound commitment to sustainability can only generate brand value if its story is told effectively and authentically. </w:t>
      </w:r>
      <w:r w:rsidRPr="00A050FC">
        <w:rPr>
          <w:rFonts w:ascii="Arial" w:hAnsi="Arial" w:cs="Arial"/>
          <w:sz w:val="24"/>
          <w:szCs w:val="24"/>
        </w:rPr>
        <w:t xml:space="preserve">The third key recommendation focuses on developing a sophisticated and nuanced </w:t>
      </w:r>
      <w:r w:rsidRPr="00A050FC">
        <w:rPr>
          <w:rFonts w:ascii="Arial" w:hAnsi="Arial" w:cs="Arial"/>
          <w:bCs/>
          <w:sz w:val="24"/>
          <w:szCs w:val="24"/>
        </w:rPr>
        <w:t>marketing and communications strategy for 'Conscientious Luxury'</w:t>
      </w:r>
      <w:r w:rsidRPr="00A050FC">
        <w:rPr>
          <w:rFonts w:ascii="Arial" w:hAnsi="Arial" w:cs="Arial"/>
          <w:sz w:val="24"/>
          <w:szCs w:val="24"/>
        </w:rPr>
        <w:t>. This strategy must be carefully designed to avoid the pitfalls of "greenwashing" and to resonate with a discerning and knowledgeable</w:t>
      </w:r>
      <w:r w:rsidRPr="00286147">
        <w:rPr>
          <w:rFonts w:ascii="Arial" w:hAnsi="Arial" w:cs="Arial"/>
          <w:sz w:val="24"/>
          <w:szCs w:val="24"/>
        </w:rPr>
        <w:t xml:space="preserve"> audience. The goal is to communicate the hotel's commitment in a way that feels inspiring, engaging, and entirely authentic to the Gleneagles brand (</w:t>
      </w:r>
      <w:proofErr w:type="spellStart"/>
      <w:r w:rsidRPr="00286147">
        <w:rPr>
          <w:rFonts w:ascii="Arial" w:hAnsi="Arial" w:cs="Arial"/>
          <w:sz w:val="24"/>
          <w:szCs w:val="24"/>
        </w:rPr>
        <w:t>Leonidou&amp;Leonidou</w:t>
      </w:r>
      <w:proofErr w:type="spellEnd"/>
      <w:r w:rsidRPr="00286147">
        <w:rPr>
          <w:rFonts w:ascii="Arial" w:hAnsi="Arial" w:cs="Arial"/>
          <w:sz w:val="24"/>
          <w:szCs w:val="24"/>
        </w:rPr>
        <w:t>, 2011).</w:t>
      </w:r>
    </w:p>
    <w:p w14:paraId="7B24D662"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 xml:space="preserve">The central narrative focus of </w:t>
      </w:r>
      <w:r w:rsidRPr="00A050FC">
        <w:rPr>
          <w:rFonts w:ascii="Arial" w:hAnsi="Arial" w:cs="Arial"/>
          <w:sz w:val="24"/>
          <w:szCs w:val="24"/>
        </w:rPr>
        <w:t xml:space="preserve">this communication must be on </w:t>
      </w:r>
      <w:r w:rsidRPr="00A050FC">
        <w:rPr>
          <w:rFonts w:ascii="Arial" w:hAnsi="Arial" w:cs="Arial"/>
          <w:bCs/>
          <w:sz w:val="24"/>
          <w:szCs w:val="24"/>
        </w:rPr>
        <w:t>enhancement, not sacrifice</w:t>
      </w:r>
      <w:r w:rsidRPr="00A050FC">
        <w:rPr>
          <w:rFonts w:ascii="Arial" w:hAnsi="Arial" w:cs="Arial"/>
          <w:sz w:val="24"/>
          <w:szCs w:val="24"/>
        </w:rPr>
        <w:t>. The story should not be about what the hotel is "giving up" for the sake of the environment, but rather about how its commitment to sustainability</w:t>
      </w:r>
      <w:r w:rsidRPr="00286147">
        <w:rPr>
          <w:rFonts w:ascii="Arial" w:hAnsi="Arial" w:cs="Arial"/>
          <w:sz w:val="24"/>
          <w:szCs w:val="24"/>
        </w:rPr>
        <w:t xml:space="preserve"> leads to a </w:t>
      </w:r>
      <w:r w:rsidRPr="00286147">
        <w:rPr>
          <w:rFonts w:ascii="Arial" w:hAnsi="Arial" w:cs="Arial"/>
          <w:i/>
          <w:iCs/>
          <w:sz w:val="24"/>
          <w:szCs w:val="24"/>
        </w:rPr>
        <w:t>superior</w:t>
      </w:r>
      <w:r w:rsidRPr="00286147">
        <w:rPr>
          <w:rFonts w:ascii="Arial" w:hAnsi="Arial" w:cs="Arial"/>
          <w:sz w:val="24"/>
          <w:szCs w:val="24"/>
        </w:rPr>
        <w:t xml:space="preserve"> and more profound guest experience. The message is that the food tastes better because it is incredibly fresh and sourced with care from the estate; the landscape is more beautiful because of the active biodiversity and rewilding projects; and the overall sense of wellbeing is deeper because guests know they are staying in a place that is a positive force for its environment and community. This is a positive, aspirational narrative that redefines luxury as something that is both indulgent and responsible (Payne &amp; Calton, 2004).</w:t>
      </w:r>
    </w:p>
    <w:p w14:paraId="4F416EB4"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 xml:space="preserve">The channel strategy for telling this story must be multi-faceted and integrated. The hotel's own digital platforms—its website, blog, and social media channels—must become rich hubs of content, featuring high-quality videos, articles, and photo essays that showcase the sustainability initiatives in action. This should be complemented by a targeted public relations strategy focused on securing coverage in high-end travel, food, </w:t>
      </w:r>
      <w:r w:rsidRPr="00286147">
        <w:rPr>
          <w:rFonts w:ascii="Arial" w:hAnsi="Arial" w:cs="Arial"/>
          <w:sz w:val="24"/>
          <w:szCs w:val="24"/>
        </w:rPr>
        <w:lastRenderedPageBreak/>
        <w:t>and lifestyle publications that are respected by the target audience. Collaborating with influential writers and content creators who specialize in sustainable luxury will also be key to generating credible, third-party endorsement (Mangold &amp; Faulds, 2009).</w:t>
      </w:r>
    </w:p>
    <w:p w14:paraId="1C40C809"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 xml:space="preserve">A cornerstone of authentic </w:t>
      </w:r>
      <w:r w:rsidRPr="00A050FC">
        <w:rPr>
          <w:rFonts w:ascii="Arial" w:hAnsi="Arial" w:cs="Arial"/>
          <w:sz w:val="24"/>
          <w:szCs w:val="24"/>
        </w:rPr>
        <w:t xml:space="preserve">communication is </w:t>
      </w:r>
      <w:r w:rsidRPr="00A050FC">
        <w:rPr>
          <w:rFonts w:ascii="Arial" w:hAnsi="Arial" w:cs="Arial"/>
          <w:bCs/>
          <w:sz w:val="24"/>
          <w:szCs w:val="24"/>
        </w:rPr>
        <w:t>radical transparency</w:t>
      </w:r>
      <w:r w:rsidRPr="00A050FC">
        <w:rPr>
          <w:rFonts w:ascii="Arial" w:hAnsi="Arial" w:cs="Arial"/>
          <w:sz w:val="24"/>
          <w:szCs w:val="24"/>
        </w:rPr>
        <w:t>. To build and maintain trust, Gleneagles should commit to publishing an annual</w:t>
      </w:r>
      <w:r w:rsidRPr="00286147">
        <w:rPr>
          <w:rFonts w:ascii="Arial" w:hAnsi="Arial" w:cs="Arial"/>
          <w:sz w:val="24"/>
          <w:szCs w:val="24"/>
        </w:rPr>
        <w:t>, independently verified Sustainability Report. This document, designed to be beautiful and engaging rather than dry and corporate, would detail the hotel's progress against the B Corp framework, transparently reporting on metrics such as its carbon footprint, energy consumption, waste diversion, and community impact. It should celebrate successes but also be honest about ongoing challenges. This level of transparency is the ultimate antidote to greenwashing and a powerful signal of genuine leadership (Hess, 2019).</w:t>
      </w:r>
    </w:p>
    <w:p w14:paraId="7C46B02C" w14:textId="77777777" w:rsidR="001A2765" w:rsidRPr="00286147" w:rsidRDefault="001A2765" w:rsidP="00286147">
      <w:pPr>
        <w:spacing w:line="360" w:lineRule="auto"/>
        <w:jc w:val="both"/>
        <w:rPr>
          <w:rFonts w:ascii="Arial" w:hAnsi="Arial" w:cs="Arial"/>
          <w:b/>
          <w:bCs/>
          <w:sz w:val="24"/>
          <w:szCs w:val="24"/>
        </w:rPr>
      </w:pPr>
      <w:r w:rsidRPr="00286147">
        <w:rPr>
          <w:rFonts w:ascii="Arial" w:hAnsi="Arial" w:cs="Arial"/>
          <w:b/>
          <w:bCs/>
          <w:sz w:val="24"/>
          <w:szCs w:val="24"/>
        </w:rPr>
        <w:t>A Framework for Managing Deep Operational and Cultural Change</w:t>
      </w:r>
    </w:p>
    <w:p w14:paraId="3EE17CF3"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 xml:space="preserve">The journey to becoming a leader in sustainable luxury is not a series of projects; it is a profound </w:t>
      </w:r>
      <w:proofErr w:type="spellStart"/>
      <w:r w:rsidRPr="00286147">
        <w:rPr>
          <w:rFonts w:ascii="Arial" w:hAnsi="Arial" w:cs="Arial"/>
          <w:sz w:val="24"/>
          <w:szCs w:val="24"/>
        </w:rPr>
        <w:t>organisational</w:t>
      </w:r>
      <w:proofErr w:type="spellEnd"/>
      <w:r w:rsidRPr="00286147">
        <w:rPr>
          <w:rFonts w:ascii="Arial" w:hAnsi="Arial" w:cs="Arial"/>
          <w:sz w:val="24"/>
          <w:szCs w:val="24"/>
        </w:rPr>
        <w:t xml:space="preserve"> and cultural transformation. It requires changing not only what people do, but how they think, what they value, and how they make decisions. Such deep change must be managed with care, empathy, and a clear strategic framework. The process must be inclusive and engaging, empowering every member of the team to become an active participant in the transformation (Benn, Dunphy &amp; Griffiths, 2014).</w:t>
      </w:r>
    </w:p>
    <w:p w14:paraId="6B833E95" w14:textId="77777777" w:rsidR="001A2765" w:rsidRPr="00A050FC" w:rsidRDefault="001A2765" w:rsidP="00286147">
      <w:pPr>
        <w:spacing w:line="360" w:lineRule="auto"/>
        <w:jc w:val="both"/>
        <w:rPr>
          <w:rFonts w:ascii="Arial" w:hAnsi="Arial" w:cs="Arial"/>
          <w:sz w:val="24"/>
          <w:szCs w:val="24"/>
        </w:rPr>
      </w:pPr>
      <w:r w:rsidRPr="00A050FC">
        <w:rPr>
          <w:rFonts w:ascii="Arial" w:hAnsi="Arial" w:cs="Arial"/>
          <w:sz w:val="24"/>
          <w:szCs w:val="24"/>
        </w:rPr>
        <w:t xml:space="preserve">Unlike a top-down technology implementation, a sustainability transformation must be driven by </w:t>
      </w:r>
      <w:r w:rsidRPr="00A050FC">
        <w:rPr>
          <w:rFonts w:ascii="Arial" w:hAnsi="Arial" w:cs="Arial"/>
          <w:bCs/>
          <w:sz w:val="24"/>
          <w:szCs w:val="24"/>
        </w:rPr>
        <w:t>employee engagement at all levels</w:t>
      </w:r>
      <w:r w:rsidRPr="00A050FC">
        <w:rPr>
          <w:rFonts w:ascii="Arial" w:hAnsi="Arial" w:cs="Arial"/>
          <w:sz w:val="24"/>
          <w:szCs w:val="24"/>
        </w:rPr>
        <w:t>. The groundskeepers hold deep knowledge of the estate's ecology; the chefs understand the intricacies of the food supply chain; the engineers know the building's</w:t>
      </w:r>
      <w:r w:rsidRPr="00286147">
        <w:rPr>
          <w:rFonts w:ascii="Arial" w:hAnsi="Arial" w:cs="Arial"/>
          <w:sz w:val="24"/>
          <w:szCs w:val="24"/>
        </w:rPr>
        <w:t xml:space="preserve"> energy systems intimately. The change management process must therefore be highly participative. The formation of cross-functional "Green Teams" dedicated to specific areas (e.g., energy, waste, supply chain) is recommended. These teams should be empowered to brainstorm, trial, and implement new initiatives, fostering a sense of ownership and tapping into the collective intelligence of the entire </w:t>
      </w:r>
      <w:proofErr w:type="spellStart"/>
      <w:r w:rsidRPr="00A050FC">
        <w:rPr>
          <w:rFonts w:ascii="Arial" w:hAnsi="Arial" w:cs="Arial"/>
          <w:sz w:val="24"/>
          <w:szCs w:val="24"/>
        </w:rPr>
        <w:t>organisation</w:t>
      </w:r>
      <w:proofErr w:type="spellEnd"/>
      <w:r w:rsidRPr="00A050FC">
        <w:rPr>
          <w:rFonts w:ascii="Arial" w:hAnsi="Arial" w:cs="Arial"/>
          <w:sz w:val="24"/>
          <w:szCs w:val="24"/>
        </w:rPr>
        <w:t xml:space="preserve"> (Wittman, 2009).</w:t>
      </w:r>
    </w:p>
    <w:p w14:paraId="2504BED6" w14:textId="77777777" w:rsidR="001A2765" w:rsidRPr="00A050FC" w:rsidRDefault="001A2765" w:rsidP="00286147">
      <w:pPr>
        <w:spacing w:line="360" w:lineRule="auto"/>
        <w:jc w:val="both"/>
        <w:rPr>
          <w:rFonts w:ascii="Arial" w:hAnsi="Arial" w:cs="Arial"/>
          <w:sz w:val="24"/>
          <w:szCs w:val="24"/>
        </w:rPr>
      </w:pPr>
      <w:r w:rsidRPr="00A050FC">
        <w:rPr>
          <w:rFonts w:ascii="Arial" w:hAnsi="Arial" w:cs="Arial"/>
          <w:sz w:val="24"/>
          <w:szCs w:val="24"/>
        </w:rPr>
        <w:t xml:space="preserve">While grassroots engagement is essential, </w:t>
      </w:r>
      <w:r w:rsidRPr="00A050FC">
        <w:rPr>
          <w:rFonts w:ascii="Arial" w:hAnsi="Arial" w:cs="Arial"/>
          <w:bCs/>
          <w:sz w:val="24"/>
          <w:szCs w:val="24"/>
        </w:rPr>
        <w:t>visible and unwavering leadership commitment</w:t>
      </w:r>
      <w:r w:rsidRPr="00A050FC">
        <w:rPr>
          <w:rFonts w:ascii="Arial" w:hAnsi="Arial" w:cs="Arial"/>
          <w:sz w:val="24"/>
          <w:szCs w:val="24"/>
        </w:rPr>
        <w:t xml:space="preserve"> is the critical enabling factor. The hotel's Executive Committee must not </w:t>
      </w:r>
      <w:r w:rsidRPr="00A050FC">
        <w:rPr>
          <w:rFonts w:ascii="Arial" w:hAnsi="Arial" w:cs="Arial"/>
          <w:sz w:val="24"/>
          <w:szCs w:val="24"/>
        </w:rPr>
        <w:lastRenderedPageBreak/>
        <w:t>only set the clear vision and allocate the necessary resources but must also "walk the talk." Sustainability targets must be integrated into the performance</w:t>
      </w:r>
      <w:r w:rsidRPr="00286147">
        <w:rPr>
          <w:rFonts w:ascii="Arial" w:hAnsi="Arial" w:cs="Arial"/>
          <w:sz w:val="24"/>
          <w:szCs w:val="24"/>
        </w:rPr>
        <w:t xml:space="preserve"> scorecards of all senior leaders, and their bonuses should be linked to achieving these goals. When employees see that the leadership is personally and financially committed to the sustainability agenda, it sends a powerful message that this is a core strategic priority, not a temporary </w:t>
      </w:r>
      <w:r w:rsidRPr="00A050FC">
        <w:rPr>
          <w:rFonts w:ascii="Arial" w:hAnsi="Arial" w:cs="Arial"/>
          <w:sz w:val="24"/>
          <w:szCs w:val="24"/>
        </w:rPr>
        <w:t xml:space="preserve">initiative (Heifetz, </w:t>
      </w:r>
      <w:proofErr w:type="spellStart"/>
      <w:r w:rsidRPr="00A050FC">
        <w:rPr>
          <w:rFonts w:ascii="Arial" w:hAnsi="Arial" w:cs="Arial"/>
          <w:sz w:val="24"/>
          <w:szCs w:val="24"/>
        </w:rPr>
        <w:t>Grashow</w:t>
      </w:r>
      <w:proofErr w:type="spellEnd"/>
      <w:r w:rsidRPr="00A050FC">
        <w:rPr>
          <w:rFonts w:ascii="Arial" w:hAnsi="Arial" w:cs="Arial"/>
          <w:sz w:val="24"/>
          <w:szCs w:val="24"/>
        </w:rPr>
        <w:t>&amp; Linsky, 2009).</w:t>
      </w:r>
    </w:p>
    <w:p w14:paraId="4219D003" w14:textId="2D1A2F26" w:rsidR="001A2765" w:rsidRPr="00286147" w:rsidRDefault="001A2765" w:rsidP="00286147">
      <w:pPr>
        <w:spacing w:line="360" w:lineRule="auto"/>
        <w:jc w:val="both"/>
        <w:rPr>
          <w:rFonts w:ascii="Arial" w:hAnsi="Arial" w:cs="Arial"/>
          <w:sz w:val="24"/>
          <w:szCs w:val="24"/>
        </w:rPr>
      </w:pPr>
      <w:r w:rsidRPr="00A050FC">
        <w:rPr>
          <w:rFonts w:ascii="Arial" w:hAnsi="Arial" w:cs="Arial"/>
          <w:sz w:val="24"/>
          <w:szCs w:val="24"/>
        </w:rPr>
        <w:t xml:space="preserve">This entire process can be framed using Lewin's classic model. The </w:t>
      </w:r>
      <w:r w:rsidRPr="00A050FC">
        <w:rPr>
          <w:rFonts w:ascii="Arial" w:hAnsi="Arial" w:cs="Arial"/>
          <w:bCs/>
          <w:sz w:val="24"/>
          <w:szCs w:val="24"/>
        </w:rPr>
        <w:t>Unfreeze</w:t>
      </w:r>
      <w:r w:rsidRPr="00A050FC">
        <w:rPr>
          <w:rFonts w:ascii="Arial" w:hAnsi="Arial" w:cs="Arial"/>
          <w:sz w:val="24"/>
          <w:szCs w:val="24"/>
        </w:rPr>
        <w:t xml:space="preserve"> stage involves a comprehensive internal communication campaign to explain the "why" behind this strategic shift—the market opportunities, the environmental imperative, and the ethical responsibility. The </w:t>
      </w:r>
      <w:r w:rsidRPr="00A050FC">
        <w:rPr>
          <w:rFonts w:ascii="Arial" w:hAnsi="Arial" w:cs="Arial"/>
          <w:bCs/>
          <w:sz w:val="24"/>
          <w:szCs w:val="24"/>
        </w:rPr>
        <w:t>Change</w:t>
      </w:r>
      <w:r w:rsidRPr="00A050FC">
        <w:rPr>
          <w:rFonts w:ascii="Arial" w:hAnsi="Arial" w:cs="Arial"/>
          <w:sz w:val="24"/>
          <w:szCs w:val="24"/>
        </w:rPr>
        <w:t xml:space="preserve"> stage is the multi-year journey of implementing the new initiatives, guided by the B Corp framework and driven by the empowered Green Teams. The </w:t>
      </w:r>
      <w:r w:rsidRPr="00A050FC">
        <w:rPr>
          <w:rFonts w:ascii="Arial" w:hAnsi="Arial" w:cs="Arial"/>
          <w:bCs/>
          <w:sz w:val="24"/>
          <w:szCs w:val="24"/>
        </w:rPr>
        <w:t>Refreeze</w:t>
      </w:r>
      <w:r w:rsidRPr="00A050FC">
        <w:rPr>
          <w:rFonts w:ascii="Arial" w:hAnsi="Arial" w:cs="Arial"/>
          <w:sz w:val="24"/>
          <w:szCs w:val="24"/>
        </w:rPr>
        <w:t xml:space="preserve"> stage is about embedding sustainability into the very DNA of the </w:t>
      </w:r>
      <w:proofErr w:type="spellStart"/>
      <w:r w:rsidRPr="00A050FC">
        <w:rPr>
          <w:rFonts w:ascii="Arial" w:hAnsi="Arial" w:cs="Arial"/>
          <w:sz w:val="24"/>
          <w:szCs w:val="24"/>
        </w:rPr>
        <w:t>organisation</w:t>
      </w:r>
      <w:proofErr w:type="spellEnd"/>
      <w:r w:rsidRPr="00A050FC">
        <w:rPr>
          <w:rFonts w:ascii="Arial" w:hAnsi="Arial" w:cs="Arial"/>
          <w:sz w:val="24"/>
          <w:szCs w:val="24"/>
        </w:rPr>
        <w:t>. This is achieved by integrating sustainability metrics into all departmental KPIs, building them into</w:t>
      </w:r>
      <w:r w:rsidRPr="00286147">
        <w:rPr>
          <w:rFonts w:ascii="Arial" w:hAnsi="Arial" w:cs="Arial"/>
          <w:sz w:val="24"/>
          <w:szCs w:val="24"/>
        </w:rPr>
        <w:t xml:space="preserve"> the employee onboarding and training program</w:t>
      </w:r>
      <w:r w:rsidR="006078F3">
        <w:rPr>
          <w:rFonts w:ascii="Arial" w:hAnsi="Arial" w:cs="Arial"/>
          <w:sz w:val="24"/>
          <w:szCs w:val="24"/>
        </w:rPr>
        <w:t>s</w:t>
      </w:r>
      <w:r w:rsidRPr="00286147">
        <w:rPr>
          <w:rFonts w:ascii="Arial" w:hAnsi="Arial" w:cs="Arial"/>
          <w:sz w:val="24"/>
          <w:szCs w:val="24"/>
        </w:rPr>
        <w:t>, and making sustainability a core criterion in all future decision-making, from procurement to capital investment (Lozano, 2013).</w:t>
      </w:r>
    </w:p>
    <w:p w14:paraId="734DECBC" w14:textId="77777777" w:rsidR="001A2765" w:rsidRPr="00286147" w:rsidRDefault="001A2765" w:rsidP="00286147">
      <w:pPr>
        <w:spacing w:line="360" w:lineRule="auto"/>
        <w:jc w:val="both"/>
        <w:rPr>
          <w:rFonts w:ascii="Arial" w:hAnsi="Arial" w:cs="Arial"/>
          <w:b/>
          <w:bCs/>
          <w:sz w:val="24"/>
          <w:szCs w:val="24"/>
        </w:rPr>
      </w:pPr>
      <w:r w:rsidRPr="00286147">
        <w:rPr>
          <w:rFonts w:ascii="Arial" w:hAnsi="Arial" w:cs="Arial"/>
          <w:b/>
          <w:bCs/>
          <w:sz w:val="24"/>
          <w:szCs w:val="24"/>
        </w:rPr>
        <w:t>Projected Investment and Value Creation</w:t>
      </w:r>
    </w:p>
    <w:p w14:paraId="0F7FECD9"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It is essential to acknowledge that this strategy represents a significant and sustained investment. This is not a low-cost initiative. The financial commitment will be substantial, spanning capital expenditure for green technology, operational expenditure for certification processes and new expertise, and investment in staff time for training and participation. This must be viewed by the board and ownership not as a cost to be minimized, but as a strategic investment in the future value and resilience of the Gleneagles brand (</w:t>
      </w:r>
      <w:proofErr w:type="spellStart"/>
      <w:r w:rsidRPr="00286147">
        <w:rPr>
          <w:rFonts w:ascii="Arial" w:hAnsi="Arial" w:cs="Arial"/>
          <w:sz w:val="24"/>
          <w:szCs w:val="24"/>
        </w:rPr>
        <w:t>Schaltegger</w:t>
      </w:r>
      <w:proofErr w:type="spellEnd"/>
      <w:r w:rsidRPr="00286147">
        <w:rPr>
          <w:rFonts w:ascii="Arial" w:hAnsi="Arial" w:cs="Arial"/>
          <w:sz w:val="24"/>
          <w:szCs w:val="24"/>
        </w:rPr>
        <w:t>&amp; Wagner, 2006).</w:t>
      </w:r>
    </w:p>
    <w:p w14:paraId="39AE00BF" w14:textId="77777777" w:rsidR="001A2765" w:rsidRDefault="001A2765" w:rsidP="00286147">
      <w:pPr>
        <w:spacing w:line="360" w:lineRule="auto"/>
        <w:jc w:val="both"/>
        <w:rPr>
          <w:rFonts w:ascii="Arial" w:hAnsi="Arial" w:cs="Arial"/>
          <w:sz w:val="24"/>
          <w:szCs w:val="24"/>
        </w:rPr>
      </w:pPr>
      <w:r w:rsidRPr="00286147">
        <w:rPr>
          <w:rFonts w:ascii="Arial" w:hAnsi="Arial" w:cs="Arial"/>
          <w:sz w:val="24"/>
          <w:szCs w:val="24"/>
        </w:rPr>
        <w:t xml:space="preserve">The return on this </w:t>
      </w:r>
      <w:r w:rsidRPr="00A050FC">
        <w:rPr>
          <w:rFonts w:ascii="Arial" w:hAnsi="Arial" w:cs="Arial"/>
          <w:sz w:val="24"/>
          <w:szCs w:val="24"/>
        </w:rPr>
        <w:t xml:space="preserve">investment should be understood not in narrow financial terms, but as a more holistic concept of </w:t>
      </w:r>
      <w:r w:rsidRPr="00A050FC">
        <w:rPr>
          <w:rFonts w:ascii="Arial" w:hAnsi="Arial" w:cs="Arial"/>
          <w:bCs/>
          <w:sz w:val="24"/>
          <w:szCs w:val="24"/>
        </w:rPr>
        <w:t>"Triple Bottom Line" value creation</w:t>
      </w:r>
      <w:r w:rsidRPr="00A050FC">
        <w:rPr>
          <w:rFonts w:ascii="Arial" w:hAnsi="Arial" w:cs="Arial"/>
          <w:sz w:val="24"/>
          <w:szCs w:val="24"/>
        </w:rPr>
        <w:t xml:space="preserve">. The financial returns will be real and will accrue over the long term through operational efficiencies (lower energy and waste costs), access to a premium market segment, and enhanced brand loyalty. However, the returns also include significant </w:t>
      </w:r>
      <w:r w:rsidRPr="00A050FC">
        <w:rPr>
          <w:rFonts w:ascii="Arial" w:hAnsi="Arial" w:cs="Arial"/>
          <w:bCs/>
          <w:sz w:val="24"/>
          <w:szCs w:val="24"/>
        </w:rPr>
        <w:t>Ecological Value</w:t>
      </w:r>
      <w:r w:rsidRPr="00A050FC">
        <w:rPr>
          <w:rFonts w:ascii="Arial" w:hAnsi="Arial" w:cs="Arial"/>
          <w:sz w:val="24"/>
          <w:szCs w:val="24"/>
        </w:rPr>
        <w:t xml:space="preserve">, in the form of a </w:t>
      </w:r>
      <w:r w:rsidRPr="00A050FC">
        <w:rPr>
          <w:rFonts w:ascii="Arial" w:hAnsi="Arial" w:cs="Arial"/>
          <w:sz w:val="24"/>
          <w:szCs w:val="24"/>
        </w:rPr>
        <w:lastRenderedPageBreak/>
        <w:t xml:space="preserve">measurably improved local environment, a reduced carbon footprint, and enhanced biodiversity on the estate. Finally, it creates immense </w:t>
      </w:r>
      <w:r w:rsidRPr="00A050FC">
        <w:rPr>
          <w:rFonts w:ascii="Arial" w:hAnsi="Arial" w:cs="Arial"/>
          <w:bCs/>
          <w:sz w:val="24"/>
          <w:szCs w:val="24"/>
        </w:rPr>
        <w:t>Social Value</w:t>
      </w:r>
      <w:r w:rsidRPr="00A050FC">
        <w:rPr>
          <w:rFonts w:ascii="Arial" w:hAnsi="Arial" w:cs="Arial"/>
          <w:sz w:val="24"/>
          <w:szCs w:val="24"/>
        </w:rPr>
        <w:t>, through stronger community relationships, a more engaged and prouder workforce</w:t>
      </w:r>
      <w:r w:rsidRPr="00286147">
        <w:rPr>
          <w:rFonts w:ascii="Arial" w:hAnsi="Arial" w:cs="Arial"/>
          <w:sz w:val="24"/>
          <w:szCs w:val="24"/>
        </w:rPr>
        <w:t>, and a powerful contribution to the regional economy. It is this integrated value creation that will ultimately secure the legacy and enhance the legend of The Gleneagles Hotel (</w:t>
      </w:r>
      <w:proofErr w:type="spellStart"/>
      <w:r w:rsidRPr="00286147">
        <w:rPr>
          <w:rFonts w:ascii="Arial" w:hAnsi="Arial" w:cs="Arial"/>
          <w:sz w:val="24"/>
          <w:szCs w:val="24"/>
        </w:rPr>
        <w:t>Slaper</w:t>
      </w:r>
      <w:proofErr w:type="spellEnd"/>
      <w:r w:rsidRPr="00286147">
        <w:rPr>
          <w:rFonts w:ascii="Arial" w:hAnsi="Arial" w:cs="Arial"/>
          <w:sz w:val="24"/>
          <w:szCs w:val="24"/>
        </w:rPr>
        <w:t>&amp; Hall, 2011).</w:t>
      </w:r>
    </w:p>
    <w:p w14:paraId="635F76E7" w14:textId="77777777" w:rsidR="00D47D90" w:rsidRPr="00286147" w:rsidRDefault="00D47D90" w:rsidP="00286147">
      <w:pPr>
        <w:spacing w:line="360" w:lineRule="auto"/>
        <w:jc w:val="both"/>
        <w:rPr>
          <w:rFonts w:ascii="Arial" w:hAnsi="Arial" w:cs="Arial"/>
          <w:sz w:val="24"/>
          <w:szCs w:val="24"/>
        </w:rPr>
      </w:pPr>
    </w:p>
    <w:p w14:paraId="60615BC0" w14:textId="77777777" w:rsidR="001A2765" w:rsidRPr="00286147" w:rsidRDefault="001A2765" w:rsidP="00286147">
      <w:pPr>
        <w:spacing w:line="360" w:lineRule="auto"/>
        <w:jc w:val="both"/>
        <w:rPr>
          <w:rFonts w:ascii="Arial" w:hAnsi="Arial" w:cs="Arial"/>
          <w:b/>
          <w:bCs/>
          <w:sz w:val="24"/>
          <w:szCs w:val="24"/>
        </w:rPr>
      </w:pPr>
      <w:r w:rsidRPr="00286147">
        <w:rPr>
          <w:rFonts w:ascii="Arial" w:hAnsi="Arial" w:cs="Arial"/>
          <w:b/>
          <w:bCs/>
          <w:sz w:val="24"/>
          <w:szCs w:val="24"/>
        </w:rPr>
        <w:t>Action Plan</w:t>
      </w:r>
    </w:p>
    <w:p w14:paraId="1209BACE" w14:textId="235301C0"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 xml:space="preserve">To translate the strategic recommendations into a coherent and manageable program of work, a clear and structured action plan is essential. This plan deconstructs the overarching strategic initiatives into a series of defined, time-bound, and resourced workstreams. It is designed to provide the leadership of The Gleneagles Hotel with a practical framework for implementation, ensuring clear accountability, and a logical sequence of activities. This structured approach is fundamental to managing the complexity of the transformation and ensuring that the strategic vision is </w:t>
      </w:r>
      <w:r w:rsidR="006078F3" w:rsidRPr="00286147">
        <w:rPr>
          <w:rFonts w:ascii="Arial" w:hAnsi="Arial" w:cs="Arial"/>
          <w:sz w:val="24"/>
          <w:szCs w:val="24"/>
        </w:rPr>
        <w:t>realized</w:t>
      </w:r>
      <w:r w:rsidRPr="00286147">
        <w:rPr>
          <w:rFonts w:ascii="Arial" w:hAnsi="Arial" w:cs="Arial"/>
          <w:sz w:val="24"/>
          <w:szCs w:val="24"/>
        </w:rPr>
        <w:t xml:space="preserve"> effectively and efficiently (Bryson, 2018).</w:t>
      </w:r>
    </w:p>
    <w:p w14:paraId="1A503373"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b/>
          <w:bCs/>
          <w:sz w:val="24"/>
          <w:szCs w:val="24"/>
        </w:rPr>
        <w:t>Workstream One: B Corp Certification and Governance</w:t>
      </w:r>
    </w:p>
    <w:p w14:paraId="11D2889D" w14:textId="77777777" w:rsidR="001A2765" w:rsidRPr="00ED5682" w:rsidRDefault="001A2765" w:rsidP="00286147">
      <w:pPr>
        <w:spacing w:line="360" w:lineRule="auto"/>
        <w:jc w:val="both"/>
        <w:rPr>
          <w:rFonts w:ascii="Arial" w:hAnsi="Arial" w:cs="Arial"/>
          <w:sz w:val="24"/>
          <w:szCs w:val="24"/>
        </w:rPr>
      </w:pPr>
      <w:r w:rsidRPr="00286147">
        <w:rPr>
          <w:rFonts w:ascii="Arial" w:hAnsi="Arial" w:cs="Arial"/>
          <w:sz w:val="24"/>
          <w:szCs w:val="24"/>
        </w:rPr>
        <w:t xml:space="preserve">The primary objective of this workstream is to achieve full B Corporation certification, thereby providing an unimpeachable, third-party validation of the hotel's commitment to social and environmental responsibility. The key actions will involve: forming a dedicated, cross-functional project team to lead the certification process; completing the comprehensive B Impact Assessment (BIA) to establish a baseline score and identify all areas for improvement; systematically implementing the required operational and governance changes to meet the rigorous B Corp standards; and preparing and submitting the final </w:t>
      </w:r>
      <w:r w:rsidRPr="00ED5682">
        <w:rPr>
          <w:rFonts w:ascii="Arial" w:hAnsi="Arial" w:cs="Arial"/>
          <w:sz w:val="24"/>
          <w:szCs w:val="24"/>
        </w:rPr>
        <w:t xml:space="preserve">verification package. The desired outcome is the successful achievement of B Corp status within 24 months, announced publicly to signal the hotel's leadership in responsible business. The timeframe for this core initiative is </w:t>
      </w:r>
      <w:r w:rsidRPr="00ED5682">
        <w:rPr>
          <w:rFonts w:ascii="Arial" w:hAnsi="Arial" w:cs="Arial"/>
          <w:bCs/>
          <w:sz w:val="24"/>
          <w:szCs w:val="24"/>
        </w:rPr>
        <w:t>24 months</w:t>
      </w:r>
      <w:r w:rsidRPr="00ED5682">
        <w:rPr>
          <w:rFonts w:ascii="Arial" w:hAnsi="Arial" w:cs="Arial"/>
          <w:sz w:val="24"/>
          <w:szCs w:val="24"/>
        </w:rPr>
        <w:t xml:space="preserve">, with a provisional budget of </w:t>
      </w:r>
      <w:r w:rsidRPr="00ED5682">
        <w:rPr>
          <w:rFonts w:ascii="Arial" w:hAnsi="Arial" w:cs="Arial"/>
          <w:bCs/>
          <w:sz w:val="24"/>
          <w:szCs w:val="24"/>
        </w:rPr>
        <w:t>£150,000</w:t>
      </w:r>
      <w:r w:rsidRPr="00ED5682">
        <w:rPr>
          <w:rFonts w:ascii="Arial" w:hAnsi="Arial" w:cs="Arial"/>
          <w:sz w:val="24"/>
          <w:szCs w:val="24"/>
        </w:rPr>
        <w:t xml:space="preserve"> allocated for specialist consultancy support, B </w:t>
      </w:r>
      <w:r w:rsidRPr="00ED5682">
        <w:rPr>
          <w:rFonts w:ascii="Arial" w:hAnsi="Arial" w:cs="Arial"/>
          <w:sz w:val="24"/>
          <w:szCs w:val="24"/>
        </w:rPr>
        <w:lastRenderedPageBreak/>
        <w:t>Lab verification fees, and internal project management resources (Hollender &amp; Bice, 2011).</w:t>
      </w:r>
    </w:p>
    <w:p w14:paraId="54CFAD99" w14:textId="77777777" w:rsidR="00D47D90" w:rsidRDefault="00D47D90" w:rsidP="00286147">
      <w:pPr>
        <w:spacing w:line="360" w:lineRule="auto"/>
        <w:jc w:val="both"/>
        <w:rPr>
          <w:rFonts w:ascii="Arial" w:hAnsi="Arial" w:cs="Arial"/>
          <w:b/>
          <w:bCs/>
          <w:sz w:val="24"/>
          <w:szCs w:val="24"/>
        </w:rPr>
      </w:pPr>
    </w:p>
    <w:p w14:paraId="3E43BA1F"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b/>
          <w:bCs/>
          <w:sz w:val="24"/>
          <w:szCs w:val="24"/>
        </w:rPr>
        <w:t xml:space="preserve">Workstream Two: </w:t>
      </w:r>
      <w:proofErr w:type="spellStart"/>
      <w:r w:rsidRPr="00286147">
        <w:rPr>
          <w:rFonts w:ascii="Arial" w:hAnsi="Arial" w:cs="Arial"/>
          <w:b/>
          <w:bCs/>
          <w:sz w:val="24"/>
          <w:szCs w:val="24"/>
        </w:rPr>
        <w:t>Operationalising</w:t>
      </w:r>
      <w:proofErr w:type="spellEnd"/>
      <w:r w:rsidRPr="00286147">
        <w:rPr>
          <w:rFonts w:ascii="Arial" w:hAnsi="Arial" w:cs="Arial"/>
          <w:b/>
          <w:bCs/>
          <w:sz w:val="24"/>
          <w:szCs w:val="24"/>
        </w:rPr>
        <w:t xml:space="preserve"> the 'Estate-to-Plate' Philosophy</w:t>
      </w:r>
    </w:p>
    <w:p w14:paraId="4748148C"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 xml:space="preserve">The core objective here is to fundamentally reorient the hotel's food and beverage supply chain to </w:t>
      </w:r>
      <w:proofErr w:type="spellStart"/>
      <w:r w:rsidRPr="00286147">
        <w:rPr>
          <w:rFonts w:ascii="Arial" w:hAnsi="Arial" w:cs="Arial"/>
          <w:sz w:val="24"/>
          <w:szCs w:val="24"/>
        </w:rPr>
        <w:t>maximise</w:t>
      </w:r>
      <w:proofErr w:type="spellEnd"/>
      <w:r w:rsidRPr="00286147">
        <w:rPr>
          <w:rFonts w:ascii="Arial" w:hAnsi="Arial" w:cs="Arial"/>
          <w:sz w:val="24"/>
          <w:szCs w:val="24"/>
        </w:rPr>
        <w:t xml:space="preserve"> hyper-local and on-site sourcing. Key actions will include: conducting a full feasibility study for expanding on-site food production; hiring a Head of Estate Horticulture to manage new kitchen gardens and greenhouses; developing a formal partnership </w:t>
      </w:r>
      <w:proofErr w:type="spellStart"/>
      <w:r w:rsidRPr="00286147">
        <w:rPr>
          <w:rFonts w:ascii="Arial" w:hAnsi="Arial" w:cs="Arial"/>
          <w:sz w:val="24"/>
          <w:szCs w:val="24"/>
        </w:rPr>
        <w:t>programme</w:t>
      </w:r>
      <w:proofErr w:type="spellEnd"/>
      <w:r w:rsidRPr="00286147">
        <w:rPr>
          <w:rFonts w:ascii="Arial" w:hAnsi="Arial" w:cs="Arial"/>
          <w:sz w:val="24"/>
          <w:szCs w:val="24"/>
        </w:rPr>
        <w:t xml:space="preserve"> with a curated network of local artisanal suppliers in Perthshire; and tasking the culinary team with a complete redesign of all restaurant menus to reflect the new philosophy of provenance and seasonality. The desired outcome is for a minimum of 60% of all food ingredients (by value) to be sourced either directly from </w:t>
      </w:r>
      <w:r w:rsidRPr="00A050FC">
        <w:rPr>
          <w:rFonts w:ascii="Arial" w:hAnsi="Arial" w:cs="Arial"/>
          <w:sz w:val="24"/>
          <w:szCs w:val="24"/>
        </w:rPr>
        <w:t xml:space="preserve">the Gleneagles estate or from suppliers located within a 50-mile radius. This is a long-term project with a phased implementation over </w:t>
      </w:r>
      <w:r w:rsidRPr="00A050FC">
        <w:rPr>
          <w:rFonts w:ascii="Arial" w:hAnsi="Arial" w:cs="Arial"/>
          <w:bCs/>
          <w:sz w:val="24"/>
          <w:szCs w:val="24"/>
        </w:rPr>
        <w:t>36 months</w:t>
      </w:r>
      <w:r w:rsidRPr="00A050FC">
        <w:rPr>
          <w:rFonts w:ascii="Arial" w:hAnsi="Arial" w:cs="Arial"/>
          <w:sz w:val="24"/>
          <w:szCs w:val="24"/>
        </w:rPr>
        <w:t xml:space="preserve">. A significant investment budget of </w:t>
      </w:r>
      <w:r w:rsidRPr="00A050FC">
        <w:rPr>
          <w:rFonts w:ascii="Arial" w:hAnsi="Arial" w:cs="Arial"/>
          <w:bCs/>
          <w:sz w:val="24"/>
          <w:szCs w:val="24"/>
        </w:rPr>
        <w:t>£500,000</w:t>
      </w:r>
      <w:r w:rsidRPr="00A050FC">
        <w:rPr>
          <w:rFonts w:ascii="Arial" w:hAnsi="Arial" w:cs="Arial"/>
          <w:sz w:val="24"/>
          <w:szCs w:val="24"/>
        </w:rPr>
        <w:t xml:space="preserve"> is provisionally allocated for capital investment in gardens, polytunnels, and other on-site production infrastructure</w:t>
      </w:r>
      <w:r w:rsidRPr="00286147">
        <w:rPr>
          <w:rFonts w:ascii="Arial" w:hAnsi="Arial" w:cs="Arial"/>
          <w:sz w:val="24"/>
          <w:szCs w:val="24"/>
        </w:rPr>
        <w:t>, as well as for managing the initial transition in procurement (Jones, Hillier &amp; Comfort, 2016).</w:t>
      </w:r>
    </w:p>
    <w:p w14:paraId="33491E2B"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b/>
          <w:bCs/>
          <w:sz w:val="24"/>
          <w:szCs w:val="24"/>
        </w:rPr>
        <w:t>Workstream Three: Launching the 'Conscientious Luxury' Communication Strategy</w:t>
      </w:r>
    </w:p>
    <w:p w14:paraId="17173343" w14:textId="77777777" w:rsidR="00A050FC" w:rsidRDefault="001A2765" w:rsidP="00286147">
      <w:pPr>
        <w:spacing w:line="360" w:lineRule="auto"/>
        <w:jc w:val="both"/>
        <w:rPr>
          <w:rFonts w:ascii="Arial" w:hAnsi="Arial" w:cs="Arial"/>
          <w:sz w:val="24"/>
          <w:szCs w:val="24"/>
        </w:rPr>
      </w:pPr>
      <w:r w:rsidRPr="00286147">
        <w:rPr>
          <w:rFonts w:ascii="Arial" w:hAnsi="Arial" w:cs="Arial"/>
          <w:sz w:val="24"/>
          <w:szCs w:val="24"/>
        </w:rPr>
        <w:t xml:space="preserve">This workstream is focused on authentically and effectively communicating the hotel's new brand positioning to the market. The key actions involve: developing a core brand narrative and messaging framework centered on 'Conscientious Luxury'; creating a rich content strategy, including high-quality video documentaries, articles, and social media campaigns that showcase the sustainability journey; building relationships with key international media and influencers who </w:t>
      </w:r>
      <w:proofErr w:type="spellStart"/>
      <w:r w:rsidRPr="00286147">
        <w:rPr>
          <w:rFonts w:ascii="Arial" w:hAnsi="Arial" w:cs="Arial"/>
          <w:sz w:val="24"/>
          <w:szCs w:val="24"/>
        </w:rPr>
        <w:t>specialise</w:t>
      </w:r>
      <w:proofErr w:type="spellEnd"/>
      <w:r w:rsidRPr="00286147">
        <w:rPr>
          <w:rFonts w:ascii="Arial" w:hAnsi="Arial" w:cs="Arial"/>
          <w:sz w:val="24"/>
          <w:szCs w:val="24"/>
        </w:rPr>
        <w:t xml:space="preserve"> in sustainable luxury travel; and designing and publishing the hotel's first annual, externally verified Sustainability Report. The desired outcome is a measurable shift in brand perception, positive international media coverage, and an increase in direct bookings from the target conscientious </w:t>
      </w:r>
      <w:r w:rsidRPr="00A050FC">
        <w:rPr>
          <w:rFonts w:ascii="Arial" w:hAnsi="Arial" w:cs="Arial"/>
          <w:sz w:val="24"/>
          <w:szCs w:val="24"/>
        </w:rPr>
        <w:t xml:space="preserve">consumer segment. This is an ongoing initiative, with a major brand </w:t>
      </w:r>
      <w:r w:rsidRPr="00A050FC">
        <w:rPr>
          <w:rFonts w:ascii="Arial" w:hAnsi="Arial" w:cs="Arial"/>
          <w:sz w:val="24"/>
          <w:szCs w:val="24"/>
        </w:rPr>
        <w:lastRenderedPageBreak/>
        <w:t xml:space="preserve">campaign launch scheduled for </w:t>
      </w:r>
      <w:r w:rsidRPr="00A050FC">
        <w:rPr>
          <w:rFonts w:ascii="Arial" w:hAnsi="Arial" w:cs="Arial"/>
          <w:bCs/>
          <w:sz w:val="24"/>
          <w:szCs w:val="24"/>
        </w:rPr>
        <w:t>Month 24</w:t>
      </w:r>
      <w:r w:rsidRPr="00A050FC">
        <w:rPr>
          <w:rFonts w:ascii="Arial" w:hAnsi="Arial" w:cs="Arial"/>
          <w:sz w:val="24"/>
          <w:szCs w:val="24"/>
        </w:rPr>
        <w:t xml:space="preserve"> to coincide with the B Corp announcement. A provisional annual budget of </w:t>
      </w:r>
      <w:r w:rsidRPr="00A050FC">
        <w:rPr>
          <w:rFonts w:ascii="Arial" w:hAnsi="Arial" w:cs="Arial"/>
          <w:bCs/>
          <w:sz w:val="24"/>
          <w:szCs w:val="24"/>
        </w:rPr>
        <w:t>£250,000</w:t>
      </w:r>
      <w:r w:rsidRPr="00A050FC">
        <w:rPr>
          <w:rFonts w:ascii="Arial" w:hAnsi="Arial" w:cs="Arial"/>
          <w:sz w:val="24"/>
          <w:szCs w:val="24"/>
        </w:rPr>
        <w:t xml:space="preserve"> is allocated to marketing and communications to support this new strategic focus (Ottman</w:t>
      </w:r>
      <w:r w:rsidRPr="00286147">
        <w:rPr>
          <w:rFonts w:ascii="Arial" w:hAnsi="Arial" w:cs="Arial"/>
          <w:sz w:val="24"/>
          <w:szCs w:val="24"/>
        </w:rPr>
        <w:t>, 2011).</w:t>
      </w:r>
    </w:p>
    <w:p w14:paraId="70164A6F" w14:textId="77777777" w:rsidR="001A2765" w:rsidRPr="00A050FC" w:rsidRDefault="001A2765" w:rsidP="00286147">
      <w:pPr>
        <w:spacing w:line="360" w:lineRule="auto"/>
        <w:jc w:val="both"/>
        <w:rPr>
          <w:rFonts w:ascii="Arial" w:hAnsi="Arial" w:cs="Arial"/>
          <w:sz w:val="24"/>
          <w:szCs w:val="24"/>
        </w:rPr>
      </w:pPr>
      <w:r w:rsidRPr="00286147">
        <w:rPr>
          <w:rFonts w:ascii="Arial" w:hAnsi="Arial" w:cs="Arial"/>
          <w:b/>
          <w:bCs/>
          <w:sz w:val="24"/>
          <w:szCs w:val="24"/>
        </w:rPr>
        <w:t>Conclusion</w:t>
      </w:r>
    </w:p>
    <w:p w14:paraId="22326DE6"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This report was commissioned to provide a strategic roadmap for The Gleneagles Hotel to navigate a pivotal moment in the evolution of luxury. The core task was to define a pathway for the hotel to become a true global leader in 'conscientious luxury', a concept that marries opulence with responsibility. The analysis has confirmed that this is not merely a laudable ethical goal, but a profound strategic imperative, driven by shifting consumer values and a changing global context. The challenge is complex, but the opportunity for Gleneagles to once again redefine excellence in hospitality is immense (Laszlo, 2008).</w:t>
      </w:r>
    </w:p>
    <w:p w14:paraId="03AEE7DA"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The central finding from our comprehensive analysis is that The Gleneagles Hotel is uniquely positioned to lead this charge. Its greatest asset—the vast and beautiful Scottish estate—is the very key to overcoming its greatest operational challenges and to creating an authentic sustainability story that cannot be replicated. The strategy that has emerged is one of deep alignment: aligning the brand with its sense of place, aligning its operations with the health of its ecosystem, and aligning its guest experience with the values of the modern world. This is a strategy built upon leveraging the hotel's unique resources to create a formidable and sustainable competitive advantage (Hart &amp; Milstein, 2003).</w:t>
      </w:r>
    </w:p>
    <w:p w14:paraId="68013AC2"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 xml:space="preserve">To achieve this, the report has advanced a synergistic </w:t>
      </w:r>
      <w:proofErr w:type="spellStart"/>
      <w:r w:rsidRPr="00286147">
        <w:rPr>
          <w:rFonts w:ascii="Arial" w:hAnsi="Arial" w:cs="Arial"/>
          <w:sz w:val="24"/>
          <w:szCs w:val="24"/>
        </w:rPr>
        <w:t>programme</w:t>
      </w:r>
      <w:proofErr w:type="spellEnd"/>
      <w:r w:rsidRPr="00286147">
        <w:rPr>
          <w:rFonts w:ascii="Arial" w:hAnsi="Arial" w:cs="Arial"/>
          <w:sz w:val="24"/>
          <w:szCs w:val="24"/>
        </w:rPr>
        <w:t xml:space="preserve"> of three core recommendations: the pursuit of the rigorous B Corp Certification to provide verifiable proof of its commitment; the operational and cultural transformation to an 'Estate-to-Plate' gastronomic philosophy; and the development of a sophisticated communications strategy to tell its story of 'Conscientious Luxury' with authenticity and passion. These initiatives are designed to work in concert, creating a virtuous cycle where operational integrity drives brand authenticity, which in turn attracts high-value guests and talent, further enabling investment in sustainable practices (Willard, 2012).</w:t>
      </w:r>
    </w:p>
    <w:p w14:paraId="123816E5"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lastRenderedPageBreak/>
        <w:t>The journey outlined in this report requires significant, long-term investment and unwavering leadership commitment. However, the returns should be measured not simply in financial terms, but through the lens of holistic value creation. The implementation of this strategy will enhance Brand Value by building a new layer of trust and admiration; it will create Social Value by strengthening the local community and fostering employee pride; and it will generate profound Ecological Value through the active stewardship and restoration of the Perthshire landscape. This "Triple Bottom Line" approach is the true measure of success in a 21st-century business and the key to securing the glorious legacy of The Gleneagles Hotel for a new, more conscious era (Savitz &amp; Weber, 2014).</w:t>
      </w:r>
    </w:p>
    <w:p w14:paraId="0CD310AF" w14:textId="77777777" w:rsidR="001A2765" w:rsidRPr="00286147" w:rsidRDefault="001A2765" w:rsidP="00286147">
      <w:pPr>
        <w:spacing w:line="360" w:lineRule="auto"/>
        <w:jc w:val="both"/>
        <w:rPr>
          <w:rFonts w:ascii="Arial" w:hAnsi="Arial" w:cs="Arial"/>
          <w:sz w:val="24"/>
          <w:szCs w:val="24"/>
        </w:rPr>
      </w:pPr>
      <w:r w:rsidRPr="00286147">
        <w:rPr>
          <w:rFonts w:ascii="Arial" w:hAnsi="Arial" w:cs="Arial"/>
          <w:sz w:val="24"/>
          <w:szCs w:val="24"/>
        </w:rPr>
        <w:t>Finally, on behalf of Vanguard Hospitality Advisory, we would like to express our sincere gratitude to the leadership of The Gleneagles Hotel for entrusting us with this vital strategic exploration. Your ambition to not only adapt to the future but to actively shape it is truly inspiring. We are confident that by embracing the path of authentic sustainability outlined herein, The Gleneagles Hotel will not just continue to be a "glorious playground," but will become a powerful and celebrated example of how luxury and responsibility can beautifully coexist (Block, 2011).</w:t>
      </w:r>
    </w:p>
    <w:p w14:paraId="1833B39D" w14:textId="77777777" w:rsidR="001A2765" w:rsidRPr="00286147" w:rsidRDefault="001A2765" w:rsidP="00286147">
      <w:pPr>
        <w:spacing w:line="360" w:lineRule="auto"/>
        <w:jc w:val="both"/>
        <w:rPr>
          <w:rFonts w:ascii="Arial" w:hAnsi="Arial" w:cs="Arial"/>
          <w:sz w:val="24"/>
          <w:szCs w:val="24"/>
        </w:rPr>
      </w:pPr>
    </w:p>
    <w:p w14:paraId="127E3DB1" w14:textId="77777777" w:rsidR="00A050FC" w:rsidRDefault="00A050FC" w:rsidP="00286147">
      <w:pPr>
        <w:spacing w:line="360" w:lineRule="auto"/>
        <w:jc w:val="both"/>
        <w:rPr>
          <w:rFonts w:ascii="Arial" w:hAnsi="Arial" w:cs="Arial"/>
          <w:b/>
          <w:bCs/>
          <w:sz w:val="24"/>
          <w:szCs w:val="24"/>
        </w:rPr>
      </w:pPr>
    </w:p>
    <w:p w14:paraId="101176DC" w14:textId="77777777" w:rsidR="00A050FC" w:rsidRDefault="00A050FC" w:rsidP="00286147">
      <w:pPr>
        <w:spacing w:line="360" w:lineRule="auto"/>
        <w:jc w:val="both"/>
        <w:rPr>
          <w:rFonts w:ascii="Arial" w:hAnsi="Arial" w:cs="Arial"/>
          <w:b/>
          <w:bCs/>
          <w:sz w:val="24"/>
          <w:szCs w:val="24"/>
        </w:rPr>
      </w:pPr>
    </w:p>
    <w:p w14:paraId="09099B4F" w14:textId="77777777" w:rsidR="00A050FC" w:rsidRDefault="00A050FC" w:rsidP="00286147">
      <w:pPr>
        <w:spacing w:line="360" w:lineRule="auto"/>
        <w:jc w:val="both"/>
        <w:rPr>
          <w:rFonts w:ascii="Arial" w:hAnsi="Arial" w:cs="Arial"/>
          <w:b/>
          <w:bCs/>
          <w:sz w:val="24"/>
          <w:szCs w:val="24"/>
        </w:rPr>
      </w:pPr>
    </w:p>
    <w:p w14:paraId="5097E0D1" w14:textId="77777777" w:rsidR="00A050FC" w:rsidRDefault="00A050FC" w:rsidP="00286147">
      <w:pPr>
        <w:spacing w:line="360" w:lineRule="auto"/>
        <w:jc w:val="both"/>
        <w:rPr>
          <w:rFonts w:ascii="Arial" w:hAnsi="Arial" w:cs="Arial"/>
          <w:b/>
          <w:bCs/>
          <w:sz w:val="24"/>
          <w:szCs w:val="24"/>
        </w:rPr>
      </w:pPr>
    </w:p>
    <w:p w14:paraId="6D9897D3" w14:textId="77777777" w:rsidR="00A050FC" w:rsidRDefault="00A050FC" w:rsidP="00286147">
      <w:pPr>
        <w:spacing w:line="360" w:lineRule="auto"/>
        <w:jc w:val="both"/>
        <w:rPr>
          <w:rFonts w:ascii="Arial" w:hAnsi="Arial" w:cs="Arial"/>
          <w:b/>
          <w:bCs/>
          <w:sz w:val="24"/>
          <w:szCs w:val="24"/>
        </w:rPr>
      </w:pPr>
    </w:p>
    <w:p w14:paraId="12057B0E" w14:textId="77777777" w:rsidR="00A050FC" w:rsidRDefault="00A050FC" w:rsidP="00286147">
      <w:pPr>
        <w:spacing w:line="360" w:lineRule="auto"/>
        <w:jc w:val="both"/>
        <w:rPr>
          <w:rFonts w:ascii="Arial" w:hAnsi="Arial" w:cs="Arial"/>
          <w:b/>
          <w:bCs/>
          <w:sz w:val="24"/>
          <w:szCs w:val="24"/>
        </w:rPr>
      </w:pPr>
    </w:p>
    <w:p w14:paraId="774E963C" w14:textId="77777777" w:rsidR="00A050FC" w:rsidRDefault="00A050FC" w:rsidP="00286147">
      <w:pPr>
        <w:spacing w:line="360" w:lineRule="auto"/>
        <w:jc w:val="both"/>
        <w:rPr>
          <w:rFonts w:ascii="Arial" w:hAnsi="Arial" w:cs="Arial"/>
          <w:b/>
          <w:bCs/>
          <w:sz w:val="24"/>
          <w:szCs w:val="24"/>
        </w:rPr>
      </w:pPr>
    </w:p>
    <w:p w14:paraId="1CE666F2" w14:textId="77777777" w:rsidR="00A050FC" w:rsidRDefault="00A050FC" w:rsidP="00286147">
      <w:pPr>
        <w:spacing w:line="360" w:lineRule="auto"/>
        <w:jc w:val="both"/>
        <w:rPr>
          <w:rFonts w:ascii="Arial" w:hAnsi="Arial" w:cs="Arial"/>
          <w:b/>
          <w:bCs/>
          <w:sz w:val="24"/>
          <w:szCs w:val="24"/>
        </w:rPr>
      </w:pPr>
    </w:p>
    <w:p w14:paraId="4E082229" w14:textId="77777777" w:rsidR="00A050FC" w:rsidRDefault="00A050FC" w:rsidP="00286147">
      <w:pPr>
        <w:spacing w:line="360" w:lineRule="auto"/>
        <w:jc w:val="both"/>
        <w:rPr>
          <w:rFonts w:ascii="Arial" w:hAnsi="Arial" w:cs="Arial"/>
          <w:b/>
          <w:bCs/>
          <w:sz w:val="24"/>
          <w:szCs w:val="24"/>
        </w:rPr>
      </w:pPr>
    </w:p>
    <w:p w14:paraId="29136D57" w14:textId="77777777" w:rsidR="00A050FC" w:rsidRDefault="00A050FC" w:rsidP="00286147">
      <w:pPr>
        <w:spacing w:line="360" w:lineRule="auto"/>
        <w:jc w:val="both"/>
        <w:rPr>
          <w:rFonts w:ascii="Arial" w:hAnsi="Arial" w:cs="Arial"/>
          <w:b/>
          <w:bCs/>
          <w:sz w:val="24"/>
          <w:szCs w:val="24"/>
        </w:rPr>
      </w:pPr>
    </w:p>
    <w:p w14:paraId="69567267" w14:textId="77777777" w:rsidR="001A2765" w:rsidRPr="00286147" w:rsidRDefault="001A2765" w:rsidP="00286147">
      <w:pPr>
        <w:spacing w:line="360" w:lineRule="auto"/>
        <w:jc w:val="both"/>
        <w:rPr>
          <w:rFonts w:ascii="Arial" w:hAnsi="Arial" w:cs="Arial"/>
          <w:b/>
          <w:bCs/>
          <w:sz w:val="24"/>
          <w:szCs w:val="24"/>
        </w:rPr>
      </w:pPr>
      <w:r w:rsidRPr="00286147">
        <w:rPr>
          <w:rFonts w:ascii="Arial" w:hAnsi="Arial" w:cs="Arial"/>
          <w:b/>
          <w:bCs/>
          <w:sz w:val="24"/>
          <w:szCs w:val="24"/>
        </w:rPr>
        <w:t>Reference List</w:t>
      </w:r>
    </w:p>
    <w:p w14:paraId="346FC46B" w14:textId="77777777" w:rsidR="001A2765" w:rsidRPr="00286147" w:rsidRDefault="001A2765" w:rsidP="00286147">
      <w:pPr>
        <w:numPr>
          <w:ilvl w:val="0"/>
          <w:numId w:val="1"/>
        </w:numPr>
        <w:spacing w:after="160" w:line="360" w:lineRule="auto"/>
        <w:jc w:val="both"/>
        <w:rPr>
          <w:rFonts w:ascii="Arial" w:hAnsi="Arial" w:cs="Arial"/>
          <w:sz w:val="24"/>
          <w:szCs w:val="24"/>
        </w:rPr>
      </w:pPr>
      <w:r w:rsidRPr="00286147">
        <w:rPr>
          <w:rFonts w:ascii="Arial" w:hAnsi="Arial" w:cs="Arial"/>
          <w:sz w:val="24"/>
          <w:szCs w:val="24"/>
        </w:rPr>
        <w:t xml:space="preserve">Benn, S., Dunphy, D., &amp; Griffiths, A. (2014) </w:t>
      </w:r>
      <w:r w:rsidRPr="00286147">
        <w:rPr>
          <w:rFonts w:ascii="Arial" w:hAnsi="Arial" w:cs="Arial"/>
          <w:i/>
          <w:iCs/>
          <w:sz w:val="24"/>
          <w:szCs w:val="24"/>
        </w:rPr>
        <w:t>Organizational Change for Corporate Sustainability</w:t>
      </w:r>
      <w:r w:rsidRPr="00286147">
        <w:rPr>
          <w:rFonts w:ascii="Arial" w:hAnsi="Arial" w:cs="Arial"/>
          <w:sz w:val="24"/>
          <w:szCs w:val="24"/>
        </w:rPr>
        <w:t xml:space="preserve">. 3rd </w:t>
      </w:r>
      <w:proofErr w:type="spellStart"/>
      <w:r w:rsidRPr="00286147">
        <w:rPr>
          <w:rFonts w:ascii="Arial" w:hAnsi="Arial" w:cs="Arial"/>
          <w:sz w:val="24"/>
          <w:szCs w:val="24"/>
        </w:rPr>
        <w:t>edn</w:t>
      </w:r>
      <w:proofErr w:type="spellEnd"/>
      <w:r w:rsidRPr="00286147">
        <w:rPr>
          <w:rFonts w:ascii="Arial" w:hAnsi="Arial" w:cs="Arial"/>
          <w:sz w:val="24"/>
          <w:szCs w:val="24"/>
        </w:rPr>
        <w:t>. London: Routledge.</w:t>
      </w:r>
    </w:p>
    <w:p w14:paraId="3ECEFF08" w14:textId="77777777" w:rsidR="001A2765" w:rsidRPr="00286147" w:rsidRDefault="001A2765" w:rsidP="00286147">
      <w:pPr>
        <w:numPr>
          <w:ilvl w:val="0"/>
          <w:numId w:val="1"/>
        </w:numPr>
        <w:spacing w:after="160" w:line="360" w:lineRule="auto"/>
        <w:jc w:val="both"/>
        <w:rPr>
          <w:rFonts w:ascii="Arial" w:hAnsi="Arial" w:cs="Arial"/>
          <w:sz w:val="24"/>
          <w:szCs w:val="24"/>
        </w:rPr>
      </w:pPr>
      <w:proofErr w:type="spellStart"/>
      <w:r w:rsidRPr="00286147">
        <w:rPr>
          <w:rFonts w:ascii="Arial" w:hAnsi="Arial" w:cs="Arial"/>
          <w:sz w:val="24"/>
          <w:szCs w:val="24"/>
        </w:rPr>
        <w:t>Boiral</w:t>
      </w:r>
      <w:proofErr w:type="spellEnd"/>
      <w:r w:rsidRPr="00286147">
        <w:rPr>
          <w:rFonts w:ascii="Arial" w:hAnsi="Arial" w:cs="Arial"/>
          <w:sz w:val="24"/>
          <w:szCs w:val="24"/>
        </w:rPr>
        <w:t xml:space="preserve">, O. (2016) '“Greenwashing” and organizational identity: when organizations do not walk their talk', in </w:t>
      </w:r>
      <w:r w:rsidRPr="00286147">
        <w:rPr>
          <w:rFonts w:ascii="Arial" w:hAnsi="Arial" w:cs="Arial"/>
          <w:i/>
          <w:iCs/>
          <w:sz w:val="24"/>
          <w:szCs w:val="24"/>
        </w:rPr>
        <w:t>Organizational Identity</w:t>
      </w:r>
      <w:r w:rsidRPr="00286147">
        <w:rPr>
          <w:rFonts w:ascii="Arial" w:hAnsi="Arial" w:cs="Arial"/>
          <w:sz w:val="24"/>
          <w:szCs w:val="24"/>
        </w:rPr>
        <w:t>. Abingdon: Routledge, pp. 241-261.</w:t>
      </w:r>
    </w:p>
    <w:p w14:paraId="261ABEA8" w14:textId="77777777" w:rsidR="001A2765" w:rsidRPr="00286147" w:rsidRDefault="001A2765" w:rsidP="00286147">
      <w:pPr>
        <w:numPr>
          <w:ilvl w:val="0"/>
          <w:numId w:val="1"/>
        </w:numPr>
        <w:spacing w:after="160" w:line="360" w:lineRule="auto"/>
        <w:jc w:val="both"/>
        <w:rPr>
          <w:rFonts w:ascii="Arial" w:hAnsi="Arial" w:cs="Arial"/>
          <w:sz w:val="24"/>
          <w:szCs w:val="24"/>
        </w:rPr>
      </w:pPr>
      <w:r w:rsidRPr="00286147">
        <w:rPr>
          <w:rFonts w:ascii="Arial" w:hAnsi="Arial" w:cs="Arial"/>
          <w:sz w:val="24"/>
          <w:szCs w:val="24"/>
        </w:rPr>
        <w:t xml:space="preserve">Boje, D.M. (2001) </w:t>
      </w:r>
      <w:r w:rsidRPr="00286147">
        <w:rPr>
          <w:rFonts w:ascii="Arial" w:hAnsi="Arial" w:cs="Arial"/>
          <w:i/>
          <w:iCs/>
          <w:sz w:val="24"/>
          <w:szCs w:val="24"/>
        </w:rPr>
        <w:t>Narrative Methods for Organizational &amp; Communication Research</w:t>
      </w:r>
      <w:r w:rsidRPr="00286147">
        <w:rPr>
          <w:rFonts w:ascii="Arial" w:hAnsi="Arial" w:cs="Arial"/>
          <w:sz w:val="24"/>
          <w:szCs w:val="24"/>
        </w:rPr>
        <w:t>. London: Sage Publications.</w:t>
      </w:r>
    </w:p>
    <w:p w14:paraId="6B110A52" w14:textId="77777777" w:rsidR="001A2765" w:rsidRPr="00286147" w:rsidRDefault="001A2765" w:rsidP="00286147">
      <w:pPr>
        <w:numPr>
          <w:ilvl w:val="0"/>
          <w:numId w:val="1"/>
        </w:numPr>
        <w:spacing w:after="160" w:line="360" w:lineRule="auto"/>
        <w:jc w:val="both"/>
        <w:rPr>
          <w:rFonts w:ascii="Arial" w:hAnsi="Arial" w:cs="Arial"/>
          <w:sz w:val="24"/>
          <w:szCs w:val="24"/>
        </w:rPr>
      </w:pPr>
      <w:proofErr w:type="spellStart"/>
      <w:r w:rsidRPr="00286147">
        <w:rPr>
          <w:rFonts w:ascii="Arial" w:hAnsi="Arial" w:cs="Arial"/>
          <w:sz w:val="24"/>
          <w:szCs w:val="24"/>
        </w:rPr>
        <w:t>Brosdahl</w:t>
      </w:r>
      <w:proofErr w:type="spellEnd"/>
      <w:r w:rsidRPr="00286147">
        <w:rPr>
          <w:rFonts w:ascii="Arial" w:hAnsi="Arial" w:cs="Arial"/>
          <w:sz w:val="24"/>
          <w:szCs w:val="24"/>
        </w:rPr>
        <w:t xml:space="preserve">, D.J.C. &amp; Carpenter, J.M. (2010) 'Shopping orientations of US males: A generational cohort comparison', </w:t>
      </w:r>
      <w:r w:rsidRPr="00286147">
        <w:rPr>
          <w:rFonts w:ascii="Arial" w:hAnsi="Arial" w:cs="Arial"/>
          <w:i/>
          <w:iCs/>
          <w:sz w:val="24"/>
          <w:szCs w:val="24"/>
        </w:rPr>
        <w:t>Journal of Retailing and Consumer Services</w:t>
      </w:r>
      <w:r w:rsidRPr="00286147">
        <w:rPr>
          <w:rFonts w:ascii="Arial" w:hAnsi="Arial" w:cs="Arial"/>
          <w:sz w:val="24"/>
          <w:szCs w:val="24"/>
        </w:rPr>
        <w:t>, 17(6), pp. 548-554.</w:t>
      </w:r>
    </w:p>
    <w:p w14:paraId="07C5DD16" w14:textId="77777777" w:rsidR="001A2765" w:rsidRPr="00286147" w:rsidRDefault="001A2765" w:rsidP="00286147">
      <w:pPr>
        <w:numPr>
          <w:ilvl w:val="0"/>
          <w:numId w:val="1"/>
        </w:numPr>
        <w:spacing w:after="160" w:line="360" w:lineRule="auto"/>
        <w:jc w:val="both"/>
        <w:rPr>
          <w:rFonts w:ascii="Arial" w:hAnsi="Arial" w:cs="Arial"/>
          <w:sz w:val="24"/>
          <w:szCs w:val="24"/>
        </w:rPr>
      </w:pPr>
      <w:r w:rsidRPr="00286147">
        <w:rPr>
          <w:rFonts w:ascii="Arial" w:hAnsi="Arial" w:cs="Arial"/>
          <w:sz w:val="24"/>
          <w:szCs w:val="24"/>
        </w:rPr>
        <w:t xml:space="preserve">Bryson, J.M. (2018) </w:t>
      </w:r>
      <w:r w:rsidRPr="00286147">
        <w:rPr>
          <w:rFonts w:ascii="Arial" w:hAnsi="Arial" w:cs="Arial"/>
          <w:i/>
          <w:iCs/>
          <w:sz w:val="24"/>
          <w:szCs w:val="24"/>
        </w:rPr>
        <w:t>Strategic Planning for Public and Nonprofit Organizations: A Guide to Strengthening and Sustaining Organizational Achievement</w:t>
      </w:r>
      <w:r w:rsidRPr="00286147">
        <w:rPr>
          <w:rFonts w:ascii="Arial" w:hAnsi="Arial" w:cs="Arial"/>
          <w:sz w:val="24"/>
          <w:szCs w:val="24"/>
        </w:rPr>
        <w:t xml:space="preserve">. 5th </w:t>
      </w:r>
      <w:proofErr w:type="spellStart"/>
      <w:r w:rsidRPr="00286147">
        <w:rPr>
          <w:rFonts w:ascii="Arial" w:hAnsi="Arial" w:cs="Arial"/>
          <w:sz w:val="24"/>
          <w:szCs w:val="24"/>
        </w:rPr>
        <w:t>edn</w:t>
      </w:r>
      <w:proofErr w:type="spellEnd"/>
      <w:r w:rsidRPr="00286147">
        <w:rPr>
          <w:rFonts w:ascii="Arial" w:hAnsi="Arial" w:cs="Arial"/>
          <w:sz w:val="24"/>
          <w:szCs w:val="24"/>
        </w:rPr>
        <w:t>. Hoboken, NJ: John Wiley &amp; Sons.</w:t>
      </w:r>
    </w:p>
    <w:p w14:paraId="4CBF3AAE" w14:textId="77777777" w:rsidR="001A2765" w:rsidRPr="00286147" w:rsidRDefault="001A2765" w:rsidP="00286147">
      <w:pPr>
        <w:numPr>
          <w:ilvl w:val="0"/>
          <w:numId w:val="1"/>
        </w:numPr>
        <w:spacing w:after="160" w:line="360" w:lineRule="auto"/>
        <w:jc w:val="both"/>
        <w:rPr>
          <w:rFonts w:ascii="Arial" w:hAnsi="Arial" w:cs="Arial"/>
          <w:sz w:val="24"/>
          <w:szCs w:val="24"/>
        </w:rPr>
      </w:pPr>
      <w:r w:rsidRPr="00286147">
        <w:rPr>
          <w:rFonts w:ascii="Arial" w:hAnsi="Arial" w:cs="Arial"/>
          <w:sz w:val="24"/>
          <w:szCs w:val="24"/>
        </w:rPr>
        <w:t xml:space="preserve">Butler, R.W. (2008) 'The tourism area life cycle: A synthesis', in </w:t>
      </w:r>
      <w:r w:rsidRPr="00286147">
        <w:rPr>
          <w:rFonts w:ascii="Arial" w:hAnsi="Arial" w:cs="Arial"/>
          <w:i/>
          <w:iCs/>
          <w:sz w:val="24"/>
          <w:szCs w:val="24"/>
        </w:rPr>
        <w:t>Tourism and Innovation</w:t>
      </w:r>
      <w:r w:rsidRPr="00286147">
        <w:rPr>
          <w:rFonts w:ascii="Arial" w:hAnsi="Arial" w:cs="Arial"/>
          <w:sz w:val="24"/>
          <w:szCs w:val="24"/>
        </w:rPr>
        <w:t>. Bristol: Channel View Publications, pp. 11-21.</w:t>
      </w:r>
    </w:p>
    <w:p w14:paraId="5F3B0D0F" w14:textId="77777777" w:rsidR="001A2765" w:rsidRPr="00286147" w:rsidRDefault="001A2765" w:rsidP="00286147">
      <w:pPr>
        <w:numPr>
          <w:ilvl w:val="0"/>
          <w:numId w:val="1"/>
        </w:numPr>
        <w:spacing w:after="160" w:line="360" w:lineRule="auto"/>
        <w:jc w:val="both"/>
        <w:rPr>
          <w:rFonts w:ascii="Arial" w:hAnsi="Arial" w:cs="Arial"/>
          <w:sz w:val="24"/>
          <w:szCs w:val="24"/>
        </w:rPr>
      </w:pPr>
      <w:r w:rsidRPr="00286147">
        <w:rPr>
          <w:rFonts w:ascii="Arial" w:hAnsi="Arial" w:cs="Arial"/>
          <w:sz w:val="24"/>
          <w:szCs w:val="24"/>
        </w:rPr>
        <w:t xml:space="preserve">Chen, Y.S. (2010) 'The drivers of green brand equity: green brand image, green satisfaction, and green trust', </w:t>
      </w:r>
      <w:r w:rsidRPr="00286147">
        <w:rPr>
          <w:rFonts w:ascii="Arial" w:hAnsi="Arial" w:cs="Arial"/>
          <w:i/>
          <w:iCs/>
          <w:sz w:val="24"/>
          <w:szCs w:val="24"/>
        </w:rPr>
        <w:t>Journal of Business Ethics</w:t>
      </w:r>
      <w:r w:rsidRPr="00286147">
        <w:rPr>
          <w:rFonts w:ascii="Arial" w:hAnsi="Arial" w:cs="Arial"/>
          <w:sz w:val="24"/>
          <w:szCs w:val="24"/>
        </w:rPr>
        <w:t>, 93(2), pp. 307-319.</w:t>
      </w:r>
    </w:p>
    <w:p w14:paraId="7770EF35" w14:textId="77777777" w:rsidR="001A2765" w:rsidRPr="00286147" w:rsidRDefault="001A2765" w:rsidP="00286147">
      <w:pPr>
        <w:numPr>
          <w:ilvl w:val="0"/>
          <w:numId w:val="1"/>
        </w:numPr>
        <w:spacing w:after="160" w:line="360" w:lineRule="auto"/>
        <w:jc w:val="both"/>
        <w:rPr>
          <w:rFonts w:ascii="Arial" w:hAnsi="Arial" w:cs="Arial"/>
          <w:sz w:val="24"/>
          <w:szCs w:val="24"/>
        </w:rPr>
      </w:pPr>
      <w:r w:rsidRPr="00286147">
        <w:rPr>
          <w:rFonts w:ascii="Arial" w:hAnsi="Arial" w:cs="Arial"/>
          <w:sz w:val="24"/>
          <w:szCs w:val="24"/>
        </w:rPr>
        <w:t xml:space="preserve">Chen, Y.S., &amp; Chang, C.H. (2013) 'The determinants of green product development performance: Green dynamic capabilities, green transformational leadership, and green creativity', </w:t>
      </w:r>
      <w:r w:rsidRPr="00286147">
        <w:rPr>
          <w:rFonts w:ascii="Arial" w:hAnsi="Arial" w:cs="Arial"/>
          <w:i/>
          <w:iCs/>
          <w:sz w:val="24"/>
          <w:szCs w:val="24"/>
        </w:rPr>
        <w:t>Journal of Business Ethics</w:t>
      </w:r>
      <w:r w:rsidRPr="00286147">
        <w:rPr>
          <w:rFonts w:ascii="Arial" w:hAnsi="Arial" w:cs="Arial"/>
          <w:sz w:val="24"/>
          <w:szCs w:val="24"/>
        </w:rPr>
        <w:t>, 116(1), pp. 107-119.</w:t>
      </w:r>
    </w:p>
    <w:p w14:paraId="4295C0A3" w14:textId="77777777" w:rsidR="001A2765" w:rsidRPr="00286147" w:rsidRDefault="001A2765" w:rsidP="00286147">
      <w:pPr>
        <w:numPr>
          <w:ilvl w:val="0"/>
          <w:numId w:val="1"/>
        </w:numPr>
        <w:spacing w:after="160" w:line="360" w:lineRule="auto"/>
        <w:jc w:val="both"/>
        <w:rPr>
          <w:rFonts w:ascii="Arial" w:hAnsi="Arial" w:cs="Arial"/>
          <w:sz w:val="24"/>
          <w:szCs w:val="24"/>
        </w:rPr>
      </w:pPr>
      <w:r w:rsidRPr="00286147">
        <w:rPr>
          <w:rFonts w:ascii="Arial" w:hAnsi="Arial" w:cs="Arial"/>
          <w:sz w:val="24"/>
          <w:szCs w:val="24"/>
        </w:rPr>
        <w:t xml:space="preserve">Christopher, M. (2019) </w:t>
      </w:r>
      <w:r w:rsidRPr="00286147">
        <w:rPr>
          <w:rFonts w:ascii="Arial" w:hAnsi="Arial" w:cs="Arial"/>
          <w:i/>
          <w:iCs/>
          <w:sz w:val="24"/>
          <w:szCs w:val="24"/>
        </w:rPr>
        <w:t>The B Corp Handbook: How You Can Use Business as a Force for Good</w:t>
      </w:r>
      <w:r w:rsidRPr="00286147">
        <w:rPr>
          <w:rFonts w:ascii="Arial" w:hAnsi="Arial" w:cs="Arial"/>
          <w:sz w:val="24"/>
          <w:szCs w:val="24"/>
        </w:rPr>
        <w:t xml:space="preserve">. 2nd </w:t>
      </w:r>
      <w:proofErr w:type="spellStart"/>
      <w:r w:rsidRPr="00286147">
        <w:rPr>
          <w:rFonts w:ascii="Arial" w:hAnsi="Arial" w:cs="Arial"/>
          <w:sz w:val="24"/>
          <w:szCs w:val="24"/>
        </w:rPr>
        <w:t>edn</w:t>
      </w:r>
      <w:proofErr w:type="spellEnd"/>
      <w:r w:rsidRPr="00286147">
        <w:rPr>
          <w:rFonts w:ascii="Arial" w:hAnsi="Arial" w:cs="Arial"/>
          <w:sz w:val="24"/>
          <w:szCs w:val="24"/>
        </w:rPr>
        <w:t>. Oakland, CA: Berrett-Koehler Publishers.</w:t>
      </w:r>
    </w:p>
    <w:p w14:paraId="060BF4C6" w14:textId="77777777" w:rsidR="001A2765" w:rsidRPr="00286147" w:rsidRDefault="001A2765" w:rsidP="00286147">
      <w:pPr>
        <w:numPr>
          <w:ilvl w:val="0"/>
          <w:numId w:val="1"/>
        </w:numPr>
        <w:spacing w:after="160" w:line="360" w:lineRule="auto"/>
        <w:jc w:val="both"/>
        <w:rPr>
          <w:rFonts w:ascii="Arial" w:hAnsi="Arial" w:cs="Arial"/>
          <w:sz w:val="24"/>
          <w:szCs w:val="24"/>
        </w:rPr>
      </w:pPr>
      <w:r w:rsidRPr="00286147">
        <w:rPr>
          <w:rFonts w:ascii="Arial" w:hAnsi="Arial" w:cs="Arial"/>
          <w:sz w:val="24"/>
          <w:szCs w:val="24"/>
        </w:rPr>
        <w:lastRenderedPageBreak/>
        <w:t xml:space="preserve">Crane, A. (2000) 'Corporate greening as </w:t>
      </w:r>
      <w:proofErr w:type="spellStart"/>
      <w:r w:rsidRPr="00286147">
        <w:rPr>
          <w:rFonts w:ascii="Arial" w:hAnsi="Arial" w:cs="Arial"/>
          <w:sz w:val="24"/>
          <w:szCs w:val="24"/>
        </w:rPr>
        <w:t>amoralization</w:t>
      </w:r>
      <w:proofErr w:type="spellEnd"/>
      <w:r w:rsidRPr="00286147">
        <w:rPr>
          <w:rFonts w:ascii="Arial" w:hAnsi="Arial" w:cs="Arial"/>
          <w:sz w:val="24"/>
          <w:szCs w:val="24"/>
        </w:rPr>
        <w:t xml:space="preserve">', </w:t>
      </w:r>
      <w:r w:rsidRPr="00286147">
        <w:rPr>
          <w:rFonts w:ascii="Arial" w:hAnsi="Arial" w:cs="Arial"/>
          <w:i/>
          <w:iCs/>
          <w:sz w:val="24"/>
          <w:szCs w:val="24"/>
        </w:rPr>
        <w:t>Organization Studies</w:t>
      </w:r>
      <w:r w:rsidRPr="00286147">
        <w:rPr>
          <w:rFonts w:ascii="Arial" w:hAnsi="Arial" w:cs="Arial"/>
          <w:sz w:val="24"/>
          <w:szCs w:val="24"/>
        </w:rPr>
        <w:t>, 21(4), pp. 673-696.</w:t>
      </w:r>
    </w:p>
    <w:p w14:paraId="13BA1551" w14:textId="77777777" w:rsidR="001A2765" w:rsidRPr="00286147" w:rsidRDefault="001A2765" w:rsidP="00286147">
      <w:pPr>
        <w:numPr>
          <w:ilvl w:val="0"/>
          <w:numId w:val="1"/>
        </w:numPr>
        <w:spacing w:after="160" w:line="360" w:lineRule="auto"/>
        <w:jc w:val="both"/>
        <w:rPr>
          <w:rFonts w:ascii="Arial" w:hAnsi="Arial" w:cs="Arial"/>
          <w:sz w:val="24"/>
          <w:szCs w:val="24"/>
        </w:rPr>
      </w:pPr>
      <w:r w:rsidRPr="00286147">
        <w:rPr>
          <w:rFonts w:ascii="Arial" w:hAnsi="Arial" w:cs="Arial"/>
          <w:sz w:val="24"/>
          <w:szCs w:val="24"/>
        </w:rPr>
        <w:t>Davies, I.A., Lee, Z., &amp;</w:t>
      </w:r>
      <w:proofErr w:type="spellStart"/>
      <w:r w:rsidRPr="00286147">
        <w:rPr>
          <w:rFonts w:ascii="Arial" w:hAnsi="Arial" w:cs="Arial"/>
          <w:sz w:val="24"/>
          <w:szCs w:val="24"/>
        </w:rPr>
        <w:t>Ahonkhai</w:t>
      </w:r>
      <w:proofErr w:type="spellEnd"/>
      <w:r w:rsidRPr="00286147">
        <w:rPr>
          <w:rFonts w:ascii="Arial" w:hAnsi="Arial" w:cs="Arial"/>
          <w:sz w:val="24"/>
          <w:szCs w:val="24"/>
        </w:rPr>
        <w:t xml:space="preserve">, I. (2012) 'Do consumers care about ethical-luxury?', </w:t>
      </w:r>
      <w:r w:rsidRPr="00286147">
        <w:rPr>
          <w:rFonts w:ascii="Arial" w:hAnsi="Arial" w:cs="Arial"/>
          <w:i/>
          <w:iCs/>
          <w:sz w:val="24"/>
          <w:szCs w:val="24"/>
        </w:rPr>
        <w:t>Journal of Business Ethics</w:t>
      </w:r>
      <w:r w:rsidRPr="00286147">
        <w:rPr>
          <w:rFonts w:ascii="Arial" w:hAnsi="Arial" w:cs="Arial"/>
          <w:sz w:val="24"/>
          <w:szCs w:val="24"/>
        </w:rPr>
        <w:t>, 106(1), pp. 37-51.</w:t>
      </w:r>
    </w:p>
    <w:p w14:paraId="64D07F8B" w14:textId="77777777" w:rsidR="001A2765" w:rsidRPr="00286147" w:rsidRDefault="001A2765" w:rsidP="00286147">
      <w:pPr>
        <w:numPr>
          <w:ilvl w:val="0"/>
          <w:numId w:val="1"/>
        </w:numPr>
        <w:spacing w:after="160" w:line="360" w:lineRule="auto"/>
        <w:jc w:val="both"/>
        <w:rPr>
          <w:rFonts w:ascii="Arial" w:hAnsi="Arial" w:cs="Arial"/>
          <w:sz w:val="24"/>
          <w:szCs w:val="24"/>
        </w:rPr>
      </w:pPr>
      <w:r w:rsidRPr="00286147">
        <w:rPr>
          <w:rFonts w:ascii="Arial" w:hAnsi="Arial" w:cs="Arial"/>
          <w:sz w:val="24"/>
          <w:szCs w:val="24"/>
        </w:rPr>
        <w:t xml:space="preserve">Dyson, R.G. (2004) 'Strategic development and SWOT analysis at the University of Warwick', </w:t>
      </w:r>
      <w:r w:rsidRPr="00286147">
        <w:rPr>
          <w:rFonts w:ascii="Arial" w:hAnsi="Arial" w:cs="Arial"/>
          <w:i/>
          <w:iCs/>
          <w:sz w:val="24"/>
          <w:szCs w:val="24"/>
        </w:rPr>
        <w:t>European Journal of Operational Research</w:t>
      </w:r>
      <w:r w:rsidRPr="00286147">
        <w:rPr>
          <w:rFonts w:ascii="Arial" w:hAnsi="Arial" w:cs="Arial"/>
          <w:sz w:val="24"/>
          <w:szCs w:val="24"/>
        </w:rPr>
        <w:t>, 152(3), pp. 631-640.</w:t>
      </w:r>
    </w:p>
    <w:p w14:paraId="2DB9DD66" w14:textId="77777777" w:rsidR="001A2765" w:rsidRPr="00286147" w:rsidRDefault="001A2765" w:rsidP="00286147">
      <w:pPr>
        <w:numPr>
          <w:ilvl w:val="0"/>
          <w:numId w:val="1"/>
        </w:numPr>
        <w:spacing w:after="160" w:line="360" w:lineRule="auto"/>
        <w:jc w:val="both"/>
        <w:rPr>
          <w:rFonts w:ascii="Arial" w:hAnsi="Arial" w:cs="Arial"/>
          <w:sz w:val="24"/>
          <w:szCs w:val="24"/>
        </w:rPr>
      </w:pPr>
      <w:r w:rsidRPr="00286147">
        <w:rPr>
          <w:rFonts w:ascii="Arial" w:hAnsi="Arial" w:cs="Arial"/>
          <w:sz w:val="24"/>
          <w:szCs w:val="24"/>
        </w:rPr>
        <w:t xml:space="preserve">Elkington, J. (1997) </w:t>
      </w:r>
      <w:r w:rsidRPr="00286147">
        <w:rPr>
          <w:rFonts w:ascii="Arial" w:hAnsi="Arial" w:cs="Arial"/>
          <w:i/>
          <w:iCs/>
          <w:sz w:val="24"/>
          <w:szCs w:val="24"/>
        </w:rPr>
        <w:t>Cannibals with Forks: The Triple Bottom Line of 21st Century Business</w:t>
      </w:r>
      <w:r w:rsidRPr="00286147">
        <w:rPr>
          <w:rFonts w:ascii="Arial" w:hAnsi="Arial" w:cs="Arial"/>
          <w:sz w:val="24"/>
          <w:szCs w:val="24"/>
        </w:rPr>
        <w:t>. Oxford: Capstone Publishing.</w:t>
      </w:r>
    </w:p>
    <w:p w14:paraId="4E6F6D18" w14:textId="77777777" w:rsidR="001A2765" w:rsidRPr="00286147" w:rsidRDefault="001A2765" w:rsidP="00286147">
      <w:pPr>
        <w:numPr>
          <w:ilvl w:val="0"/>
          <w:numId w:val="1"/>
        </w:numPr>
        <w:spacing w:after="160" w:line="360" w:lineRule="auto"/>
        <w:jc w:val="both"/>
        <w:rPr>
          <w:rFonts w:ascii="Arial" w:hAnsi="Arial" w:cs="Arial"/>
          <w:sz w:val="24"/>
          <w:szCs w:val="24"/>
        </w:rPr>
      </w:pPr>
      <w:r w:rsidRPr="00286147">
        <w:rPr>
          <w:rFonts w:ascii="Arial" w:hAnsi="Arial" w:cs="Arial"/>
          <w:sz w:val="24"/>
          <w:szCs w:val="24"/>
        </w:rPr>
        <w:t xml:space="preserve">Epstein, M.J. (2018) </w:t>
      </w:r>
      <w:r w:rsidRPr="00286147">
        <w:rPr>
          <w:rFonts w:ascii="Arial" w:hAnsi="Arial" w:cs="Arial"/>
          <w:i/>
          <w:iCs/>
          <w:sz w:val="24"/>
          <w:szCs w:val="24"/>
        </w:rPr>
        <w:t>Making Sustainability Work: Best Practices in Managing and Measuring Corporate Social, Environmental and Economic Impacts</w:t>
      </w:r>
      <w:r w:rsidRPr="00286147">
        <w:rPr>
          <w:rFonts w:ascii="Arial" w:hAnsi="Arial" w:cs="Arial"/>
          <w:sz w:val="24"/>
          <w:szCs w:val="24"/>
        </w:rPr>
        <w:t xml:space="preserve">. 2nd </w:t>
      </w:r>
      <w:proofErr w:type="spellStart"/>
      <w:r w:rsidRPr="00286147">
        <w:rPr>
          <w:rFonts w:ascii="Arial" w:hAnsi="Arial" w:cs="Arial"/>
          <w:sz w:val="24"/>
          <w:szCs w:val="24"/>
        </w:rPr>
        <w:t>edn</w:t>
      </w:r>
      <w:proofErr w:type="spellEnd"/>
      <w:r w:rsidRPr="00286147">
        <w:rPr>
          <w:rFonts w:ascii="Arial" w:hAnsi="Arial" w:cs="Arial"/>
          <w:sz w:val="24"/>
          <w:szCs w:val="24"/>
        </w:rPr>
        <w:t>. Abingdon: Routledge.</w:t>
      </w:r>
    </w:p>
    <w:p w14:paraId="23B8FFCC" w14:textId="77777777" w:rsidR="001A2765" w:rsidRPr="00286147" w:rsidRDefault="001A2765" w:rsidP="00286147">
      <w:pPr>
        <w:numPr>
          <w:ilvl w:val="0"/>
          <w:numId w:val="1"/>
        </w:numPr>
        <w:spacing w:after="160" w:line="360" w:lineRule="auto"/>
        <w:jc w:val="both"/>
        <w:rPr>
          <w:rFonts w:ascii="Arial" w:hAnsi="Arial" w:cs="Arial"/>
          <w:sz w:val="24"/>
          <w:szCs w:val="24"/>
        </w:rPr>
      </w:pPr>
      <w:r w:rsidRPr="00286147">
        <w:rPr>
          <w:rFonts w:ascii="Arial" w:hAnsi="Arial" w:cs="Arial"/>
          <w:sz w:val="24"/>
          <w:szCs w:val="24"/>
        </w:rPr>
        <w:t xml:space="preserve">Fuller, D.A. (2016) </w:t>
      </w:r>
      <w:r w:rsidRPr="00286147">
        <w:rPr>
          <w:rFonts w:ascii="Arial" w:hAnsi="Arial" w:cs="Arial"/>
          <w:i/>
          <w:iCs/>
          <w:sz w:val="24"/>
          <w:szCs w:val="24"/>
        </w:rPr>
        <w:t>Sustainable Marketing</w:t>
      </w:r>
      <w:r w:rsidRPr="00286147">
        <w:rPr>
          <w:rFonts w:ascii="Arial" w:hAnsi="Arial" w:cs="Arial"/>
          <w:sz w:val="24"/>
          <w:szCs w:val="24"/>
        </w:rPr>
        <w:t>. Thousand Oaks, CA: Sage Publications.</w:t>
      </w:r>
    </w:p>
    <w:p w14:paraId="0B39F2EE" w14:textId="77777777" w:rsidR="001A2765" w:rsidRPr="00286147" w:rsidRDefault="001A2765" w:rsidP="00286147">
      <w:pPr>
        <w:numPr>
          <w:ilvl w:val="0"/>
          <w:numId w:val="1"/>
        </w:numPr>
        <w:spacing w:after="160" w:line="360" w:lineRule="auto"/>
        <w:jc w:val="both"/>
        <w:rPr>
          <w:rFonts w:ascii="Arial" w:hAnsi="Arial" w:cs="Arial"/>
          <w:sz w:val="24"/>
          <w:szCs w:val="24"/>
        </w:rPr>
      </w:pPr>
      <w:r w:rsidRPr="00286147">
        <w:rPr>
          <w:rFonts w:ascii="Arial" w:hAnsi="Arial" w:cs="Arial"/>
          <w:sz w:val="24"/>
          <w:szCs w:val="24"/>
        </w:rPr>
        <w:t xml:space="preserve">Garnett, T. (2011) 'Where are the best opportunities for reducing greenhouse gas emissions in the food system (including the food chain)?', </w:t>
      </w:r>
      <w:r w:rsidRPr="00286147">
        <w:rPr>
          <w:rFonts w:ascii="Arial" w:hAnsi="Arial" w:cs="Arial"/>
          <w:i/>
          <w:iCs/>
          <w:sz w:val="24"/>
          <w:szCs w:val="24"/>
        </w:rPr>
        <w:t>Food Policy</w:t>
      </w:r>
      <w:r w:rsidRPr="00286147">
        <w:rPr>
          <w:rFonts w:ascii="Arial" w:hAnsi="Arial" w:cs="Arial"/>
          <w:sz w:val="24"/>
          <w:szCs w:val="24"/>
        </w:rPr>
        <w:t>, 36(S1), pp. S23-S32.</w:t>
      </w:r>
    </w:p>
    <w:p w14:paraId="49294251" w14:textId="77777777" w:rsidR="001A2765" w:rsidRPr="00286147" w:rsidRDefault="001A2765" w:rsidP="00286147">
      <w:pPr>
        <w:numPr>
          <w:ilvl w:val="0"/>
          <w:numId w:val="1"/>
        </w:numPr>
        <w:spacing w:after="160" w:line="360" w:lineRule="auto"/>
        <w:jc w:val="both"/>
        <w:rPr>
          <w:rFonts w:ascii="Arial" w:hAnsi="Arial" w:cs="Arial"/>
          <w:sz w:val="24"/>
          <w:szCs w:val="24"/>
        </w:rPr>
      </w:pPr>
      <w:r w:rsidRPr="00286147">
        <w:rPr>
          <w:rFonts w:ascii="Arial" w:hAnsi="Arial" w:cs="Arial"/>
          <w:sz w:val="24"/>
          <w:szCs w:val="24"/>
        </w:rPr>
        <w:t xml:space="preserve">Gladwin, T.N., Kennelly, J.J., &amp; Krause, T.S. (1995) 'Shifting paradigms for sustainable development: Implications for management theory and research', </w:t>
      </w:r>
      <w:r w:rsidRPr="00286147">
        <w:rPr>
          <w:rFonts w:ascii="Arial" w:hAnsi="Arial" w:cs="Arial"/>
          <w:i/>
          <w:iCs/>
          <w:sz w:val="24"/>
          <w:szCs w:val="24"/>
        </w:rPr>
        <w:t>Academy of Management Review</w:t>
      </w:r>
      <w:r w:rsidRPr="00286147">
        <w:rPr>
          <w:rFonts w:ascii="Arial" w:hAnsi="Arial" w:cs="Arial"/>
          <w:sz w:val="24"/>
          <w:szCs w:val="24"/>
        </w:rPr>
        <w:t>, 20(4), pp. 874-907.</w:t>
      </w:r>
    </w:p>
    <w:p w14:paraId="4EE1FD8F" w14:textId="77777777" w:rsidR="001A2765" w:rsidRPr="00286147" w:rsidRDefault="001A2765" w:rsidP="00286147">
      <w:pPr>
        <w:numPr>
          <w:ilvl w:val="0"/>
          <w:numId w:val="1"/>
        </w:numPr>
        <w:spacing w:after="160" w:line="360" w:lineRule="auto"/>
        <w:jc w:val="both"/>
        <w:rPr>
          <w:rFonts w:ascii="Arial" w:hAnsi="Arial" w:cs="Arial"/>
          <w:sz w:val="24"/>
          <w:szCs w:val="24"/>
        </w:rPr>
      </w:pPr>
      <w:r w:rsidRPr="00286147">
        <w:rPr>
          <w:rFonts w:ascii="Arial" w:hAnsi="Arial" w:cs="Arial"/>
          <w:sz w:val="24"/>
          <w:szCs w:val="24"/>
        </w:rPr>
        <w:t xml:space="preserve">Gleneagles (2025) </w:t>
      </w:r>
      <w:r w:rsidRPr="00286147">
        <w:rPr>
          <w:rFonts w:ascii="Arial" w:hAnsi="Arial" w:cs="Arial"/>
          <w:i/>
          <w:iCs/>
          <w:sz w:val="24"/>
          <w:szCs w:val="24"/>
        </w:rPr>
        <w:t>Our Story: A Glorious Playground</w:t>
      </w:r>
      <w:r w:rsidRPr="00286147">
        <w:rPr>
          <w:rFonts w:ascii="Arial" w:hAnsi="Arial" w:cs="Arial"/>
          <w:sz w:val="24"/>
          <w:szCs w:val="24"/>
        </w:rPr>
        <w:t>. Available at: [fictional URL for citation purpose].</w:t>
      </w:r>
    </w:p>
    <w:p w14:paraId="4EC93283" w14:textId="77777777" w:rsidR="001A2765" w:rsidRPr="00286147" w:rsidRDefault="001A2765" w:rsidP="00286147">
      <w:pPr>
        <w:numPr>
          <w:ilvl w:val="0"/>
          <w:numId w:val="1"/>
        </w:numPr>
        <w:spacing w:after="160" w:line="360" w:lineRule="auto"/>
        <w:jc w:val="both"/>
        <w:rPr>
          <w:rFonts w:ascii="Arial" w:hAnsi="Arial" w:cs="Arial"/>
          <w:sz w:val="24"/>
          <w:szCs w:val="24"/>
        </w:rPr>
      </w:pPr>
      <w:r w:rsidRPr="00286147">
        <w:rPr>
          <w:rFonts w:ascii="Arial" w:hAnsi="Arial" w:cs="Arial"/>
          <w:sz w:val="24"/>
          <w:szCs w:val="24"/>
        </w:rPr>
        <w:t xml:space="preserve">Graci, S., &amp; Dodds, R. (2010) </w:t>
      </w:r>
      <w:r w:rsidRPr="00286147">
        <w:rPr>
          <w:rFonts w:ascii="Arial" w:hAnsi="Arial" w:cs="Arial"/>
          <w:i/>
          <w:iCs/>
          <w:sz w:val="24"/>
          <w:szCs w:val="24"/>
        </w:rPr>
        <w:t>Sustainable Tourism in Island Destinations</w:t>
      </w:r>
      <w:r w:rsidRPr="00286147">
        <w:rPr>
          <w:rFonts w:ascii="Arial" w:hAnsi="Arial" w:cs="Arial"/>
          <w:sz w:val="24"/>
          <w:szCs w:val="24"/>
        </w:rPr>
        <w:t>. Abingdon: Routledge.</w:t>
      </w:r>
    </w:p>
    <w:p w14:paraId="17A3A415" w14:textId="77777777" w:rsidR="001A2765" w:rsidRPr="00286147" w:rsidRDefault="001A2765" w:rsidP="00286147">
      <w:pPr>
        <w:numPr>
          <w:ilvl w:val="0"/>
          <w:numId w:val="1"/>
        </w:numPr>
        <w:spacing w:after="160" w:line="360" w:lineRule="auto"/>
        <w:jc w:val="both"/>
        <w:rPr>
          <w:rFonts w:ascii="Arial" w:hAnsi="Arial" w:cs="Arial"/>
          <w:sz w:val="24"/>
          <w:szCs w:val="24"/>
        </w:rPr>
      </w:pPr>
      <w:r w:rsidRPr="00286147">
        <w:rPr>
          <w:rFonts w:ascii="Arial" w:hAnsi="Arial" w:cs="Arial"/>
          <w:sz w:val="24"/>
          <w:szCs w:val="24"/>
        </w:rPr>
        <w:t xml:space="preserve">Han, H. (2021) 'Consumer behavior and environmental sustainability in tourism and hospitality: A review of theories, concepts, and latest research', </w:t>
      </w:r>
      <w:r w:rsidRPr="00286147">
        <w:rPr>
          <w:rFonts w:ascii="Arial" w:hAnsi="Arial" w:cs="Arial"/>
          <w:i/>
          <w:iCs/>
          <w:sz w:val="24"/>
          <w:szCs w:val="24"/>
        </w:rPr>
        <w:t>Journal of Sustainable Tourism</w:t>
      </w:r>
      <w:r w:rsidRPr="00286147">
        <w:rPr>
          <w:rFonts w:ascii="Arial" w:hAnsi="Arial" w:cs="Arial"/>
          <w:sz w:val="24"/>
          <w:szCs w:val="24"/>
        </w:rPr>
        <w:t>, 29(7), pp. 1021-1042.</w:t>
      </w:r>
    </w:p>
    <w:p w14:paraId="7BDA80F5" w14:textId="77777777" w:rsidR="001A2765" w:rsidRPr="00286147" w:rsidRDefault="001A2765" w:rsidP="00286147">
      <w:pPr>
        <w:numPr>
          <w:ilvl w:val="0"/>
          <w:numId w:val="1"/>
        </w:numPr>
        <w:spacing w:after="160" w:line="360" w:lineRule="auto"/>
        <w:jc w:val="both"/>
        <w:rPr>
          <w:rFonts w:ascii="Arial" w:hAnsi="Arial" w:cs="Arial"/>
          <w:sz w:val="24"/>
          <w:szCs w:val="24"/>
        </w:rPr>
      </w:pPr>
      <w:r w:rsidRPr="00286147">
        <w:rPr>
          <w:rFonts w:ascii="Arial" w:hAnsi="Arial" w:cs="Arial"/>
          <w:sz w:val="24"/>
          <w:szCs w:val="24"/>
        </w:rPr>
        <w:lastRenderedPageBreak/>
        <w:t xml:space="preserve">Hart, S.L. (1995) 'A natural-resource-based view of the firm', </w:t>
      </w:r>
      <w:r w:rsidRPr="00286147">
        <w:rPr>
          <w:rFonts w:ascii="Arial" w:hAnsi="Arial" w:cs="Arial"/>
          <w:i/>
          <w:iCs/>
          <w:sz w:val="24"/>
          <w:szCs w:val="24"/>
        </w:rPr>
        <w:t>Academy of Management Review</w:t>
      </w:r>
      <w:r w:rsidRPr="00286147">
        <w:rPr>
          <w:rFonts w:ascii="Arial" w:hAnsi="Arial" w:cs="Arial"/>
          <w:sz w:val="24"/>
          <w:szCs w:val="24"/>
        </w:rPr>
        <w:t>, 20(4), pp. 986-1014.</w:t>
      </w:r>
    </w:p>
    <w:p w14:paraId="08923436" w14:textId="77777777" w:rsidR="001A2765" w:rsidRPr="00286147" w:rsidRDefault="001A2765" w:rsidP="00286147">
      <w:pPr>
        <w:numPr>
          <w:ilvl w:val="0"/>
          <w:numId w:val="1"/>
        </w:numPr>
        <w:spacing w:after="160" w:line="360" w:lineRule="auto"/>
        <w:jc w:val="both"/>
        <w:rPr>
          <w:rFonts w:ascii="Arial" w:hAnsi="Arial" w:cs="Arial"/>
          <w:sz w:val="24"/>
          <w:szCs w:val="24"/>
        </w:rPr>
      </w:pPr>
      <w:r w:rsidRPr="00286147">
        <w:rPr>
          <w:rFonts w:ascii="Arial" w:hAnsi="Arial" w:cs="Arial"/>
          <w:sz w:val="24"/>
          <w:szCs w:val="24"/>
        </w:rPr>
        <w:t xml:space="preserve">Hart, S.L. &amp; Milstein, M.B. (2003) 'Creating sustainable value', </w:t>
      </w:r>
      <w:r w:rsidRPr="00286147">
        <w:rPr>
          <w:rFonts w:ascii="Arial" w:hAnsi="Arial" w:cs="Arial"/>
          <w:i/>
          <w:iCs/>
          <w:sz w:val="24"/>
          <w:szCs w:val="24"/>
        </w:rPr>
        <w:t>Academy of Management Perspectives</w:t>
      </w:r>
      <w:r w:rsidRPr="00286147">
        <w:rPr>
          <w:rFonts w:ascii="Arial" w:hAnsi="Arial" w:cs="Arial"/>
          <w:sz w:val="24"/>
          <w:szCs w:val="24"/>
        </w:rPr>
        <w:t>, 17(2), pp. 56-67.</w:t>
      </w:r>
    </w:p>
    <w:p w14:paraId="6BE9C32C" w14:textId="77777777" w:rsidR="001A2765" w:rsidRPr="00286147" w:rsidRDefault="001A2765" w:rsidP="00286147">
      <w:pPr>
        <w:numPr>
          <w:ilvl w:val="0"/>
          <w:numId w:val="1"/>
        </w:numPr>
        <w:spacing w:after="160" w:line="360" w:lineRule="auto"/>
        <w:jc w:val="both"/>
        <w:rPr>
          <w:rFonts w:ascii="Arial" w:hAnsi="Arial" w:cs="Arial"/>
          <w:sz w:val="24"/>
          <w:szCs w:val="24"/>
        </w:rPr>
      </w:pPr>
      <w:r w:rsidRPr="00286147">
        <w:rPr>
          <w:rFonts w:ascii="Arial" w:hAnsi="Arial" w:cs="Arial"/>
          <w:sz w:val="24"/>
          <w:szCs w:val="24"/>
        </w:rPr>
        <w:t xml:space="preserve">Heifetz, R.A., </w:t>
      </w:r>
      <w:proofErr w:type="spellStart"/>
      <w:r w:rsidRPr="00286147">
        <w:rPr>
          <w:rFonts w:ascii="Arial" w:hAnsi="Arial" w:cs="Arial"/>
          <w:sz w:val="24"/>
          <w:szCs w:val="24"/>
        </w:rPr>
        <w:t>Grashow</w:t>
      </w:r>
      <w:proofErr w:type="spellEnd"/>
      <w:r w:rsidRPr="00286147">
        <w:rPr>
          <w:rFonts w:ascii="Arial" w:hAnsi="Arial" w:cs="Arial"/>
          <w:sz w:val="24"/>
          <w:szCs w:val="24"/>
        </w:rPr>
        <w:t xml:space="preserve">, A., &amp; Linsky, M. (2009) </w:t>
      </w:r>
      <w:r w:rsidRPr="00286147">
        <w:rPr>
          <w:rFonts w:ascii="Arial" w:hAnsi="Arial" w:cs="Arial"/>
          <w:i/>
          <w:iCs/>
          <w:sz w:val="24"/>
          <w:szCs w:val="24"/>
        </w:rPr>
        <w:t>The Practice of Adaptive Leadership: Tools and Tactics for Changing Your Organization and the World</w:t>
      </w:r>
      <w:r w:rsidRPr="00286147">
        <w:rPr>
          <w:rFonts w:ascii="Arial" w:hAnsi="Arial" w:cs="Arial"/>
          <w:sz w:val="24"/>
          <w:szCs w:val="24"/>
        </w:rPr>
        <w:t>. Boston, MA: Harvard Business Press.</w:t>
      </w:r>
    </w:p>
    <w:p w14:paraId="01F15ABC" w14:textId="77777777" w:rsidR="001A2765" w:rsidRPr="00286147" w:rsidRDefault="001A2765" w:rsidP="00286147">
      <w:pPr>
        <w:numPr>
          <w:ilvl w:val="0"/>
          <w:numId w:val="1"/>
        </w:numPr>
        <w:spacing w:after="160" w:line="360" w:lineRule="auto"/>
        <w:jc w:val="both"/>
        <w:rPr>
          <w:rFonts w:ascii="Arial" w:hAnsi="Arial" w:cs="Arial"/>
          <w:sz w:val="24"/>
          <w:szCs w:val="24"/>
        </w:rPr>
      </w:pPr>
      <w:r w:rsidRPr="00286147">
        <w:rPr>
          <w:rFonts w:ascii="Arial" w:hAnsi="Arial" w:cs="Arial"/>
          <w:sz w:val="24"/>
          <w:szCs w:val="24"/>
        </w:rPr>
        <w:t xml:space="preserve">Hess, D. (2019) 'The transparency trap: The realities of the relationship between disclosure and corporate social responsibility', in </w:t>
      </w:r>
      <w:r w:rsidRPr="00286147">
        <w:rPr>
          <w:rFonts w:ascii="Arial" w:hAnsi="Arial" w:cs="Arial"/>
          <w:i/>
          <w:iCs/>
          <w:sz w:val="24"/>
          <w:szCs w:val="24"/>
        </w:rPr>
        <w:t>The Cambridge Handbook of Corporate Law, Corporate Governance and Sustainability</w:t>
      </w:r>
      <w:r w:rsidRPr="00286147">
        <w:rPr>
          <w:rFonts w:ascii="Arial" w:hAnsi="Arial" w:cs="Arial"/>
          <w:sz w:val="24"/>
          <w:szCs w:val="24"/>
        </w:rPr>
        <w:t>. Cambridge: Cambridge University Press, pp. 453-466.</w:t>
      </w:r>
    </w:p>
    <w:p w14:paraId="23329991" w14:textId="77777777" w:rsidR="001A2765" w:rsidRPr="00286147" w:rsidRDefault="001A2765" w:rsidP="00286147">
      <w:pPr>
        <w:numPr>
          <w:ilvl w:val="0"/>
          <w:numId w:val="1"/>
        </w:numPr>
        <w:spacing w:after="160" w:line="360" w:lineRule="auto"/>
        <w:jc w:val="both"/>
        <w:rPr>
          <w:rFonts w:ascii="Arial" w:hAnsi="Arial" w:cs="Arial"/>
          <w:sz w:val="24"/>
          <w:szCs w:val="24"/>
        </w:rPr>
      </w:pPr>
      <w:r w:rsidRPr="00286147">
        <w:rPr>
          <w:rFonts w:ascii="Arial" w:hAnsi="Arial" w:cs="Arial"/>
          <w:sz w:val="24"/>
          <w:szCs w:val="24"/>
        </w:rPr>
        <w:t>Higgins-</w:t>
      </w:r>
      <w:proofErr w:type="spellStart"/>
      <w:r w:rsidRPr="00286147">
        <w:rPr>
          <w:rFonts w:ascii="Arial" w:hAnsi="Arial" w:cs="Arial"/>
          <w:sz w:val="24"/>
          <w:szCs w:val="24"/>
        </w:rPr>
        <w:t>Desbiolles</w:t>
      </w:r>
      <w:proofErr w:type="spellEnd"/>
      <w:r w:rsidRPr="00286147">
        <w:rPr>
          <w:rFonts w:ascii="Arial" w:hAnsi="Arial" w:cs="Arial"/>
          <w:sz w:val="24"/>
          <w:szCs w:val="24"/>
        </w:rPr>
        <w:t xml:space="preserve">, F. (2018) 'Sustainable tourism: Sustaining tourism or something more?', </w:t>
      </w:r>
      <w:r w:rsidRPr="00286147">
        <w:rPr>
          <w:rFonts w:ascii="Arial" w:hAnsi="Arial" w:cs="Arial"/>
          <w:i/>
          <w:iCs/>
          <w:sz w:val="24"/>
          <w:szCs w:val="24"/>
        </w:rPr>
        <w:t>Tourism Management Perspectives</w:t>
      </w:r>
      <w:r w:rsidRPr="00286147">
        <w:rPr>
          <w:rFonts w:ascii="Arial" w:hAnsi="Arial" w:cs="Arial"/>
          <w:sz w:val="24"/>
          <w:szCs w:val="24"/>
        </w:rPr>
        <w:t>, 25, pp. 157-160.</w:t>
      </w:r>
    </w:p>
    <w:p w14:paraId="673A1D27" w14:textId="77777777" w:rsidR="001A2765" w:rsidRPr="00286147" w:rsidRDefault="001A2765" w:rsidP="00286147">
      <w:pPr>
        <w:numPr>
          <w:ilvl w:val="0"/>
          <w:numId w:val="1"/>
        </w:numPr>
        <w:spacing w:after="160" w:line="360" w:lineRule="auto"/>
        <w:jc w:val="both"/>
        <w:rPr>
          <w:rFonts w:ascii="Arial" w:hAnsi="Arial" w:cs="Arial"/>
          <w:sz w:val="24"/>
          <w:szCs w:val="24"/>
        </w:rPr>
      </w:pPr>
      <w:r w:rsidRPr="00286147">
        <w:rPr>
          <w:rFonts w:ascii="Arial" w:hAnsi="Arial" w:cs="Arial"/>
          <w:sz w:val="24"/>
          <w:szCs w:val="24"/>
        </w:rPr>
        <w:t xml:space="preserve">Hollender, J., &amp; Bice, S. (2011) </w:t>
      </w:r>
      <w:r w:rsidRPr="00286147">
        <w:rPr>
          <w:rFonts w:ascii="Arial" w:hAnsi="Arial" w:cs="Arial"/>
          <w:i/>
          <w:iCs/>
          <w:sz w:val="24"/>
          <w:szCs w:val="24"/>
        </w:rPr>
        <w:t>The Responsibility Revolution: How the Next Generation of Businesses Will Win</w:t>
      </w:r>
      <w:r w:rsidRPr="00286147">
        <w:rPr>
          <w:rFonts w:ascii="Arial" w:hAnsi="Arial" w:cs="Arial"/>
          <w:sz w:val="24"/>
          <w:szCs w:val="24"/>
        </w:rPr>
        <w:t>. San Francisco, CA: Jossey-Bass.</w:t>
      </w:r>
    </w:p>
    <w:p w14:paraId="3B7D4AF8" w14:textId="77777777" w:rsidR="001A2765" w:rsidRPr="00286147" w:rsidRDefault="001A2765" w:rsidP="00286147">
      <w:pPr>
        <w:numPr>
          <w:ilvl w:val="0"/>
          <w:numId w:val="1"/>
        </w:numPr>
        <w:spacing w:after="160" w:line="360" w:lineRule="auto"/>
        <w:jc w:val="both"/>
        <w:rPr>
          <w:rFonts w:ascii="Arial" w:hAnsi="Arial" w:cs="Arial"/>
          <w:sz w:val="24"/>
          <w:szCs w:val="24"/>
        </w:rPr>
      </w:pPr>
      <w:r w:rsidRPr="00286147">
        <w:rPr>
          <w:rFonts w:ascii="Arial" w:hAnsi="Arial" w:cs="Arial"/>
          <w:sz w:val="24"/>
          <w:szCs w:val="24"/>
        </w:rPr>
        <w:t xml:space="preserve">Holt, D.B. (2004) </w:t>
      </w:r>
      <w:r w:rsidRPr="00286147">
        <w:rPr>
          <w:rFonts w:ascii="Arial" w:hAnsi="Arial" w:cs="Arial"/>
          <w:i/>
          <w:iCs/>
          <w:sz w:val="24"/>
          <w:szCs w:val="24"/>
        </w:rPr>
        <w:t>How Brands Become Icons: The Principles of Cultural Branding</w:t>
      </w:r>
      <w:r w:rsidRPr="00286147">
        <w:rPr>
          <w:rFonts w:ascii="Arial" w:hAnsi="Arial" w:cs="Arial"/>
          <w:sz w:val="24"/>
          <w:szCs w:val="24"/>
        </w:rPr>
        <w:t>. Boston, MA: Harvard Business School Press.</w:t>
      </w:r>
    </w:p>
    <w:p w14:paraId="50B1D1DA" w14:textId="77777777" w:rsidR="001A2765" w:rsidRPr="00286147" w:rsidRDefault="001A2765" w:rsidP="00286147">
      <w:pPr>
        <w:numPr>
          <w:ilvl w:val="0"/>
          <w:numId w:val="1"/>
        </w:numPr>
        <w:spacing w:after="160" w:line="360" w:lineRule="auto"/>
        <w:jc w:val="both"/>
        <w:rPr>
          <w:rFonts w:ascii="Arial" w:hAnsi="Arial" w:cs="Arial"/>
          <w:sz w:val="24"/>
          <w:szCs w:val="24"/>
        </w:rPr>
      </w:pPr>
      <w:r w:rsidRPr="00286147">
        <w:rPr>
          <w:rFonts w:ascii="Arial" w:hAnsi="Arial" w:cs="Arial"/>
          <w:sz w:val="24"/>
          <w:szCs w:val="24"/>
        </w:rPr>
        <w:t>Horbach, J., Rammer, C., &amp;</w:t>
      </w:r>
      <w:proofErr w:type="spellStart"/>
      <w:r w:rsidRPr="00286147">
        <w:rPr>
          <w:rFonts w:ascii="Arial" w:hAnsi="Arial" w:cs="Arial"/>
          <w:sz w:val="24"/>
          <w:szCs w:val="24"/>
        </w:rPr>
        <w:t>Rennings</w:t>
      </w:r>
      <w:proofErr w:type="spellEnd"/>
      <w:r w:rsidRPr="00286147">
        <w:rPr>
          <w:rFonts w:ascii="Arial" w:hAnsi="Arial" w:cs="Arial"/>
          <w:sz w:val="24"/>
          <w:szCs w:val="24"/>
        </w:rPr>
        <w:t xml:space="preserve">, K. (2012) 'Determinants of eco-innovations by type of environmental impact—The role of regulatory push/pull, technology push and market pull', </w:t>
      </w:r>
      <w:r w:rsidRPr="00286147">
        <w:rPr>
          <w:rFonts w:ascii="Arial" w:hAnsi="Arial" w:cs="Arial"/>
          <w:i/>
          <w:iCs/>
          <w:sz w:val="24"/>
          <w:szCs w:val="24"/>
        </w:rPr>
        <w:t>Ecological Economics</w:t>
      </w:r>
      <w:r w:rsidRPr="00286147">
        <w:rPr>
          <w:rFonts w:ascii="Arial" w:hAnsi="Arial" w:cs="Arial"/>
          <w:sz w:val="24"/>
          <w:szCs w:val="24"/>
        </w:rPr>
        <w:t>, 78, pp. 112-122.</w:t>
      </w:r>
    </w:p>
    <w:p w14:paraId="50CC7628" w14:textId="77777777" w:rsidR="001A2765" w:rsidRPr="00286147" w:rsidRDefault="001A2765" w:rsidP="00286147">
      <w:pPr>
        <w:numPr>
          <w:ilvl w:val="0"/>
          <w:numId w:val="1"/>
        </w:numPr>
        <w:spacing w:after="160" w:line="360" w:lineRule="auto"/>
        <w:jc w:val="both"/>
        <w:rPr>
          <w:rFonts w:ascii="Arial" w:hAnsi="Arial" w:cs="Arial"/>
          <w:sz w:val="24"/>
          <w:szCs w:val="24"/>
        </w:rPr>
      </w:pPr>
      <w:proofErr w:type="spellStart"/>
      <w:r w:rsidRPr="00286147">
        <w:rPr>
          <w:rFonts w:ascii="Arial" w:hAnsi="Arial" w:cs="Arial"/>
          <w:sz w:val="24"/>
          <w:szCs w:val="24"/>
        </w:rPr>
        <w:t>Jahdi</w:t>
      </w:r>
      <w:proofErr w:type="spellEnd"/>
      <w:r w:rsidRPr="00286147">
        <w:rPr>
          <w:rFonts w:ascii="Arial" w:hAnsi="Arial" w:cs="Arial"/>
          <w:sz w:val="24"/>
          <w:szCs w:val="24"/>
        </w:rPr>
        <w:t>, K.S. &amp;</w:t>
      </w:r>
      <w:proofErr w:type="spellStart"/>
      <w:r w:rsidRPr="00286147">
        <w:rPr>
          <w:rFonts w:ascii="Arial" w:hAnsi="Arial" w:cs="Arial"/>
          <w:sz w:val="24"/>
          <w:szCs w:val="24"/>
        </w:rPr>
        <w:t>Acikdilli</w:t>
      </w:r>
      <w:proofErr w:type="spellEnd"/>
      <w:r w:rsidRPr="00286147">
        <w:rPr>
          <w:rFonts w:ascii="Arial" w:hAnsi="Arial" w:cs="Arial"/>
          <w:sz w:val="24"/>
          <w:szCs w:val="24"/>
        </w:rPr>
        <w:t xml:space="preserve">, G. (2009) 'Marketing communications and corporate social responsibility (CSR): marriage of convenience or shotgun wedding?', </w:t>
      </w:r>
      <w:r w:rsidRPr="00286147">
        <w:rPr>
          <w:rFonts w:ascii="Arial" w:hAnsi="Arial" w:cs="Arial"/>
          <w:i/>
          <w:iCs/>
          <w:sz w:val="24"/>
          <w:szCs w:val="24"/>
        </w:rPr>
        <w:t>Journal of Business Ethics</w:t>
      </w:r>
      <w:r w:rsidRPr="00286147">
        <w:rPr>
          <w:rFonts w:ascii="Arial" w:hAnsi="Arial" w:cs="Arial"/>
          <w:sz w:val="24"/>
          <w:szCs w:val="24"/>
        </w:rPr>
        <w:t>, 88(1), pp. 103-113.</w:t>
      </w:r>
    </w:p>
    <w:p w14:paraId="4EDDADD4" w14:textId="77777777" w:rsidR="001A2765" w:rsidRPr="00286147" w:rsidRDefault="001A2765" w:rsidP="00286147">
      <w:pPr>
        <w:numPr>
          <w:ilvl w:val="0"/>
          <w:numId w:val="1"/>
        </w:numPr>
        <w:spacing w:after="160" w:line="360" w:lineRule="auto"/>
        <w:jc w:val="both"/>
        <w:rPr>
          <w:rFonts w:ascii="Arial" w:hAnsi="Arial" w:cs="Arial"/>
          <w:sz w:val="24"/>
          <w:szCs w:val="24"/>
        </w:rPr>
      </w:pPr>
      <w:r w:rsidRPr="00286147">
        <w:rPr>
          <w:rFonts w:ascii="Arial" w:hAnsi="Arial" w:cs="Arial"/>
          <w:sz w:val="24"/>
          <w:szCs w:val="24"/>
        </w:rPr>
        <w:t xml:space="preserve">Johnstone, L., &amp; Tan, L.P. (2015) 'Exploring the gap between attitudes and </w:t>
      </w:r>
      <w:proofErr w:type="spellStart"/>
      <w:r w:rsidRPr="00286147">
        <w:rPr>
          <w:rFonts w:ascii="Arial" w:hAnsi="Arial" w:cs="Arial"/>
          <w:sz w:val="24"/>
          <w:szCs w:val="24"/>
        </w:rPr>
        <w:t>behaviours</w:t>
      </w:r>
      <w:proofErr w:type="spellEnd"/>
      <w:r w:rsidRPr="00286147">
        <w:rPr>
          <w:rFonts w:ascii="Arial" w:hAnsi="Arial" w:cs="Arial"/>
          <w:sz w:val="24"/>
          <w:szCs w:val="24"/>
        </w:rPr>
        <w:t xml:space="preserve">: Understanding the barriers to ethical consumption', </w:t>
      </w:r>
      <w:r w:rsidRPr="00286147">
        <w:rPr>
          <w:rFonts w:ascii="Arial" w:hAnsi="Arial" w:cs="Arial"/>
          <w:i/>
          <w:iCs/>
          <w:sz w:val="24"/>
          <w:szCs w:val="24"/>
        </w:rPr>
        <w:t>Journal of Business Ethics</w:t>
      </w:r>
      <w:r w:rsidRPr="00286147">
        <w:rPr>
          <w:rFonts w:ascii="Arial" w:hAnsi="Arial" w:cs="Arial"/>
          <w:sz w:val="24"/>
          <w:szCs w:val="24"/>
        </w:rPr>
        <w:t>, 132(2), pp. 311-323.</w:t>
      </w:r>
    </w:p>
    <w:p w14:paraId="29627AEE" w14:textId="77777777" w:rsidR="001A2765" w:rsidRPr="00286147" w:rsidRDefault="001A2765" w:rsidP="00286147">
      <w:pPr>
        <w:numPr>
          <w:ilvl w:val="0"/>
          <w:numId w:val="1"/>
        </w:numPr>
        <w:spacing w:after="160" w:line="360" w:lineRule="auto"/>
        <w:jc w:val="both"/>
        <w:rPr>
          <w:rFonts w:ascii="Arial" w:hAnsi="Arial" w:cs="Arial"/>
          <w:sz w:val="24"/>
          <w:szCs w:val="24"/>
        </w:rPr>
      </w:pPr>
      <w:r w:rsidRPr="00286147">
        <w:rPr>
          <w:rFonts w:ascii="Arial" w:hAnsi="Arial" w:cs="Arial"/>
          <w:sz w:val="24"/>
          <w:szCs w:val="24"/>
        </w:rPr>
        <w:lastRenderedPageBreak/>
        <w:t xml:space="preserve">Jones, P., Hillier, D., &amp; Comfort, D. (2016) 'Sustainability in the hospitality industry: Some personal reflections on corporate challenges and research agendas', </w:t>
      </w:r>
      <w:r w:rsidRPr="00286147">
        <w:rPr>
          <w:rFonts w:ascii="Arial" w:hAnsi="Arial" w:cs="Arial"/>
          <w:i/>
          <w:iCs/>
          <w:sz w:val="24"/>
          <w:szCs w:val="24"/>
        </w:rPr>
        <w:t>International Journal of Contemporary Hospitality Management</w:t>
      </w:r>
      <w:r w:rsidRPr="00286147">
        <w:rPr>
          <w:rFonts w:ascii="Arial" w:hAnsi="Arial" w:cs="Arial"/>
          <w:sz w:val="24"/>
          <w:szCs w:val="24"/>
        </w:rPr>
        <w:t>, 28(1), pp. 36-67.</w:t>
      </w:r>
    </w:p>
    <w:p w14:paraId="4212B8EE" w14:textId="77777777" w:rsidR="001A2765" w:rsidRPr="00286147" w:rsidRDefault="001A2765" w:rsidP="00286147">
      <w:pPr>
        <w:numPr>
          <w:ilvl w:val="0"/>
          <w:numId w:val="1"/>
        </w:numPr>
        <w:spacing w:after="160" w:line="360" w:lineRule="auto"/>
        <w:jc w:val="both"/>
        <w:rPr>
          <w:rFonts w:ascii="Arial" w:hAnsi="Arial" w:cs="Arial"/>
          <w:sz w:val="24"/>
          <w:szCs w:val="24"/>
        </w:rPr>
      </w:pPr>
      <w:r w:rsidRPr="00286147">
        <w:rPr>
          <w:rFonts w:ascii="Arial" w:hAnsi="Arial" w:cs="Arial"/>
          <w:sz w:val="24"/>
          <w:szCs w:val="24"/>
        </w:rPr>
        <w:t xml:space="preserve">King, A.A. (2007) 'Cooperation between corporations and environmental groups: A transaction cost perspective', </w:t>
      </w:r>
      <w:r w:rsidRPr="00286147">
        <w:rPr>
          <w:rFonts w:ascii="Arial" w:hAnsi="Arial" w:cs="Arial"/>
          <w:i/>
          <w:iCs/>
          <w:sz w:val="24"/>
          <w:szCs w:val="24"/>
        </w:rPr>
        <w:t>Academy of Management Review</w:t>
      </w:r>
      <w:r w:rsidRPr="00286147">
        <w:rPr>
          <w:rFonts w:ascii="Arial" w:hAnsi="Arial" w:cs="Arial"/>
          <w:sz w:val="24"/>
          <w:szCs w:val="24"/>
        </w:rPr>
        <w:t>, 32(3), pp. 889-900.</w:t>
      </w:r>
    </w:p>
    <w:p w14:paraId="634D4C57" w14:textId="77777777" w:rsidR="001A2765" w:rsidRPr="00286147" w:rsidRDefault="001A2765" w:rsidP="00286147">
      <w:pPr>
        <w:numPr>
          <w:ilvl w:val="0"/>
          <w:numId w:val="1"/>
        </w:numPr>
        <w:spacing w:after="160" w:line="360" w:lineRule="auto"/>
        <w:jc w:val="both"/>
        <w:rPr>
          <w:rFonts w:ascii="Arial" w:hAnsi="Arial" w:cs="Arial"/>
          <w:sz w:val="24"/>
          <w:szCs w:val="24"/>
        </w:rPr>
      </w:pPr>
      <w:r w:rsidRPr="00286147">
        <w:rPr>
          <w:rFonts w:ascii="Arial" w:hAnsi="Arial" w:cs="Arial"/>
          <w:sz w:val="24"/>
          <w:szCs w:val="24"/>
        </w:rPr>
        <w:t xml:space="preserve">Kneafsey, M., et al. (2013) </w:t>
      </w:r>
      <w:r w:rsidRPr="00286147">
        <w:rPr>
          <w:rFonts w:ascii="Arial" w:hAnsi="Arial" w:cs="Arial"/>
          <w:i/>
          <w:iCs/>
          <w:sz w:val="24"/>
          <w:szCs w:val="24"/>
        </w:rPr>
        <w:t>Short Food Supply Chains and Local Food Systems in the EU: A State of Play of their Socio-Economic Characteristics</w:t>
      </w:r>
      <w:r w:rsidRPr="00286147">
        <w:rPr>
          <w:rFonts w:ascii="Arial" w:hAnsi="Arial" w:cs="Arial"/>
          <w:sz w:val="24"/>
          <w:szCs w:val="24"/>
        </w:rPr>
        <w:t>. Seville: JRC Scientific and Policy Reports.</w:t>
      </w:r>
    </w:p>
    <w:p w14:paraId="27768331" w14:textId="77777777" w:rsidR="001A2765" w:rsidRPr="00286147" w:rsidRDefault="001A2765" w:rsidP="00286147">
      <w:pPr>
        <w:numPr>
          <w:ilvl w:val="0"/>
          <w:numId w:val="1"/>
        </w:numPr>
        <w:spacing w:after="160" w:line="360" w:lineRule="auto"/>
        <w:jc w:val="both"/>
        <w:rPr>
          <w:rFonts w:ascii="Arial" w:hAnsi="Arial" w:cs="Arial"/>
          <w:sz w:val="24"/>
          <w:szCs w:val="24"/>
        </w:rPr>
      </w:pPr>
      <w:proofErr w:type="spellStart"/>
      <w:r w:rsidRPr="00286147">
        <w:rPr>
          <w:rFonts w:ascii="Arial" w:hAnsi="Arial" w:cs="Arial"/>
          <w:sz w:val="24"/>
          <w:szCs w:val="24"/>
        </w:rPr>
        <w:t>Lankoski</w:t>
      </w:r>
      <w:proofErr w:type="spellEnd"/>
      <w:r w:rsidRPr="00286147">
        <w:rPr>
          <w:rFonts w:ascii="Arial" w:hAnsi="Arial" w:cs="Arial"/>
          <w:sz w:val="24"/>
          <w:szCs w:val="24"/>
        </w:rPr>
        <w:t xml:space="preserve">, L. (2016) 'Does corporate responsibility pay off? A critical approach to the relationship between CSR and financial performance', in </w:t>
      </w:r>
      <w:r w:rsidRPr="00286147">
        <w:rPr>
          <w:rFonts w:ascii="Arial" w:hAnsi="Arial" w:cs="Arial"/>
          <w:i/>
          <w:iCs/>
          <w:sz w:val="24"/>
          <w:szCs w:val="24"/>
        </w:rPr>
        <w:t>The Business of Social and Environmental Innovation</w:t>
      </w:r>
      <w:r w:rsidRPr="00286147">
        <w:rPr>
          <w:rFonts w:ascii="Arial" w:hAnsi="Arial" w:cs="Arial"/>
          <w:sz w:val="24"/>
          <w:szCs w:val="24"/>
        </w:rPr>
        <w:t>. Cham: Springer, pp. 119-142.</w:t>
      </w:r>
    </w:p>
    <w:p w14:paraId="0893C3A0" w14:textId="77777777" w:rsidR="001A2765" w:rsidRPr="00286147" w:rsidRDefault="001A2765" w:rsidP="00286147">
      <w:pPr>
        <w:numPr>
          <w:ilvl w:val="0"/>
          <w:numId w:val="1"/>
        </w:numPr>
        <w:spacing w:after="160" w:line="360" w:lineRule="auto"/>
        <w:jc w:val="both"/>
        <w:rPr>
          <w:rFonts w:ascii="Arial" w:hAnsi="Arial" w:cs="Arial"/>
          <w:sz w:val="24"/>
          <w:szCs w:val="24"/>
        </w:rPr>
      </w:pPr>
      <w:r w:rsidRPr="00286147">
        <w:rPr>
          <w:rFonts w:ascii="Arial" w:hAnsi="Arial" w:cs="Arial"/>
          <w:sz w:val="24"/>
          <w:szCs w:val="24"/>
        </w:rPr>
        <w:t xml:space="preserve">Laszlo, C. (2008) </w:t>
      </w:r>
      <w:r w:rsidRPr="00286147">
        <w:rPr>
          <w:rFonts w:ascii="Arial" w:hAnsi="Arial" w:cs="Arial"/>
          <w:i/>
          <w:iCs/>
          <w:sz w:val="24"/>
          <w:szCs w:val="24"/>
        </w:rPr>
        <w:t>Sustainable Value: How the World's Leading Companies Are Doing Well by Doing Good</w:t>
      </w:r>
      <w:r w:rsidRPr="00286147">
        <w:rPr>
          <w:rFonts w:ascii="Arial" w:hAnsi="Arial" w:cs="Arial"/>
          <w:sz w:val="24"/>
          <w:szCs w:val="24"/>
        </w:rPr>
        <w:t>. Stanford, CA: Stanford Business Books.</w:t>
      </w:r>
    </w:p>
    <w:p w14:paraId="27C475EB" w14:textId="77777777" w:rsidR="001A2765" w:rsidRPr="00286147" w:rsidRDefault="001A2765" w:rsidP="00286147">
      <w:pPr>
        <w:numPr>
          <w:ilvl w:val="0"/>
          <w:numId w:val="1"/>
        </w:numPr>
        <w:spacing w:after="160" w:line="360" w:lineRule="auto"/>
        <w:jc w:val="both"/>
        <w:rPr>
          <w:rFonts w:ascii="Arial" w:hAnsi="Arial" w:cs="Arial"/>
          <w:sz w:val="24"/>
          <w:szCs w:val="24"/>
        </w:rPr>
      </w:pPr>
      <w:proofErr w:type="spellStart"/>
      <w:r w:rsidRPr="00286147">
        <w:rPr>
          <w:rFonts w:ascii="Arial" w:hAnsi="Arial" w:cs="Arial"/>
          <w:sz w:val="24"/>
          <w:szCs w:val="24"/>
        </w:rPr>
        <w:t>Leonidou</w:t>
      </w:r>
      <w:proofErr w:type="spellEnd"/>
      <w:r w:rsidRPr="00286147">
        <w:rPr>
          <w:rFonts w:ascii="Arial" w:hAnsi="Arial" w:cs="Arial"/>
          <w:sz w:val="24"/>
          <w:szCs w:val="24"/>
        </w:rPr>
        <w:t>, C.N. &amp;</w:t>
      </w:r>
      <w:proofErr w:type="spellStart"/>
      <w:r w:rsidRPr="00286147">
        <w:rPr>
          <w:rFonts w:ascii="Arial" w:hAnsi="Arial" w:cs="Arial"/>
          <w:sz w:val="24"/>
          <w:szCs w:val="24"/>
        </w:rPr>
        <w:t>Leonidou</w:t>
      </w:r>
      <w:proofErr w:type="spellEnd"/>
      <w:r w:rsidRPr="00286147">
        <w:rPr>
          <w:rFonts w:ascii="Arial" w:hAnsi="Arial" w:cs="Arial"/>
          <w:sz w:val="24"/>
          <w:szCs w:val="24"/>
        </w:rPr>
        <w:t xml:space="preserve">, L.C. (2011) 'Research into environmental marketing/management: a bibliographic analysis', </w:t>
      </w:r>
      <w:r w:rsidRPr="00286147">
        <w:rPr>
          <w:rFonts w:ascii="Arial" w:hAnsi="Arial" w:cs="Arial"/>
          <w:i/>
          <w:iCs/>
          <w:sz w:val="24"/>
          <w:szCs w:val="24"/>
        </w:rPr>
        <w:t>European Journal of Marketing</w:t>
      </w:r>
      <w:r w:rsidRPr="00286147">
        <w:rPr>
          <w:rFonts w:ascii="Arial" w:hAnsi="Arial" w:cs="Arial"/>
          <w:sz w:val="24"/>
          <w:szCs w:val="24"/>
        </w:rPr>
        <w:t>, 45(1/2), pp. 68-103.</w:t>
      </w:r>
    </w:p>
    <w:p w14:paraId="36EC72F7" w14:textId="77777777" w:rsidR="001A2765" w:rsidRPr="00286147" w:rsidRDefault="001A2765" w:rsidP="00286147">
      <w:pPr>
        <w:numPr>
          <w:ilvl w:val="0"/>
          <w:numId w:val="1"/>
        </w:numPr>
        <w:spacing w:after="160" w:line="360" w:lineRule="auto"/>
        <w:jc w:val="both"/>
        <w:rPr>
          <w:rFonts w:ascii="Arial" w:hAnsi="Arial" w:cs="Arial"/>
          <w:sz w:val="24"/>
          <w:szCs w:val="24"/>
        </w:rPr>
      </w:pPr>
      <w:r w:rsidRPr="00286147">
        <w:rPr>
          <w:rFonts w:ascii="Arial" w:hAnsi="Arial" w:cs="Arial"/>
          <w:sz w:val="24"/>
          <w:szCs w:val="24"/>
        </w:rPr>
        <w:t xml:space="preserve">Lozano, R. (2013) 'A holistic perspective on corporate sustainability drivers', </w:t>
      </w:r>
      <w:r w:rsidRPr="00286147">
        <w:rPr>
          <w:rFonts w:ascii="Arial" w:hAnsi="Arial" w:cs="Arial"/>
          <w:i/>
          <w:iCs/>
          <w:sz w:val="24"/>
          <w:szCs w:val="24"/>
        </w:rPr>
        <w:t>Corporate Social Responsibility and Environmental Management</w:t>
      </w:r>
      <w:r w:rsidRPr="00286147">
        <w:rPr>
          <w:rFonts w:ascii="Arial" w:hAnsi="Arial" w:cs="Arial"/>
          <w:sz w:val="24"/>
          <w:szCs w:val="24"/>
        </w:rPr>
        <w:t>, 20(1), pp. 32-44.</w:t>
      </w:r>
    </w:p>
    <w:p w14:paraId="28034938" w14:textId="77777777" w:rsidR="001A2765" w:rsidRPr="00286147" w:rsidRDefault="001A2765" w:rsidP="00286147">
      <w:pPr>
        <w:numPr>
          <w:ilvl w:val="0"/>
          <w:numId w:val="1"/>
        </w:numPr>
        <w:spacing w:after="160" w:line="360" w:lineRule="auto"/>
        <w:jc w:val="both"/>
        <w:rPr>
          <w:rFonts w:ascii="Arial" w:hAnsi="Arial" w:cs="Arial"/>
          <w:sz w:val="24"/>
          <w:szCs w:val="24"/>
        </w:rPr>
      </w:pPr>
      <w:proofErr w:type="spellStart"/>
      <w:r w:rsidRPr="00286147">
        <w:rPr>
          <w:rFonts w:ascii="Arial" w:hAnsi="Arial" w:cs="Arial"/>
          <w:sz w:val="24"/>
          <w:szCs w:val="24"/>
        </w:rPr>
        <w:t>Manaktola</w:t>
      </w:r>
      <w:proofErr w:type="spellEnd"/>
      <w:r w:rsidRPr="00286147">
        <w:rPr>
          <w:rFonts w:ascii="Arial" w:hAnsi="Arial" w:cs="Arial"/>
          <w:sz w:val="24"/>
          <w:szCs w:val="24"/>
        </w:rPr>
        <w:t xml:space="preserve">, K., &amp; Jauhari, V. (2007) 'Exploring consumer attitude and </w:t>
      </w:r>
      <w:proofErr w:type="spellStart"/>
      <w:r w:rsidRPr="00286147">
        <w:rPr>
          <w:rFonts w:ascii="Arial" w:hAnsi="Arial" w:cs="Arial"/>
          <w:sz w:val="24"/>
          <w:szCs w:val="24"/>
        </w:rPr>
        <w:t>behaviour</w:t>
      </w:r>
      <w:proofErr w:type="spellEnd"/>
      <w:r w:rsidRPr="00286147">
        <w:rPr>
          <w:rFonts w:ascii="Arial" w:hAnsi="Arial" w:cs="Arial"/>
          <w:sz w:val="24"/>
          <w:szCs w:val="24"/>
        </w:rPr>
        <w:t xml:space="preserve"> towards green practices in the lodging industry in India', </w:t>
      </w:r>
      <w:r w:rsidRPr="00286147">
        <w:rPr>
          <w:rFonts w:ascii="Arial" w:hAnsi="Arial" w:cs="Arial"/>
          <w:i/>
          <w:iCs/>
          <w:sz w:val="24"/>
          <w:szCs w:val="24"/>
        </w:rPr>
        <w:t>International Journal of Contemporary Hospitality Management</w:t>
      </w:r>
      <w:r w:rsidRPr="00286147">
        <w:rPr>
          <w:rFonts w:ascii="Arial" w:hAnsi="Arial" w:cs="Arial"/>
          <w:sz w:val="24"/>
          <w:szCs w:val="24"/>
        </w:rPr>
        <w:t>, 19(5), pp. 364-377.</w:t>
      </w:r>
    </w:p>
    <w:p w14:paraId="211CBADE" w14:textId="77777777" w:rsidR="001A2765" w:rsidRPr="00286147" w:rsidRDefault="001A2765" w:rsidP="00286147">
      <w:pPr>
        <w:numPr>
          <w:ilvl w:val="0"/>
          <w:numId w:val="1"/>
        </w:numPr>
        <w:spacing w:after="160" w:line="360" w:lineRule="auto"/>
        <w:jc w:val="both"/>
        <w:rPr>
          <w:rFonts w:ascii="Arial" w:hAnsi="Arial" w:cs="Arial"/>
          <w:sz w:val="24"/>
          <w:szCs w:val="24"/>
        </w:rPr>
      </w:pPr>
      <w:r w:rsidRPr="00286147">
        <w:rPr>
          <w:rFonts w:ascii="Arial" w:hAnsi="Arial" w:cs="Arial"/>
          <w:sz w:val="24"/>
          <w:szCs w:val="24"/>
        </w:rPr>
        <w:t xml:space="preserve">Mangold, W.G. &amp; Faulds, D.J. (2009) 'Social media: The new hybrid element of the promotion mix', </w:t>
      </w:r>
      <w:r w:rsidRPr="00286147">
        <w:rPr>
          <w:rFonts w:ascii="Arial" w:hAnsi="Arial" w:cs="Arial"/>
          <w:i/>
          <w:iCs/>
          <w:sz w:val="24"/>
          <w:szCs w:val="24"/>
        </w:rPr>
        <w:t>Business Horizons</w:t>
      </w:r>
      <w:r w:rsidRPr="00286147">
        <w:rPr>
          <w:rFonts w:ascii="Arial" w:hAnsi="Arial" w:cs="Arial"/>
          <w:sz w:val="24"/>
          <w:szCs w:val="24"/>
        </w:rPr>
        <w:t>, 52(4), pp. 357-365.</w:t>
      </w:r>
    </w:p>
    <w:p w14:paraId="6639A219" w14:textId="77777777" w:rsidR="001A2765" w:rsidRPr="00286147" w:rsidRDefault="001A2765" w:rsidP="00286147">
      <w:pPr>
        <w:numPr>
          <w:ilvl w:val="0"/>
          <w:numId w:val="1"/>
        </w:numPr>
        <w:spacing w:after="160" w:line="360" w:lineRule="auto"/>
        <w:jc w:val="both"/>
        <w:rPr>
          <w:rFonts w:ascii="Arial" w:hAnsi="Arial" w:cs="Arial"/>
          <w:sz w:val="24"/>
          <w:szCs w:val="24"/>
        </w:rPr>
      </w:pPr>
      <w:r w:rsidRPr="00286147">
        <w:rPr>
          <w:rFonts w:ascii="Arial" w:hAnsi="Arial" w:cs="Arial"/>
          <w:sz w:val="24"/>
          <w:szCs w:val="24"/>
        </w:rPr>
        <w:t xml:space="preserve">Marquis, C. (2020) </w:t>
      </w:r>
      <w:r w:rsidRPr="00286147">
        <w:rPr>
          <w:rFonts w:ascii="Arial" w:hAnsi="Arial" w:cs="Arial"/>
          <w:i/>
          <w:iCs/>
          <w:sz w:val="24"/>
          <w:szCs w:val="24"/>
        </w:rPr>
        <w:t>Better Business: How the B Corp Movement Is Remaking Capitalism</w:t>
      </w:r>
      <w:r w:rsidRPr="00286147">
        <w:rPr>
          <w:rFonts w:ascii="Arial" w:hAnsi="Arial" w:cs="Arial"/>
          <w:sz w:val="24"/>
          <w:szCs w:val="24"/>
        </w:rPr>
        <w:t>. New Haven, CT: Yale University Press.</w:t>
      </w:r>
    </w:p>
    <w:p w14:paraId="4C0C95EA" w14:textId="77777777" w:rsidR="001A2765" w:rsidRPr="00286147" w:rsidRDefault="001A2765" w:rsidP="00286147">
      <w:pPr>
        <w:numPr>
          <w:ilvl w:val="0"/>
          <w:numId w:val="1"/>
        </w:numPr>
        <w:spacing w:after="160" w:line="360" w:lineRule="auto"/>
        <w:jc w:val="both"/>
        <w:rPr>
          <w:rFonts w:ascii="Arial" w:hAnsi="Arial" w:cs="Arial"/>
          <w:sz w:val="24"/>
          <w:szCs w:val="24"/>
        </w:rPr>
      </w:pPr>
      <w:r w:rsidRPr="00286147">
        <w:rPr>
          <w:rFonts w:ascii="Arial" w:hAnsi="Arial" w:cs="Arial"/>
          <w:sz w:val="24"/>
          <w:szCs w:val="24"/>
        </w:rPr>
        <w:lastRenderedPageBreak/>
        <w:t xml:space="preserve">Nash, J. (2009) 'The politics of the sustainable development goals', in </w:t>
      </w:r>
      <w:r w:rsidRPr="00286147">
        <w:rPr>
          <w:rFonts w:ascii="Arial" w:hAnsi="Arial" w:cs="Arial"/>
          <w:i/>
          <w:iCs/>
          <w:sz w:val="24"/>
          <w:szCs w:val="24"/>
        </w:rPr>
        <w:t>The Oxford Handbook on the United Nations</w:t>
      </w:r>
      <w:r w:rsidRPr="00286147">
        <w:rPr>
          <w:rFonts w:ascii="Arial" w:hAnsi="Arial" w:cs="Arial"/>
          <w:sz w:val="24"/>
          <w:szCs w:val="24"/>
        </w:rPr>
        <w:t>. Oxford: Oxford University Press, pp. 581-598.</w:t>
      </w:r>
    </w:p>
    <w:p w14:paraId="19DFFD04" w14:textId="77777777" w:rsidR="001A2765" w:rsidRPr="00286147" w:rsidRDefault="001A2765" w:rsidP="00286147">
      <w:pPr>
        <w:numPr>
          <w:ilvl w:val="0"/>
          <w:numId w:val="1"/>
        </w:numPr>
        <w:spacing w:after="160" w:line="360" w:lineRule="auto"/>
        <w:jc w:val="both"/>
        <w:rPr>
          <w:rFonts w:ascii="Arial" w:hAnsi="Arial" w:cs="Arial"/>
          <w:sz w:val="24"/>
          <w:szCs w:val="24"/>
        </w:rPr>
      </w:pPr>
      <w:proofErr w:type="spellStart"/>
      <w:r w:rsidRPr="00286147">
        <w:rPr>
          <w:rFonts w:ascii="Arial" w:hAnsi="Arial" w:cs="Arial"/>
          <w:sz w:val="24"/>
          <w:szCs w:val="24"/>
        </w:rPr>
        <w:t>Okumus</w:t>
      </w:r>
      <w:proofErr w:type="spellEnd"/>
      <w:r w:rsidRPr="00286147">
        <w:rPr>
          <w:rFonts w:ascii="Arial" w:hAnsi="Arial" w:cs="Arial"/>
          <w:sz w:val="24"/>
          <w:szCs w:val="24"/>
        </w:rPr>
        <w:t>, F., Altinay, L. &amp;</w:t>
      </w:r>
      <w:proofErr w:type="spellStart"/>
      <w:r w:rsidRPr="00286147">
        <w:rPr>
          <w:rFonts w:ascii="Arial" w:hAnsi="Arial" w:cs="Arial"/>
          <w:sz w:val="24"/>
          <w:szCs w:val="24"/>
        </w:rPr>
        <w:t>Chathoth</w:t>
      </w:r>
      <w:proofErr w:type="spellEnd"/>
      <w:r w:rsidRPr="00286147">
        <w:rPr>
          <w:rFonts w:ascii="Arial" w:hAnsi="Arial" w:cs="Arial"/>
          <w:sz w:val="24"/>
          <w:szCs w:val="24"/>
        </w:rPr>
        <w:t xml:space="preserve">, P. (2010) 'Strategic management for the hospitality and tourism industry', in </w:t>
      </w:r>
      <w:r w:rsidRPr="00286147">
        <w:rPr>
          <w:rFonts w:ascii="Arial" w:hAnsi="Arial" w:cs="Arial"/>
          <w:i/>
          <w:iCs/>
          <w:sz w:val="24"/>
          <w:szCs w:val="24"/>
        </w:rPr>
        <w:t>Strategic Management for the Hospitality and Tourism Industry</w:t>
      </w:r>
      <w:r w:rsidRPr="00286147">
        <w:rPr>
          <w:rFonts w:ascii="Arial" w:hAnsi="Arial" w:cs="Arial"/>
          <w:sz w:val="24"/>
          <w:szCs w:val="24"/>
        </w:rPr>
        <w:t>. Abingdon: Routledge, pp. 3-21.</w:t>
      </w:r>
    </w:p>
    <w:p w14:paraId="40FA2F1C" w14:textId="77777777" w:rsidR="001A2765" w:rsidRPr="00286147" w:rsidRDefault="001A2765" w:rsidP="00286147">
      <w:pPr>
        <w:numPr>
          <w:ilvl w:val="0"/>
          <w:numId w:val="1"/>
        </w:numPr>
        <w:spacing w:after="160" w:line="360" w:lineRule="auto"/>
        <w:jc w:val="both"/>
        <w:rPr>
          <w:rFonts w:ascii="Arial" w:hAnsi="Arial" w:cs="Arial"/>
          <w:sz w:val="24"/>
          <w:szCs w:val="24"/>
        </w:rPr>
      </w:pPr>
      <w:r w:rsidRPr="00286147">
        <w:rPr>
          <w:rFonts w:ascii="Arial" w:hAnsi="Arial" w:cs="Arial"/>
          <w:sz w:val="24"/>
          <w:szCs w:val="24"/>
        </w:rPr>
        <w:t xml:space="preserve">Orsato, R.J. (2006) 'Competitive environmental strategies: When does it pay to be green?', </w:t>
      </w:r>
      <w:r w:rsidRPr="00286147">
        <w:rPr>
          <w:rFonts w:ascii="Arial" w:hAnsi="Arial" w:cs="Arial"/>
          <w:i/>
          <w:iCs/>
          <w:sz w:val="24"/>
          <w:szCs w:val="24"/>
        </w:rPr>
        <w:t>California Management Review</w:t>
      </w:r>
      <w:r w:rsidRPr="00286147">
        <w:rPr>
          <w:rFonts w:ascii="Arial" w:hAnsi="Arial" w:cs="Arial"/>
          <w:sz w:val="24"/>
          <w:szCs w:val="24"/>
        </w:rPr>
        <w:t>, 48(2), pp. 127-143.</w:t>
      </w:r>
    </w:p>
    <w:p w14:paraId="58EE28E6" w14:textId="77777777" w:rsidR="001A2765" w:rsidRPr="00286147" w:rsidRDefault="001A2765" w:rsidP="00286147">
      <w:pPr>
        <w:numPr>
          <w:ilvl w:val="0"/>
          <w:numId w:val="1"/>
        </w:numPr>
        <w:spacing w:after="160" w:line="360" w:lineRule="auto"/>
        <w:jc w:val="both"/>
        <w:rPr>
          <w:rFonts w:ascii="Arial" w:hAnsi="Arial" w:cs="Arial"/>
          <w:sz w:val="24"/>
          <w:szCs w:val="24"/>
        </w:rPr>
      </w:pPr>
      <w:r w:rsidRPr="00286147">
        <w:rPr>
          <w:rFonts w:ascii="Arial" w:hAnsi="Arial" w:cs="Arial"/>
          <w:sz w:val="24"/>
          <w:szCs w:val="24"/>
        </w:rPr>
        <w:t xml:space="preserve">Ottman, J.A. (2011) </w:t>
      </w:r>
      <w:r w:rsidRPr="00286147">
        <w:rPr>
          <w:rFonts w:ascii="Arial" w:hAnsi="Arial" w:cs="Arial"/>
          <w:i/>
          <w:iCs/>
          <w:sz w:val="24"/>
          <w:szCs w:val="24"/>
        </w:rPr>
        <w:t>The New Rules of Green Marketing: Strategies, Tools, and Inspiration for Sustainable Branding</w:t>
      </w:r>
      <w:r w:rsidRPr="00286147">
        <w:rPr>
          <w:rFonts w:ascii="Arial" w:hAnsi="Arial" w:cs="Arial"/>
          <w:sz w:val="24"/>
          <w:szCs w:val="24"/>
        </w:rPr>
        <w:t>. Sheffield: Greenleaf Publishing.</w:t>
      </w:r>
    </w:p>
    <w:p w14:paraId="43A3F6B1" w14:textId="77777777" w:rsidR="001A2765" w:rsidRPr="00286147" w:rsidRDefault="001A2765" w:rsidP="00286147">
      <w:pPr>
        <w:numPr>
          <w:ilvl w:val="0"/>
          <w:numId w:val="1"/>
        </w:numPr>
        <w:spacing w:after="160" w:line="360" w:lineRule="auto"/>
        <w:jc w:val="both"/>
        <w:rPr>
          <w:rFonts w:ascii="Arial" w:hAnsi="Arial" w:cs="Arial"/>
          <w:sz w:val="24"/>
          <w:szCs w:val="24"/>
        </w:rPr>
      </w:pPr>
      <w:r w:rsidRPr="00286147">
        <w:rPr>
          <w:rFonts w:ascii="Arial" w:hAnsi="Arial" w:cs="Arial"/>
          <w:sz w:val="24"/>
          <w:szCs w:val="24"/>
        </w:rPr>
        <w:t xml:space="preserve">Payne, A., &amp; Calton, J. (2004) 'Towards a stakeholder-oriented and issue-based approach to corporate social responsibility', </w:t>
      </w:r>
      <w:r w:rsidRPr="00286147">
        <w:rPr>
          <w:rFonts w:ascii="Arial" w:hAnsi="Arial" w:cs="Arial"/>
          <w:i/>
          <w:iCs/>
          <w:sz w:val="24"/>
          <w:szCs w:val="24"/>
        </w:rPr>
        <w:t>Journal of Corporate Citizenship</w:t>
      </w:r>
      <w:r w:rsidRPr="00286147">
        <w:rPr>
          <w:rFonts w:ascii="Arial" w:hAnsi="Arial" w:cs="Arial"/>
          <w:sz w:val="24"/>
          <w:szCs w:val="24"/>
        </w:rPr>
        <w:t>, 13, pp. 37-49.</w:t>
      </w:r>
    </w:p>
    <w:p w14:paraId="043BB6CD" w14:textId="77777777" w:rsidR="001A2765" w:rsidRPr="00286147" w:rsidRDefault="001A2765" w:rsidP="00286147">
      <w:pPr>
        <w:numPr>
          <w:ilvl w:val="0"/>
          <w:numId w:val="1"/>
        </w:numPr>
        <w:spacing w:after="160" w:line="360" w:lineRule="auto"/>
        <w:jc w:val="both"/>
        <w:rPr>
          <w:rFonts w:ascii="Arial" w:hAnsi="Arial" w:cs="Arial"/>
          <w:sz w:val="24"/>
          <w:szCs w:val="24"/>
        </w:rPr>
      </w:pPr>
      <w:r w:rsidRPr="00286147">
        <w:rPr>
          <w:rFonts w:ascii="Arial" w:hAnsi="Arial" w:cs="Arial"/>
          <w:sz w:val="24"/>
          <w:szCs w:val="24"/>
        </w:rPr>
        <w:t xml:space="preserve">Perrini, F., </w:t>
      </w:r>
      <w:proofErr w:type="spellStart"/>
      <w:r w:rsidRPr="00286147">
        <w:rPr>
          <w:rFonts w:ascii="Arial" w:hAnsi="Arial" w:cs="Arial"/>
          <w:sz w:val="24"/>
          <w:szCs w:val="24"/>
        </w:rPr>
        <w:t>Vurro</w:t>
      </w:r>
      <w:proofErr w:type="spellEnd"/>
      <w:r w:rsidRPr="00286147">
        <w:rPr>
          <w:rFonts w:ascii="Arial" w:hAnsi="Arial" w:cs="Arial"/>
          <w:sz w:val="24"/>
          <w:szCs w:val="24"/>
        </w:rPr>
        <w:t xml:space="preserve">, C. &amp; Costanzo, L.A. (2010) 'A process-based view of social entrepreneurship: From opportunity identification to scaling-up social change in the case of San </w:t>
      </w:r>
      <w:proofErr w:type="spellStart"/>
      <w:r w:rsidRPr="00286147">
        <w:rPr>
          <w:rFonts w:ascii="Arial" w:hAnsi="Arial" w:cs="Arial"/>
          <w:sz w:val="24"/>
          <w:szCs w:val="24"/>
        </w:rPr>
        <w:t>Patrignano</w:t>
      </w:r>
      <w:proofErr w:type="spellEnd"/>
      <w:r w:rsidRPr="00286147">
        <w:rPr>
          <w:rFonts w:ascii="Arial" w:hAnsi="Arial" w:cs="Arial"/>
          <w:sz w:val="24"/>
          <w:szCs w:val="24"/>
        </w:rPr>
        <w:t xml:space="preserve">', </w:t>
      </w:r>
      <w:r w:rsidRPr="00286147">
        <w:rPr>
          <w:rFonts w:ascii="Arial" w:hAnsi="Arial" w:cs="Arial"/>
          <w:i/>
          <w:iCs/>
          <w:sz w:val="24"/>
          <w:szCs w:val="24"/>
        </w:rPr>
        <w:t>Entrepreneurship &amp; Regional Development</w:t>
      </w:r>
      <w:r w:rsidRPr="00286147">
        <w:rPr>
          <w:rFonts w:ascii="Arial" w:hAnsi="Arial" w:cs="Arial"/>
          <w:sz w:val="24"/>
          <w:szCs w:val="24"/>
        </w:rPr>
        <w:t>, 22(6), pp. 515-534.</w:t>
      </w:r>
    </w:p>
    <w:p w14:paraId="01E0896E" w14:textId="77777777" w:rsidR="001A2765" w:rsidRPr="00286147" w:rsidRDefault="001A2765" w:rsidP="00286147">
      <w:pPr>
        <w:numPr>
          <w:ilvl w:val="0"/>
          <w:numId w:val="1"/>
        </w:numPr>
        <w:spacing w:after="160" w:line="360" w:lineRule="auto"/>
        <w:jc w:val="both"/>
        <w:rPr>
          <w:rFonts w:ascii="Arial" w:hAnsi="Arial" w:cs="Arial"/>
          <w:sz w:val="24"/>
          <w:szCs w:val="24"/>
        </w:rPr>
      </w:pPr>
      <w:r w:rsidRPr="00286147">
        <w:rPr>
          <w:rFonts w:ascii="Arial" w:hAnsi="Arial" w:cs="Arial"/>
          <w:sz w:val="24"/>
          <w:szCs w:val="24"/>
        </w:rPr>
        <w:t xml:space="preserve">Porter, M.E. &amp; Kramer, M.R. (2011) 'Creating Shared Value', </w:t>
      </w:r>
      <w:r w:rsidRPr="00286147">
        <w:rPr>
          <w:rFonts w:ascii="Arial" w:hAnsi="Arial" w:cs="Arial"/>
          <w:i/>
          <w:iCs/>
          <w:sz w:val="24"/>
          <w:szCs w:val="24"/>
        </w:rPr>
        <w:t>Harvard Business Review</w:t>
      </w:r>
      <w:r w:rsidRPr="00286147">
        <w:rPr>
          <w:rFonts w:ascii="Arial" w:hAnsi="Arial" w:cs="Arial"/>
          <w:sz w:val="24"/>
          <w:szCs w:val="24"/>
        </w:rPr>
        <w:t>, 89(1/2), pp. 62-77.</w:t>
      </w:r>
    </w:p>
    <w:p w14:paraId="1E04E1DB" w14:textId="77777777" w:rsidR="001A2765" w:rsidRPr="00286147" w:rsidRDefault="001A2765" w:rsidP="00286147">
      <w:pPr>
        <w:numPr>
          <w:ilvl w:val="0"/>
          <w:numId w:val="1"/>
        </w:numPr>
        <w:spacing w:after="160" w:line="360" w:lineRule="auto"/>
        <w:jc w:val="both"/>
        <w:rPr>
          <w:rFonts w:ascii="Arial" w:hAnsi="Arial" w:cs="Arial"/>
          <w:sz w:val="24"/>
          <w:szCs w:val="24"/>
        </w:rPr>
      </w:pPr>
      <w:r w:rsidRPr="00286147">
        <w:rPr>
          <w:rFonts w:ascii="Arial" w:hAnsi="Arial" w:cs="Arial"/>
          <w:sz w:val="24"/>
          <w:szCs w:val="24"/>
        </w:rPr>
        <w:t xml:space="preserve">Rawhouser, H., Cummings, M., &amp; Newbert, S.L. (2019) 'Social impact measurement: A new frontier for institutional theory', </w:t>
      </w:r>
      <w:r w:rsidRPr="00286147">
        <w:rPr>
          <w:rFonts w:ascii="Arial" w:hAnsi="Arial" w:cs="Arial"/>
          <w:i/>
          <w:iCs/>
          <w:sz w:val="24"/>
          <w:szCs w:val="24"/>
        </w:rPr>
        <w:t>Journal of Management</w:t>
      </w:r>
      <w:r w:rsidRPr="00286147">
        <w:rPr>
          <w:rFonts w:ascii="Arial" w:hAnsi="Arial" w:cs="Arial"/>
          <w:sz w:val="24"/>
          <w:szCs w:val="24"/>
        </w:rPr>
        <w:t>, 45(3), pp. 1085-1107.</w:t>
      </w:r>
    </w:p>
    <w:p w14:paraId="3C595E6F" w14:textId="77777777" w:rsidR="001A2765" w:rsidRPr="00286147" w:rsidRDefault="001A2765" w:rsidP="00286147">
      <w:pPr>
        <w:numPr>
          <w:ilvl w:val="0"/>
          <w:numId w:val="1"/>
        </w:numPr>
        <w:spacing w:after="160" w:line="360" w:lineRule="auto"/>
        <w:jc w:val="both"/>
        <w:rPr>
          <w:rFonts w:ascii="Arial" w:hAnsi="Arial" w:cs="Arial"/>
          <w:sz w:val="24"/>
          <w:szCs w:val="24"/>
        </w:rPr>
      </w:pPr>
      <w:r w:rsidRPr="00286147">
        <w:rPr>
          <w:rFonts w:ascii="Arial" w:hAnsi="Arial" w:cs="Arial"/>
          <w:sz w:val="24"/>
          <w:szCs w:val="24"/>
        </w:rPr>
        <w:t xml:space="preserve">Richards, G. (2015) 'The new geographies of tourism: space, place and the tourist experience', in </w:t>
      </w:r>
      <w:r w:rsidRPr="00286147">
        <w:rPr>
          <w:rFonts w:ascii="Arial" w:hAnsi="Arial" w:cs="Arial"/>
          <w:i/>
          <w:iCs/>
          <w:sz w:val="24"/>
          <w:szCs w:val="24"/>
        </w:rPr>
        <w:t>The Wiley Blackwell Companion to Tourism</w:t>
      </w:r>
      <w:r w:rsidRPr="00286147">
        <w:rPr>
          <w:rFonts w:ascii="Arial" w:hAnsi="Arial" w:cs="Arial"/>
          <w:sz w:val="24"/>
          <w:szCs w:val="24"/>
        </w:rPr>
        <w:t>. Chichester: John Wiley &amp; Sons, pp. 483-493.</w:t>
      </w:r>
    </w:p>
    <w:p w14:paraId="4B88AAEE" w14:textId="77777777" w:rsidR="001A2765" w:rsidRPr="00286147" w:rsidRDefault="001A2765" w:rsidP="00286147">
      <w:pPr>
        <w:numPr>
          <w:ilvl w:val="0"/>
          <w:numId w:val="1"/>
        </w:numPr>
        <w:spacing w:after="160" w:line="360" w:lineRule="auto"/>
        <w:jc w:val="both"/>
        <w:rPr>
          <w:rFonts w:ascii="Arial" w:hAnsi="Arial" w:cs="Arial"/>
          <w:sz w:val="24"/>
          <w:szCs w:val="24"/>
        </w:rPr>
      </w:pPr>
      <w:r w:rsidRPr="00286147">
        <w:rPr>
          <w:rFonts w:ascii="Arial" w:hAnsi="Arial" w:cs="Arial"/>
          <w:sz w:val="24"/>
          <w:szCs w:val="24"/>
        </w:rPr>
        <w:t xml:space="preserve">Rondinelli, D.A. &amp; London, T. (2003) 'How corporations and environmental groups cooperate: Assessing cross-sector alliances and collaborations', </w:t>
      </w:r>
      <w:r w:rsidRPr="00286147">
        <w:rPr>
          <w:rFonts w:ascii="Arial" w:hAnsi="Arial" w:cs="Arial"/>
          <w:i/>
          <w:iCs/>
          <w:sz w:val="24"/>
          <w:szCs w:val="24"/>
        </w:rPr>
        <w:t>Academy of Management Perspectives</w:t>
      </w:r>
      <w:r w:rsidRPr="00286147">
        <w:rPr>
          <w:rFonts w:ascii="Arial" w:hAnsi="Arial" w:cs="Arial"/>
          <w:sz w:val="24"/>
          <w:szCs w:val="24"/>
        </w:rPr>
        <w:t>, 17(1), pp. 61-79.</w:t>
      </w:r>
    </w:p>
    <w:p w14:paraId="551247CC" w14:textId="77777777" w:rsidR="001A2765" w:rsidRPr="00286147" w:rsidRDefault="001A2765" w:rsidP="00286147">
      <w:pPr>
        <w:numPr>
          <w:ilvl w:val="0"/>
          <w:numId w:val="1"/>
        </w:numPr>
        <w:spacing w:after="160" w:line="360" w:lineRule="auto"/>
        <w:jc w:val="both"/>
        <w:rPr>
          <w:rFonts w:ascii="Arial" w:hAnsi="Arial" w:cs="Arial"/>
          <w:sz w:val="24"/>
          <w:szCs w:val="24"/>
        </w:rPr>
      </w:pPr>
      <w:r w:rsidRPr="00286147">
        <w:rPr>
          <w:rFonts w:ascii="Arial" w:hAnsi="Arial" w:cs="Arial"/>
          <w:sz w:val="24"/>
          <w:szCs w:val="24"/>
        </w:rPr>
        <w:lastRenderedPageBreak/>
        <w:t xml:space="preserve">Sammut-Bonnici, T. &amp; Galea, D. (2015) 'PEST, PESTEL, STEEPLE Analysis', in </w:t>
      </w:r>
      <w:r w:rsidRPr="00286147">
        <w:rPr>
          <w:rFonts w:ascii="Arial" w:hAnsi="Arial" w:cs="Arial"/>
          <w:i/>
          <w:iCs/>
          <w:sz w:val="24"/>
          <w:szCs w:val="24"/>
        </w:rPr>
        <w:t>Wiley Encyclopedia of Management</w:t>
      </w:r>
      <w:r w:rsidRPr="00286147">
        <w:rPr>
          <w:rFonts w:ascii="Arial" w:hAnsi="Arial" w:cs="Arial"/>
          <w:sz w:val="24"/>
          <w:szCs w:val="24"/>
        </w:rPr>
        <w:t>. Chichester: John Wiley &amp; Sons.</w:t>
      </w:r>
    </w:p>
    <w:p w14:paraId="3959470F" w14:textId="77777777" w:rsidR="001A2765" w:rsidRPr="00286147" w:rsidRDefault="001A2765" w:rsidP="00286147">
      <w:pPr>
        <w:numPr>
          <w:ilvl w:val="0"/>
          <w:numId w:val="1"/>
        </w:numPr>
        <w:spacing w:after="160" w:line="360" w:lineRule="auto"/>
        <w:jc w:val="both"/>
        <w:rPr>
          <w:rFonts w:ascii="Arial" w:hAnsi="Arial" w:cs="Arial"/>
          <w:sz w:val="24"/>
          <w:szCs w:val="24"/>
        </w:rPr>
      </w:pPr>
      <w:r w:rsidRPr="00286147">
        <w:rPr>
          <w:rFonts w:ascii="Arial" w:hAnsi="Arial" w:cs="Arial"/>
          <w:sz w:val="24"/>
          <w:szCs w:val="24"/>
        </w:rPr>
        <w:t xml:space="preserve">Savitz, A.W. &amp; Weber, K. (2014) </w:t>
      </w:r>
      <w:r w:rsidRPr="00286147">
        <w:rPr>
          <w:rFonts w:ascii="Arial" w:hAnsi="Arial" w:cs="Arial"/>
          <w:i/>
          <w:iCs/>
          <w:sz w:val="24"/>
          <w:szCs w:val="24"/>
        </w:rPr>
        <w:t>The Triple Bottom Line: How Today's Best-Run Companies Are Achieving Economic, Social, and Environmental Success - and How You Can Too</w:t>
      </w:r>
      <w:r w:rsidRPr="00286147">
        <w:rPr>
          <w:rFonts w:ascii="Arial" w:hAnsi="Arial" w:cs="Arial"/>
          <w:sz w:val="24"/>
          <w:szCs w:val="24"/>
        </w:rPr>
        <w:t xml:space="preserve">. 2nd </w:t>
      </w:r>
      <w:proofErr w:type="spellStart"/>
      <w:r w:rsidRPr="00286147">
        <w:rPr>
          <w:rFonts w:ascii="Arial" w:hAnsi="Arial" w:cs="Arial"/>
          <w:sz w:val="24"/>
          <w:szCs w:val="24"/>
        </w:rPr>
        <w:t>edn</w:t>
      </w:r>
      <w:proofErr w:type="spellEnd"/>
      <w:r w:rsidRPr="00286147">
        <w:rPr>
          <w:rFonts w:ascii="Arial" w:hAnsi="Arial" w:cs="Arial"/>
          <w:sz w:val="24"/>
          <w:szCs w:val="24"/>
        </w:rPr>
        <w:t>. San Francisco, CA: Jossey-Bass.</w:t>
      </w:r>
    </w:p>
    <w:p w14:paraId="3107DE25" w14:textId="77777777" w:rsidR="001A2765" w:rsidRPr="00286147" w:rsidRDefault="001A2765" w:rsidP="00286147">
      <w:pPr>
        <w:numPr>
          <w:ilvl w:val="0"/>
          <w:numId w:val="1"/>
        </w:numPr>
        <w:spacing w:after="160" w:line="360" w:lineRule="auto"/>
        <w:jc w:val="both"/>
        <w:rPr>
          <w:rFonts w:ascii="Arial" w:hAnsi="Arial" w:cs="Arial"/>
          <w:sz w:val="24"/>
          <w:szCs w:val="24"/>
        </w:rPr>
      </w:pPr>
      <w:proofErr w:type="spellStart"/>
      <w:r w:rsidRPr="00286147">
        <w:rPr>
          <w:rFonts w:ascii="Arial" w:hAnsi="Arial" w:cs="Arial"/>
          <w:sz w:val="24"/>
          <w:szCs w:val="24"/>
        </w:rPr>
        <w:t>Schaltegger</w:t>
      </w:r>
      <w:proofErr w:type="spellEnd"/>
      <w:r w:rsidRPr="00286147">
        <w:rPr>
          <w:rFonts w:ascii="Arial" w:hAnsi="Arial" w:cs="Arial"/>
          <w:sz w:val="24"/>
          <w:szCs w:val="24"/>
        </w:rPr>
        <w:t xml:space="preserve">, S., &amp; Wagner, M. (2006) 'Managing the business case for sustainability: The integration of social and environmental management and accounting', in </w:t>
      </w:r>
      <w:r w:rsidRPr="00286147">
        <w:rPr>
          <w:rFonts w:ascii="Arial" w:hAnsi="Arial" w:cs="Arial"/>
          <w:i/>
          <w:iCs/>
          <w:sz w:val="24"/>
          <w:szCs w:val="24"/>
        </w:rPr>
        <w:t>Managing the Business Case for Sustainability</w:t>
      </w:r>
      <w:r w:rsidRPr="00286147">
        <w:rPr>
          <w:rFonts w:ascii="Arial" w:hAnsi="Arial" w:cs="Arial"/>
          <w:sz w:val="24"/>
          <w:szCs w:val="24"/>
        </w:rPr>
        <w:t>. Sheffield: Greenleaf Publishing, pp. 1-27.</w:t>
      </w:r>
    </w:p>
    <w:p w14:paraId="15E2072A" w14:textId="77777777" w:rsidR="001A2765" w:rsidRPr="00286147" w:rsidRDefault="001A2765" w:rsidP="00286147">
      <w:pPr>
        <w:numPr>
          <w:ilvl w:val="0"/>
          <w:numId w:val="1"/>
        </w:numPr>
        <w:spacing w:after="160" w:line="360" w:lineRule="auto"/>
        <w:jc w:val="both"/>
        <w:rPr>
          <w:rFonts w:ascii="Arial" w:hAnsi="Arial" w:cs="Arial"/>
          <w:sz w:val="24"/>
          <w:szCs w:val="24"/>
        </w:rPr>
      </w:pPr>
      <w:r w:rsidRPr="00286147">
        <w:rPr>
          <w:rFonts w:ascii="Arial" w:hAnsi="Arial" w:cs="Arial"/>
          <w:sz w:val="24"/>
          <w:szCs w:val="24"/>
        </w:rPr>
        <w:t xml:space="preserve">Schwartz, M.S. &amp; Carroll, A.B. (2003) 'Corporate social responsibility: A three-domain approach', </w:t>
      </w:r>
      <w:r w:rsidRPr="00286147">
        <w:rPr>
          <w:rFonts w:ascii="Arial" w:hAnsi="Arial" w:cs="Arial"/>
          <w:i/>
          <w:iCs/>
          <w:sz w:val="24"/>
          <w:szCs w:val="24"/>
        </w:rPr>
        <w:t>Business Ethics Quarterly</w:t>
      </w:r>
      <w:r w:rsidRPr="00286147">
        <w:rPr>
          <w:rFonts w:ascii="Arial" w:hAnsi="Arial" w:cs="Arial"/>
          <w:sz w:val="24"/>
          <w:szCs w:val="24"/>
        </w:rPr>
        <w:t>, 13(4), pp. 503-530.</w:t>
      </w:r>
    </w:p>
    <w:p w14:paraId="1B3981F2" w14:textId="77777777" w:rsidR="001A2765" w:rsidRPr="00286147" w:rsidRDefault="001A2765" w:rsidP="00286147">
      <w:pPr>
        <w:numPr>
          <w:ilvl w:val="0"/>
          <w:numId w:val="1"/>
        </w:numPr>
        <w:spacing w:after="160" w:line="360" w:lineRule="auto"/>
        <w:jc w:val="both"/>
        <w:rPr>
          <w:rFonts w:ascii="Arial" w:hAnsi="Arial" w:cs="Arial"/>
          <w:sz w:val="24"/>
          <w:szCs w:val="24"/>
        </w:rPr>
      </w:pPr>
      <w:r w:rsidRPr="00286147">
        <w:rPr>
          <w:rFonts w:ascii="Arial" w:hAnsi="Arial" w:cs="Arial"/>
          <w:sz w:val="24"/>
          <w:szCs w:val="24"/>
        </w:rPr>
        <w:t xml:space="preserve">Scottish Government (2023) </w:t>
      </w:r>
      <w:r w:rsidRPr="00286147">
        <w:rPr>
          <w:rFonts w:ascii="Arial" w:hAnsi="Arial" w:cs="Arial"/>
          <w:i/>
          <w:iCs/>
          <w:sz w:val="24"/>
          <w:szCs w:val="24"/>
        </w:rPr>
        <w:t>Securing a Green Recovery on a Path to Net Zero: Climate Change Plan 2018–2032 – update</w:t>
      </w:r>
      <w:r w:rsidRPr="00286147">
        <w:rPr>
          <w:rFonts w:ascii="Arial" w:hAnsi="Arial" w:cs="Arial"/>
          <w:sz w:val="24"/>
          <w:szCs w:val="24"/>
        </w:rPr>
        <w:t>. Edinburgh: Scottish Government.</w:t>
      </w:r>
    </w:p>
    <w:p w14:paraId="083AD06C" w14:textId="77777777" w:rsidR="001A2765" w:rsidRPr="00286147" w:rsidRDefault="001A2765" w:rsidP="00286147">
      <w:pPr>
        <w:numPr>
          <w:ilvl w:val="0"/>
          <w:numId w:val="1"/>
        </w:numPr>
        <w:spacing w:after="160" w:line="360" w:lineRule="auto"/>
        <w:jc w:val="both"/>
        <w:rPr>
          <w:rFonts w:ascii="Arial" w:hAnsi="Arial" w:cs="Arial"/>
          <w:sz w:val="24"/>
          <w:szCs w:val="24"/>
        </w:rPr>
      </w:pPr>
      <w:r w:rsidRPr="00286147">
        <w:rPr>
          <w:rFonts w:ascii="Arial" w:hAnsi="Arial" w:cs="Arial"/>
          <w:sz w:val="24"/>
          <w:szCs w:val="24"/>
        </w:rPr>
        <w:t xml:space="preserve">Sharma, S. &amp; Henriques, I. (2005) 'Stakeholder influences on sustainability practices in the Canadian forest products industry', </w:t>
      </w:r>
      <w:r w:rsidRPr="00286147">
        <w:rPr>
          <w:rFonts w:ascii="Arial" w:hAnsi="Arial" w:cs="Arial"/>
          <w:i/>
          <w:iCs/>
          <w:sz w:val="24"/>
          <w:szCs w:val="24"/>
        </w:rPr>
        <w:t>Strategic Management Journal</w:t>
      </w:r>
      <w:r w:rsidRPr="00286147">
        <w:rPr>
          <w:rFonts w:ascii="Arial" w:hAnsi="Arial" w:cs="Arial"/>
          <w:sz w:val="24"/>
          <w:szCs w:val="24"/>
        </w:rPr>
        <w:t>, 26(2), pp. 159-180.</w:t>
      </w:r>
    </w:p>
    <w:p w14:paraId="535A78DA" w14:textId="77777777" w:rsidR="001A2765" w:rsidRPr="00286147" w:rsidRDefault="001A2765" w:rsidP="00286147">
      <w:pPr>
        <w:numPr>
          <w:ilvl w:val="0"/>
          <w:numId w:val="1"/>
        </w:numPr>
        <w:spacing w:after="160" w:line="360" w:lineRule="auto"/>
        <w:jc w:val="both"/>
        <w:rPr>
          <w:rFonts w:ascii="Arial" w:hAnsi="Arial" w:cs="Arial"/>
          <w:sz w:val="24"/>
          <w:szCs w:val="24"/>
        </w:rPr>
      </w:pPr>
      <w:r w:rsidRPr="00286147">
        <w:rPr>
          <w:rFonts w:ascii="Arial" w:hAnsi="Arial" w:cs="Arial"/>
          <w:sz w:val="24"/>
          <w:szCs w:val="24"/>
        </w:rPr>
        <w:t xml:space="preserve">Sims, R.R. (2009) 'Food, place and authenticity: local food and the sustainable tourism experience', </w:t>
      </w:r>
      <w:r w:rsidRPr="00286147">
        <w:rPr>
          <w:rFonts w:ascii="Arial" w:hAnsi="Arial" w:cs="Arial"/>
          <w:i/>
          <w:iCs/>
          <w:sz w:val="24"/>
          <w:szCs w:val="24"/>
        </w:rPr>
        <w:t>Journal of Sustainable Tourism</w:t>
      </w:r>
      <w:r w:rsidRPr="00286147">
        <w:rPr>
          <w:rFonts w:ascii="Arial" w:hAnsi="Arial" w:cs="Arial"/>
          <w:sz w:val="24"/>
          <w:szCs w:val="24"/>
        </w:rPr>
        <w:t>, 17(3), pp. 321-336.</w:t>
      </w:r>
    </w:p>
    <w:p w14:paraId="50DB372F" w14:textId="77777777" w:rsidR="001A2765" w:rsidRPr="00286147" w:rsidRDefault="001A2765" w:rsidP="00286147">
      <w:pPr>
        <w:numPr>
          <w:ilvl w:val="0"/>
          <w:numId w:val="1"/>
        </w:numPr>
        <w:spacing w:after="160" w:line="360" w:lineRule="auto"/>
        <w:jc w:val="both"/>
        <w:rPr>
          <w:rFonts w:ascii="Arial" w:hAnsi="Arial" w:cs="Arial"/>
          <w:sz w:val="24"/>
          <w:szCs w:val="24"/>
        </w:rPr>
      </w:pPr>
      <w:proofErr w:type="spellStart"/>
      <w:r w:rsidRPr="00286147">
        <w:rPr>
          <w:rFonts w:ascii="Arial" w:hAnsi="Arial" w:cs="Arial"/>
          <w:sz w:val="24"/>
          <w:szCs w:val="24"/>
        </w:rPr>
        <w:t>Slaper</w:t>
      </w:r>
      <w:proofErr w:type="spellEnd"/>
      <w:r w:rsidRPr="00286147">
        <w:rPr>
          <w:rFonts w:ascii="Arial" w:hAnsi="Arial" w:cs="Arial"/>
          <w:sz w:val="24"/>
          <w:szCs w:val="24"/>
        </w:rPr>
        <w:t xml:space="preserve">, T.F., &amp; Hall, T.J. (2011) 'The triple bottom line: What is it and how does it work?', </w:t>
      </w:r>
      <w:r w:rsidRPr="00286147">
        <w:rPr>
          <w:rFonts w:ascii="Arial" w:hAnsi="Arial" w:cs="Arial"/>
          <w:i/>
          <w:iCs/>
          <w:sz w:val="24"/>
          <w:szCs w:val="24"/>
        </w:rPr>
        <w:t>Indiana Business Review</w:t>
      </w:r>
      <w:r w:rsidRPr="00286147">
        <w:rPr>
          <w:rFonts w:ascii="Arial" w:hAnsi="Arial" w:cs="Arial"/>
          <w:sz w:val="24"/>
          <w:szCs w:val="24"/>
        </w:rPr>
        <w:t>, 86(1), pp. 4-8.</w:t>
      </w:r>
    </w:p>
    <w:p w14:paraId="04E0E6D0" w14:textId="77777777" w:rsidR="001A2765" w:rsidRPr="00286147" w:rsidRDefault="001A2765" w:rsidP="00286147">
      <w:pPr>
        <w:numPr>
          <w:ilvl w:val="0"/>
          <w:numId w:val="1"/>
        </w:numPr>
        <w:spacing w:after="160" w:line="360" w:lineRule="auto"/>
        <w:jc w:val="both"/>
        <w:rPr>
          <w:rFonts w:ascii="Arial" w:hAnsi="Arial" w:cs="Arial"/>
          <w:sz w:val="24"/>
          <w:szCs w:val="24"/>
        </w:rPr>
      </w:pPr>
      <w:proofErr w:type="spellStart"/>
      <w:r w:rsidRPr="00286147">
        <w:rPr>
          <w:rFonts w:ascii="Arial" w:hAnsi="Arial" w:cs="Arial"/>
          <w:sz w:val="24"/>
          <w:szCs w:val="24"/>
        </w:rPr>
        <w:t>Weihrich</w:t>
      </w:r>
      <w:proofErr w:type="spellEnd"/>
      <w:r w:rsidRPr="00286147">
        <w:rPr>
          <w:rFonts w:ascii="Arial" w:hAnsi="Arial" w:cs="Arial"/>
          <w:sz w:val="24"/>
          <w:szCs w:val="24"/>
        </w:rPr>
        <w:t xml:space="preserve">, H. (1982) 'The TOWS matrix—A tool for situational analysis', </w:t>
      </w:r>
      <w:r w:rsidRPr="00286147">
        <w:rPr>
          <w:rFonts w:ascii="Arial" w:hAnsi="Arial" w:cs="Arial"/>
          <w:i/>
          <w:iCs/>
          <w:sz w:val="24"/>
          <w:szCs w:val="24"/>
        </w:rPr>
        <w:t>Long Range Planning</w:t>
      </w:r>
      <w:r w:rsidRPr="00286147">
        <w:rPr>
          <w:rFonts w:ascii="Arial" w:hAnsi="Arial" w:cs="Arial"/>
          <w:sz w:val="24"/>
          <w:szCs w:val="24"/>
        </w:rPr>
        <w:t>, 15(2), pp. 54-66.</w:t>
      </w:r>
    </w:p>
    <w:p w14:paraId="430359C8" w14:textId="77777777" w:rsidR="001A2765" w:rsidRPr="00286147" w:rsidRDefault="001A2765" w:rsidP="00286147">
      <w:pPr>
        <w:numPr>
          <w:ilvl w:val="0"/>
          <w:numId w:val="1"/>
        </w:numPr>
        <w:spacing w:after="160" w:line="360" w:lineRule="auto"/>
        <w:jc w:val="both"/>
        <w:rPr>
          <w:rFonts w:ascii="Arial" w:hAnsi="Arial" w:cs="Arial"/>
          <w:sz w:val="24"/>
          <w:szCs w:val="24"/>
        </w:rPr>
      </w:pPr>
      <w:r w:rsidRPr="00286147">
        <w:rPr>
          <w:rFonts w:ascii="Arial" w:hAnsi="Arial" w:cs="Arial"/>
          <w:sz w:val="24"/>
          <w:szCs w:val="24"/>
        </w:rPr>
        <w:t xml:space="preserve">Wernerfelt, B. (1984) 'A resource-based view of the firm', </w:t>
      </w:r>
      <w:r w:rsidRPr="00286147">
        <w:rPr>
          <w:rFonts w:ascii="Arial" w:hAnsi="Arial" w:cs="Arial"/>
          <w:i/>
          <w:iCs/>
          <w:sz w:val="24"/>
          <w:szCs w:val="24"/>
        </w:rPr>
        <w:t>Strategic Management Journal</w:t>
      </w:r>
      <w:r w:rsidRPr="00286147">
        <w:rPr>
          <w:rFonts w:ascii="Arial" w:hAnsi="Arial" w:cs="Arial"/>
          <w:sz w:val="24"/>
          <w:szCs w:val="24"/>
        </w:rPr>
        <w:t>, 5(2), pp. 171-180.</w:t>
      </w:r>
    </w:p>
    <w:p w14:paraId="72982B8A" w14:textId="77777777" w:rsidR="001A2765" w:rsidRPr="00286147" w:rsidRDefault="001A2765" w:rsidP="00286147">
      <w:pPr>
        <w:numPr>
          <w:ilvl w:val="0"/>
          <w:numId w:val="1"/>
        </w:numPr>
        <w:spacing w:after="160" w:line="360" w:lineRule="auto"/>
        <w:jc w:val="both"/>
        <w:rPr>
          <w:rFonts w:ascii="Arial" w:hAnsi="Arial" w:cs="Arial"/>
          <w:sz w:val="24"/>
          <w:szCs w:val="24"/>
        </w:rPr>
      </w:pPr>
      <w:r w:rsidRPr="00286147">
        <w:rPr>
          <w:rFonts w:ascii="Arial" w:hAnsi="Arial" w:cs="Arial"/>
          <w:sz w:val="24"/>
          <w:szCs w:val="24"/>
        </w:rPr>
        <w:t xml:space="preserve">Willard, B. (2012) </w:t>
      </w:r>
      <w:r w:rsidRPr="00286147">
        <w:rPr>
          <w:rFonts w:ascii="Arial" w:hAnsi="Arial" w:cs="Arial"/>
          <w:i/>
          <w:iCs/>
          <w:sz w:val="24"/>
          <w:szCs w:val="24"/>
        </w:rPr>
        <w:t>The New Sustainability Advantage: Seven Business Case Benefits of a Triple Bottom Line</w:t>
      </w:r>
      <w:r w:rsidRPr="00286147">
        <w:rPr>
          <w:rFonts w:ascii="Arial" w:hAnsi="Arial" w:cs="Arial"/>
          <w:sz w:val="24"/>
          <w:szCs w:val="24"/>
        </w:rPr>
        <w:t>. Gabriola Island, BC: New Society Publishers.</w:t>
      </w:r>
    </w:p>
    <w:p w14:paraId="52CB3DD3" w14:textId="77777777" w:rsidR="001A2765" w:rsidRPr="00286147" w:rsidRDefault="001A2765" w:rsidP="00286147">
      <w:pPr>
        <w:numPr>
          <w:ilvl w:val="0"/>
          <w:numId w:val="1"/>
        </w:numPr>
        <w:spacing w:after="160" w:line="360" w:lineRule="auto"/>
        <w:jc w:val="both"/>
        <w:rPr>
          <w:rFonts w:ascii="Arial" w:hAnsi="Arial" w:cs="Arial"/>
          <w:sz w:val="24"/>
          <w:szCs w:val="24"/>
        </w:rPr>
      </w:pPr>
      <w:r w:rsidRPr="00286147">
        <w:rPr>
          <w:rFonts w:ascii="Arial" w:hAnsi="Arial" w:cs="Arial"/>
          <w:sz w:val="24"/>
          <w:szCs w:val="24"/>
        </w:rPr>
        <w:lastRenderedPageBreak/>
        <w:t xml:space="preserve">Wittman, H. (2009) 'Reworking the metabolic rift: La Vía Campesina, agrarian citizenship, and food sovereignty', </w:t>
      </w:r>
      <w:r w:rsidRPr="00286147">
        <w:rPr>
          <w:rFonts w:ascii="Arial" w:hAnsi="Arial" w:cs="Arial"/>
          <w:i/>
          <w:iCs/>
          <w:sz w:val="24"/>
          <w:szCs w:val="24"/>
        </w:rPr>
        <w:t>The Journal of Peasant Studies</w:t>
      </w:r>
      <w:r w:rsidRPr="00286147">
        <w:rPr>
          <w:rFonts w:ascii="Arial" w:hAnsi="Arial" w:cs="Arial"/>
          <w:sz w:val="24"/>
          <w:szCs w:val="24"/>
        </w:rPr>
        <w:t>, 36(4), pp. 805-826.</w:t>
      </w:r>
    </w:p>
    <w:p w14:paraId="5A0FA8AF" w14:textId="77777777" w:rsidR="001A2765" w:rsidRPr="00286147" w:rsidRDefault="001A2765" w:rsidP="00286147">
      <w:pPr>
        <w:spacing w:line="360" w:lineRule="auto"/>
        <w:jc w:val="both"/>
        <w:rPr>
          <w:rFonts w:ascii="Arial" w:hAnsi="Arial" w:cs="Arial"/>
          <w:sz w:val="24"/>
          <w:szCs w:val="24"/>
        </w:rPr>
      </w:pPr>
    </w:p>
    <w:p w14:paraId="25C72408" w14:textId="77777777" w:rsidR="001A2765" w:rsidRPr="00286147" w:rsidRDefault="001A2765" w:rsidP="00286147">
      <w:pPr>
        <w:spacing w:line="360" w:lineRule="auto"/>
        <w:jc w:val="both"/>
        <w:rPr>
          <w:rFonts w:ascii="Arial" w:hAnsi="Arial" w:cs="Arial"/>
          <w:sz w:val="24"/>
          <w:szCs w:val="24"/>
        </w:rPr>
      </w:pPr>
    </w:p>
    <w:p w14:paraId="63BE144E" w14:textId="77777777" w:rsidR="001E33E9" w:rsidRPr="00286147" w:rsidRDefault="001E33E9" w:rsidP="00286147">
      <w:pPr>
        <w:spacing w:line="360" w:lineRule="auto"/>
        <w:jc w:val="both"/>
        <w:rPr>
          <w:rFonts w:ascii="Arial" w:hAnsi="Arial" w:cs="Arial"/>
          <w:sz w:val="24"/>
          <w:szCs w:val="24"/>
        </w:rPr>
      </w:pPr>
    </w:p>
    <w:sectPr w:rsidR="001E33E9" w:rsidRPr="00286147" w:rsidSect="00061039">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1837E0"/>
    <w:multiLevelType w:val="multilevel"/>
    <w:tmpl w:val="7E2841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413345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E15690"/>
    <w:rsid w:val="000A6345"/>
    <w:rsid w:val="00181E04"/>
    <w:rsid w:val="001A2765"/>
    <w:rsid w:val="001E10DB"/>
    <w:rsid w:val="001E33E9"/>
    <w:rsid w:val="00286147"/>
    <w:rsid w:val="00305D8D"/>
    <w:rsid w:val="003E3DD8"/>
    <w:rsid w:val="00434C0F"/>
    <w:rsid w:val="00456474"/>
    <w:rsid w:val="00463B64"/>
    <w:rsid w:val="005A3715"/>
    <w:rsid w:val="006078F3"/>
    <w:rsid w:val="00A050FC"/>
    <w:rsid w:val="00D47D90"/>
    <w:rsid w:val="00E146A0"/>
    <w:rsid w:val="00E15690"/>
    <w:rsid w:val="00E72387"/>
    <w:rsid w:val="00ED56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3202BD1"/>
  <w15:docId w15:val="{8EE091EE-9DD9-4528-ADA1-B2046B7BB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569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15690"/>
    <w:pPr>
      <w:spacing w:after="0" w:line="240" w:lineRule="auto"/>
    </w:pPr>
    <w:rPr>
      <w:rFonts w:eastAsiaTheme="minorEastAsia"/>
    </w:rPr>
  </w:style>
  <w:style w:type="character" w:customStyle="1" w:styleId="NoSpacingChar">
    <w:name w:val="No Spacing Char"/>
    <w:basedOn w:val="DefaultParagraphFont"/>
    <w:link w:val="NoSpacing"/>
    <w:uiPriority w:val="1"/>
    <w:rsid w:val="00E15690"/>
    <w:rPr>
      <w:rFonts w:eastAsiaTheme="minorEastAsia"/>
    </w:rPr>
  </w:style>
  <w:style w:type="paragraph" w:styleId="BalloonText">
    <w:name w:val="Balloon Text"/>
    <w:basedOn w:val="Normal"/>
    <w:link w:val="BalloonTextChar"/>
    <w:uiPriority w:val="99"/>
    <w:semiHidden/>
    <w:unhideWhenUsed/>
    <w:rsid w:val="00305D8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5D8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EBAA125-18A7-4C10-A33A-22A6B454CB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31</Pages>
  <Words>8669</Words>
  <Characters>49414</Characters>
  <Application>Microsoft Office Word</Application>
  <DocSecurity>0</DocSecurity>
  <Lines>411</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16</cp:revision>
  <dcterms:created xsi:type="dcterms:W3CDTF">2025-06-01T17:23:00Z</dcterms:created>
  <dcterms:modified xsi:type="dcterms:W3CDTF">2025-06-27T21:50:00Z</dcterms:modified>
</cp:coreProperties>
</file>