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5B9BD5" w:themeColor="accent1"/>
          <w:sz w:val="24"/>
          <w:szCs w:val="24"/>
          <w:lang w:val="en-GB"/>
        </w:rPr>
        <w:id w:val="-1522475554"/>
        <w:docPartObj>
          <w:docPartGallery w:val="Cover Pages"/>
          <w:docPartUnique/>
        </w:docPartObj>
      </w:sdtPr>
      <w:sdtEndPr>
        <w:rPr>
          <w:color w:val="auto"/>
        </w:rPr>
      </w:sdtEndPr>
      <w:sdtContent>
        <w:p w14:paraId="5384490A" w14:textId="77777777" w:rsidR="007D1947" w:rsidRPr="002924BD" w:rsidRDefault="007D1947">
          <w:pPr>
            <w:pStyle w:val="NoSpacing"/>
            <w:spacing w:before="1540" w:after="240"/>
            <w:jc w:val="center"/>
            <w:rPr>
              <w:rFonts w:ascii="Times New Roman" w:hAnsi="Times New Roman" w:cs="Times New Roman"/>
              <w:color w:val="5B9BD5" w:themeColor="accent1"/>
              <w:sz w:val="24"/>
              <w:szCs w:val="24"/>
            </w:rPr>
          </w:pPr>
          <w:r w:rsidRPr="002924BD">
            <w:rPr>
              <w:rFonts w:ascii="Times New Roman" w:hAnsi="Times New Roman" w:cs="Times New Roman"/>
              <w:noProof/>
              <w:color w:val="5B9BD5" w:themeColor="accent1"/>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4F30850" w14:textId="77777777" w:rsidR="00FA3277" w:rsidRPr="00FA3277" w:rsidRDefault="003F46EC">
          <w:pPr>
            <w:pStyle w:val="NoSpacing"/>
            <w:jc w:val="center"/>
            <w:rPr>
              <w:rFonts w:ascii="-webkit-standard" w:hAnsi="-webkit-standard"/>
              <w:color w:val="4472C4" w:themeColor="accent5"/>
              <w:sz w:val="48"/>
              <w:szCs w:val="48"/>
            </w:rPr>
          </w:pPr>
          <w:r w:rsidRPr="00FA3277">
            <w:rPr>
              <w:rFonts w:ascii="-webkit-standard" w:hAnsi="-webkit-standard"/>
              <w:color w:val="4472C4" w:themeColor="accent5"/>
              <w:sz w:val="48"/>
              <w:szCs w:val="48"/>
            </w:rPr>
            <w:t>Financial Performance Analysis of</w:t>
          </w:r>
          <w:r w:rsidRPr="00FA3277">
            <w:rPr>
              <w:rStyle w:val="apple-converted-space"/>
              <w:rFonts w:ascii="-webkit-standard" w:hAnsi="-webkit-standard"/>
              <w:color w:val="4472C4" w:themeColor="accent5"/>
              <w:sz w:val="48"/>
              <w:szCs w:val="48"/>
            </w:rPr>
            <w:t> </w:t>
          </w:r>
          <w:r w:rsidRPr="00FA3277">
            <w:rPr>
              <w:rStyle w:val="whitespace-normal"/>
              <w:color w:val="4472C4" w:themeColor="accent5"/>
              <w:sz w:val="48"/>
              <w:szCs w:val="48"/>
            </w:rPr>
            <w:t>Barclays PLC</w:t>
          </w:r>
          <w:r w:rsidRPr="00FA3277">
            <w:rPr>
              <w:rStyle w:val="apple-converted-space"/>
              <w:rFonts w:ascii="-webkit-standard" w:hAnsi="-webkit-standard"/>
              <w:color w:val="4472C4" w:themeColor="accent5"/>
              <w:sz w:val="48"/>
              <w:szCs w:val="48"/>
            </w:rPr>
            <w:t> </w:t>
          </w:r>
          <w:r w:rsidRPr="00FA3277">
            <w:rPr>
              <w:rFonts w:ascii="-webkit-standard" w:hAnsi="-webkit-standard"/>
              <w:color w:val="4472C4" w:themeColor="accent5"/>
              <w:sz w:val="48"/>
              <w:szCs w:val="48"/>
            </w:rPr>
            <w:t>and Investment Appraisal Decision for Beard Plc</w:t>
          </w:r>
        </w:p>
        <w:p w14:paraId="475B7674" w14:textId="4BFB5B86" w:rsidR="007D1947" w:rsidRPr="006A39A2" w:rsidRDefault="00000000">
          <w:pPr>
            <w:pStyle w:val="NoSpacing"/>
            <w:jc w:val="center"/>
            <w:rPr>
              <w:rFonts w:ascii="Times New Roman" w:hAnsi="Times New Roman" w:cs="Times New Roman"/>
              <w:color w:val="5B9BD5" w:themeColor="accent1"/>
              <w:sz w:val="28"/>
              <w:szCs w:val="28"/>
            </w:rPr>
          </w:pPr>
          <w:sdt>
            <w:sdtPr>
              <w:rPr>
                <w:rFonts w:ascii="Times New Roman" w:hAnsi="Times New Roman" w:cs="Times New Roman"/>
                <w:color w:val="5B9BD5" w:themeColor="accent1"/>
                <w:sz w:val="32"/>
                <w:szCs w:val="32"/>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6A39A2" w:rsidRPr="006A39A2">
                <w:rPr>
                  <w:rFonts w:ascii="Times New Roman" w:hAnsi="Times New Roman" w:cs="Times New Roman"/>
                  <w:color w:val="5B9BD5" w:themeColor="accent1"/>
                  <w:sz w:val="32"/>
                  <w:szCs w:val="32"/>
                </w:rPr>
                <w:t>BMMB7005-Finance for Business Managers</w:t>
              </w:r>
            </w:sdtContent>
          </w:sdt>
        </w:p>
        <w:p w14:paraId="1ADC1124" w14:textId="45E4F1F6" w:rsidR="007D1947" w:rsidRPr="002924BD" w:rsidRDefault="007D1947">
          <w:pPr>
            <w:pStyle w:val="NoSpacing"/>
            <w:spacing w:before="480"/>
            <w:jc w:val="center"/>
            <w:rPr>
              <w:rFonts w:ascii="Times New Roman" w:hAnsi="Times New Roman" w:cs="Times New Roman"/>
              <w:color w:val="5B9BD5" w:themeColor="accent1"/>
              <w:sz w:val="24"/>
              <w:szCs w:val="24"/>
            </w:rPr>
          </w:pPr>
          <w:r w:rsidRPr="002924BD">
            <w:rPr>
              <w:rFonts w:ascii="Times New Roman" w:hAnsi="Times New Roman" w:cs="Times New Roman"/>
              <w:noProof/>
              <w:color w:val="5B9BD5" w:themeColor="accent1"/>
              <w:sz w:val="24"/>
              <w:szCs w:val="24"/>
              <w:lang w:val="en-GB" w:eastAsia="en-GB"/>
            </w:rPr>
            <w:drawing>
              <wp:inline distT="0" distB="0" distL="0" distR="0" wp14:anchorId="4157B111" wp14:editId="49549B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52DACC8E" w:rsidR="007D1947" w:rsidRDefault="006A39A2" w:rsidP="007D1947">
          <w:pPr>
            <w:pStyle w:val="Heading1"/>
            <w:rPr>
              <w:rFonts w:ascii="Times New Roman" w:hAnsi="Times New Roman" w:cs="Times New Roman"/>
            </w:rPr>
          </w:pPr>
          <w:bookmarkStart w:id="0" w:name="_Toc227530751"/>
          <w:r w:rsidRPr="002924BD">
            <w:rPr>
              <w:rFonts w:ascii="Times New Roman" w:hAnsi="Times New Roman" w:cs="Times New Roman"/>
              <w:noProof/>
              <w:color w:val="5B9BD5" w:themeColor="accent1"/>
              <w:sz w:val="24"/>
              <w:szCs w:val="24"/>
              <w:lang w:eastAsia="en-GB"/>
            </w:rPr>
            <mc:AlternateContent>
              <mc:Choice Requires="wps">
                <w:drawing>
                  <wp:anchor distT="0" distB="0" distL="114300" distR="114300" simplePos="0" relativeHeight="251659264" behindDoc="0" locked="0" layoutInCell="1" allowOverlap="1" wp14:anchorId="4A6131BB" wp14:editId="785ECBE0">
                    <wp:simplePos x="0" y="0"/>
                    <wp:positionH relativeFrom="margin">
                      <wp:posOffset>14297</wp:posOffset>
                    </wp:positionH>
                    <wp:positionV relativeFrom="page">
                      <wp:posOffset>9088120</wp:posOffset>
                    </wp:positionV>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Content>
                                  <w:p w14:paraId="52BAF8D9" w14:textId="0DB99B04" w:rsidR="007D1947" w:rsidRPr="006A39A2" w:rsidRDefault="006A39A2">
                                    <w:pPr>
                                      <w:pStyle w:val="NoSpacing"/>
                                      <w:spacing w:after="40"/>
                                      <w:jc w:val="center"/>
                                      <w:rPr>
                                        <w:rFonts w:ascii="Times New Roman" w:hAnsi="Times New Roman" w:cs="Times New Roman"/>
                                        <w:caps/>
                                        <w:color w:val="5B9BD5" w:themeColor="accent1"/>
                                        <w:sz w:val="32"/>
                                        <w:szCs w:val="32"/>
                                      </w:rPr>
                                    </w:pPr>
                                    <w:r w:rsidRPr="006A39A2">
                                      <w:rPr>
                                        <w:rFonts w:ascii="Times New Roman" w:hAnsi="Times New Roman" w:cs="Times New Roman"/>
                                        <w:caps/>
                                        <w:color w:val="5B9BD5" w:themeColor="accent1"/>
                                        <w:sz w:val="32"/>
                                        <w:szCs w:val="32"/>
                                      </w:rPr>
                                      <w:t>April 20, 2026</w:t>
                                    </w:r>
                                  </w:p>
                                </w:sdtContent>
                              </w:sdt>
                              <w:p w14:paraId="69E98CB3" w14:textId="77777777" w:rsidR="007D1947" w:rsidRPr="006A39A2" w:rsidRDefault="00000000">
                                <w:pPr>
                                  <w:pStyle w:val="NoSpacing"/>
                                  <w:jc w:val="center"/>
                                  <w:rPr>
                                    <w:rFonts w:ascii="Times New Roman" w:hAnsi="Times New Roman" w:cs="Times New Roman"/>
                                    <w:color w:val="5B9BD5" w:themeColor="accent1"/>
                                    <w:sz w:val="32"/>
                                    <w:szCs w:val="32"/>
                                  </w:rPr>
                                </w:pPr>
                                <w:sdt>
                                  <w:sdtPr>
                                    <w:rPr>
                                      <w:rFonts w:ascii="Times New Roman" w:hAnsi="Times New Roman" w:cs="Times New Roman"/>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6A39A2">
                                      <w:rPr>
                                        <w:rFonts w:ascii="Times New Roman" w:hAnsi="Times New Roman" w:cs="Times New Roman"/>
                                        <w:caps/>
                                        <w:color w:val="5B9BD5" w:themeColor="accent1"/>
                                        <w:sz w:val="32"/>
                                        <w:szCs w:val="3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1.15pt;margin-top:715.6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" filled="f" stroked="f" strokeweight=".5pt">
                    <v:textbox style="mso-fit-shape-to-text:t" inset="0,0,0,0">
                      <w:txbxContent>
                        <w:sdt>
                          <w:sdtPr>
                            <w:rPr>
                              <w:rFonts w:ascii="Times New Roman" w:hAnsi="Times New Roman" w:cs="Times New Roman"/>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Content>
                            <w:p w14:paraId="52BAF8D9" w14:textId="0DB99B04" w:rsidR="007D1947" w:rsidRPr="006A39A2" w:rsidRDefault="006A39A2">
                              <w:pPr>
                                <w:pStyle w:val="NoSpacing"/>
                                <w:spacing w:after="40"/>
                                <w:jc w:val="center"/>
                                <w:rPr>
                                  <w:rFonts w:ascii="Times New Roman" w:hAnsi="Times New Roman" w:cs="Times New Roman"/>
                                  <w:caps/>
                                  <w:color w:val="5B9BD5" w:themeColor="accent1"/>
                                  <w:sz w:val="32"/>
                                  <w:szCs w:val="32"/>
                                </w:rPr>
                              </w:pPr>
                              <w:r w:rsidRPr="006A39A2">
                                <w:rPr>
                                  <w:rFonts w:ascii="Times New Roman" w:hAnsi="Times New Roman" w:cs="Times New Roman"/>
                                  <w:caps/>
                                  <w:color w:val="5B9BD5" w:themeColor="accent1"/>
                                  <w:sz w:val="32"/>
                                  <w:szCs w:val="32"/>
                                </w:rPr>
                                <w:t>April 20, 2026</w:t>
                              </w:r>
                            </w:p>
                          </w:sdtContent>
                        </w:sdt>
                        <w:p w14:paraId="69E98CB3" w14:textId="77777777" w:rsidR="007D1947" w:rsidRPr="006A39A2" w:rsidRDefault="00000000">
                          <w:pPr>
                            <w:pStyle w:val="NoSpacing"/>
                            <w:jc w:val="center"/>
                            <w:rPr>
                              <w:rFonts w:ascii="Times New Roman" w:hAnsi="Times New Roman" w:cs="Times New Roman"/>
                              <w:color w:val="5B9BD5" w:themeColor="accent1"/>
                              <w:sz w:val="32"/>
                              <w:szCs w:val="32"/>
                            </w:rPr>
                          </w:pPr>
                          <w:sdt>
                            <w:sdtPr>
                              <w:rPr>
                                <w:rFonts w:ascii="Times New Roman" w:hAnsi="Times New Roman" w:cs="Times New Roman"/>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6A39A2">
                                <w:rPr>
                                  <w:rFonts w:ascii="Times New Roman" w:hAnsi="Times New Roman" w:cs="Times New Roman"/>
                                  <w:caps/>
                                  <w:color w:val="5B9BD5" w:themeColor="accent1"/>
                                  <w:sz w:val="32"/>
                                  <w:szCs w:val="3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7D1947" w:rsidRPr="002924BD">
            <w:rPr>
              <w:rFonts w:ascii="Times New Roman" w:hAnsi="Times New Roman" w:cs="Times New Roman"/>
              <w:sz w:val="24"/>
              <w:szCs w:val="24"/>
            </w:rPr>
            <w:br w:type="page"/>
          </w:r>
          <w:r w:rsidR="007D1947" w:rsidRPr="006A39A2">
            <w:rPr>
              <w:rFonts w:ascii="Times New Roman" w:hAnsi="Times New Roman" w:cs="Times New Roman"/>
            </w:rPr>
            <w:lastRenderedPageBreak/>
            <w:t>Executive Summary</w:t>
          </w:r>
          <w:bookmarkEnd w:id="0"/>
        </w:p>
        <w:p w14:paraId="143F0DA0" w14:textId="77777777" w:rsidR="006A39A2" w:rsidRPr="006A39A2" w:rsidRDefault="006A39A2" w:rsidP="006A39A2"/>
        <w:p w14:paraId="66B06A1F"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This report evaluates two connected areas of financial management: the financial performance of Barclays PLC and the capital investment decision facing Beard Plc. In Part 1, Barclays PLC is selected because its ordinary shares trade on the London Stock Exchange and it is a FTSE 100 constituent. The analysis uses profitability, liquidity, gearing, efficiency and investor ratios for the financial years 2024 and 2025. The results indicate that Barclays improved its headline performance in 2025. Total income increased to £29.1bn, profit before tax rose to £9.139bn, return on tangible equity increased from 10.5% to 11.3%, and earnings per share rose from 36.0p to 43.8p. The capital position also strengthened, with the CET1 ratio increasing from 13.6% to 14.3%. Liquidity remained well above the regulatory minimum, with an LCR of 170.0% and NSFR of 135.2%.</w:t>
          </w:r>
        </w:p>
        <w:p w14:paraId="18E421C6"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However, the improvement is not risk-free. The cost: income ratio remained high at 61%, credit impairment charges increased to £2.3bn, and group-level ratios can hide differences between UK retail banking, investment banking, wealth management and US consumer banking. The report therefore recommends continued cost discipline, cautious capital distributions, stronger credit risk monitoring and clearer reporting of recurring versus non-recurring performance drivers.</w:t>
          </w:r>
        </w:p>
        <w:p w14:paraId="02F05BBC"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Part 2 evaluates Beard Plc’s three four-year investment options using net present value, internal rate of return and capital rationing. Option A has a negative NPV of approximately -£3,263 and should be rejected. Options B and C have positive NPVs of approximately £73,952 and £91,226 respectively. Option C is the strongest stand-alone project because it creates the greatest expected shareholder wealth and has an approximate IRR of 8.57%, which exceeds the 5% cost of capital. Under a £1.5m capital constraint, the optimal policy is to invest fully in Option C and use the remaining £500,000 to fund 55.56% of Option B, producing a combined NPV of approximately £132,310. The report advises Beard Plc to use NPV as the primary decision rule, but to consider demand risk, operational capacity, working capital, strategic fit and financing capacity before implementation.</w:t>
          </w:r>
        </w:p>
        <w:p w14:paraId="6846CF66" w14:textId="77777777" w:rsidR="007D1947" w:rsidRPr="002924BD" w:rsidRDefault="007D1947">
          <w:pPr>
            <w:rPr>
              <w:rFonts w:ascii="Times New Roman" w:hAnsi="Times New Roman" w:cs="Times New Roman"/>
              <w:sz w:val="24"/>
              <w:szCs w:val="24"/>
            </w:rPr>
          </w:pPr>
        </w:p>
        <w:p w14:paraId="7F8F78F5" w14:textId="77777777" w:rsidR="007D1947" w:rsidRPr="002924BD" w:rsidRDefault="007D1947">
          <w:pPr>
            <w:rPr>
              <w:rFonts w:ascii="Times New Roman" w:hAnsi="Times New Roman" w:cs="Times New Roman"/>
              <w:sz w:val="24"/>
              <w:szCs w:val="24"/>
            </w:rPr>
          </w:pPr>
        </w:p>
        <w:p w14:paraId="3E204757" w14:textId="77777777" w:rsidR="007D1947" w:rsidRPr="002924BD" w:rsidRDefault="007D1947">
          <w:pPr>
            <w:rPr>
              <w:rFonts w:ascii="Times New Roman" w:hAnsi="Times New Roman" w:cs="Times New Roman"/>
              <w:sz w:val="24"/>
              <w:szCs w:val="24"/>
            </w:rPr>
          </w:pPr>
        </w:p>
        <w:p w14:paraId="775DA3A7" w14:textId="77777777" w:rsidR="007D1947" w:rsidRPr="002924BD" w:rsidRDefault="007D1947">
          <w:pPr>
            <w:rPr>
              <w:rFonts w:ascii="Times New Roman" w:hAnsi="Times New Roman" w:cs="Times New Roman"/>
              <w:sz w:val="24"/>
              <w:szCs w:val="24"/>
            </w:rPr>
          </w:pPr>
        </w:p>
        <w:p w14:paraId="5E5C2FB5" w14:textId="77777777" w:rsidR="007D1947" w:rsidRPr="002924BD" w:rsidRDefault="007D1947">
          <w:pPr>
            <w:rPr>
              <w:rFonts w:ascii="Times New Roman" w:hAnsi="Times New Roman" w:cs="Times New Roman"/>
              <w:sz w:val="24"/>
              <w:szCs w:val="24"/>
            </w:rPr>
          </w:pPr>
        </w:p>
        <w:p w14:paraId="119F1E47" w14:textId="77777777" w:rsidR="007D1947" w:rsidRPr="002924BD" w:rsidRDefault="007D1947">
          <w:pPr>
            <w:rPr>
              <w:rFonts w:ascii="Times New Roman" w:hAnsi="Times New Roman" w:cs="Times New Roman"/>
              <w:sz w:val="24"/>
              <w:szCs w:val="24"/>
            </w:rPr>
          </w:pPr>
        </w:p>
        <w:p w14:paraId="2059565F" w14:textId="77777777" w:rsidR="007D1947" w:rsidRPr="002924BD" w:rsidRDefault="007D1947">
          <w:pPr>
            <w:rPr>
              <w:rFonts w:ascii="Times New Roman" w:hAnsi="Times New Roman" w:cs="Times New Roman"/>
              <w:sz w:val="24"/>
              <w:szCs w:val="24"/>
            </w:rPr>
          </w:pPr>
        </w:p>
        <w:p w14:paraId="1E53466B" w14:textId="77777777" w:rsidR="007D1947" w:rsidRPr="002924BD" w:rsidRDefault="007D1947">
          <w:pPr>
            <w:rPr>
              <w:rFonts w:ascii="Times New Roman" w:hAnsi="Times New Roman" w:cs="Times New Roman"/>
              <w:sz w:val="24"/>
              <w:szCs w:val="24"/>
            </w:rPr>
          </w:pPr>
        </w:p>
        <w:p w14:paraId="6AD6DEAB" w14:textId="77777777" w:rsidR="007D1947" w:rsidRPr="002924BD" w:rsidRDefault="007D1947">
          <w:pPr>
            <w:rPr>
              <w:rFonts w:ascii="Times New Roman" w:hAnsi="Times New Roman" w:cs="Times New Roman"/>
              <w:sz w:val="24"/>
              <w:szCs w:val="24"/>
            </w:rPr>
          </w:pPr>
        </w:p>
        <w:p w14:paraId="50292428" w14:textId="77777777" w:rsidR="007D1947" w:rsidRPr="002924BD" w:rsidRDefault="007D1947">
          <w:pPr>
            <w:rPr>
              <w:rFonts w:ascii="Times New Roman" w:hAnsi="Times New Roman" w:cs="Times New Roman"/>
              <w:sz w:val="24"/>
              <w:szCs w:val="24"/>
            </w:rPr>
          </w:pPr>
        </w:p>
        <w:p w14:paraId="0EAD00A7" w14:textId="77777777" w:rsidR="007D1947" w:rsidRPr="002924BD" w:rsidRDefault="007D1947">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6A39A2" w:rsidRDefault="007D1947">
              <w:pPr>
                <w:pStyle w:val="TOCHeading"/>
                <w:rPr>
                  <w:rFonts w:ascii="Times New Roman" w:hAnsi="Times New Roman" w:cs="Times New Roman"/>
                  <w:sz w:val="36"/>
                  <w:szCs w:val="36"/>
                </w:rPr>
              </w:pPr>
              <w:r w:rsidRPr="006A39A2">
                <w:rPr>
                  <w:rFonts w:ascii="Times New Roman" w:hAnsi="Times New Roman" w:cs="Times New Roman"/>
                  <w:sz w:val="36"/>
                  <w:szCs w:val="36"/>
                </w:rPr>
                <w:t>Table of Contents</w:t>
              </w:r>
            </w:p>
            <w:p w14:paraId="4DFCD966" w14:textId="63AB1CE0" w:rsidR="006A39A2" w:rsidRDefault="007D1947">
              <w:pPr>
                <w:pStyle w:val="TOC1"/>
                <w:tabs>
                  <w:tab w:val="right" w:leader="dot" w:pos="9016"/>
                </w:tabs>
                <w:rPr>
                  <w:rFonts w:eastAsiaTheme="minorEastAsia"/>
                  <w:noProof/>
                  <w:kern w:val="2"/>
                  <w:sz w:val="24"/>
                  <w:szCs w:val="24"/>
                  <w:lang w:val="en-IN" w:eastAsia="en-GB"/>
                  <w14:ligatures w14:val="standardContextual"/>
                </w:rPr>
              </w:pPr>
              <w:r w:rsidRPr="002924BD">
                <w:rPr>
                  <w:rFonts w:ascii="Times New Roman" w:hAnsi="Times New Roman" w:cs="Times New Roman"/>
                  <w:sz w:val="24"/>
                  <w:szCs w:val="24"/>
                </w:rPr>
                <w:fldChar w:fldCharType="begin"/>
              </w:r>
              <w:r w:rsidRPr="002924BD">
                <w:rPr>
                  <w:rFonts w:ascii="Times New Roman" w:hAnsi="Times New Roman" w:cs="Times New Roman"/>
                  <w:sz w:val="24"/>
                  <w:szCs w:val="24"/>
                </w:rPr>
                <w:instrText xml:space="preserve"> TOC \o "1-3" \h \z \u </w:instrText>
              </w:r>
              <w:r w:rsidRPr="002924BD">
                <w:rPr>
                  <w:rFonts w:ascii="Times New Roman" w:hAnsi="Times New Roman" w:cs="Times New Roman"/>
                  <w:sz w:val="24"/>
                  <w:szCs w:val="24"/>
                </w:rPr>
                <w:fldChar w:fldCharType="separate"/>
              </w:r>
              <w:hyperlink w:anchor="_Toc227530751" w:history="1">
                <w:r w:rsidR="006A39A2" w:rsidRPr="00DB55AB">
                  <w:rPr>
                    <w:rStyle w:val="Hyperlink"/>
                    <w:rFonts w:ascii="Times New Roman" w:hAnsi="Times New Roman" w:cs="Times New Roman"/>
                    <w:noProof/>
                  </w:rPr>
                  <w:t>Executive Summary</w:t>
                </w:r>
                <w:r w:rsidR="006A39A2">
                  <w:rPr>
                    <w:noProof/>
                    <w:webHidden/>
                  </w:rPr>
                  <w:tab/>
                </w:r>
                <w:r w:rsidR="006A39A2">
                  <w:rPr>
                    <w:noProof/>
                    <w:webHidden/>
                  </w:rPr>
                  <w:fldChar w:fldCharType="begin"/>
                </w:r>
                <w:r w:rsidR="006A39A2">
                  <w:rPr>
                    <w:noProof/>
                    <w:webHidden/>
                  </w:rPr>
                  <w:instrText xml:space="preserve"> PAGEREF _Toc227530751 \h </w:instrText>
                </w:r>
                <w:r w:rsidR="006A39A2">
                  <w:rPr>
                    <w:noProof/>
                    <w:webHidden/>
                  </w:rPr>
                </w:r>
                <w:r w:rsidR="006A39A2">
                  <w:rPr>
                    <w:noProof/>
                    <w:webHidden/>
                  </w:rPr>
                  <w:fldChar w:fldCharType="separate"/>
                </w:r>
                <w:r w:rsidR="006A39A2">
                  <w:rPr>
                    <w:noProof/>
                    <w:webHidden/>
                  </w:rPr>
                  <w:t>0</w:t>
                </w:r>
                <w:r w:rsidR="006A39A2">
                  <w:rPr>
                    <w:noProof/>
                    <w:webHidden/>
                  </w:rPr>
                  <w:fldChar w:fldCharType="end"/>
                </w:r>
              </w:hyperlink>
            </w:p>
            <w:p w14:paraId="782D08C0" w14:textId="5A59EDD0"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52" w:history="1">
                <w:r w:rsidRPr="00DB55A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_Toc227530752 \h </w:instrText>
                </w:r>
                <w:r>
                  <w:rPr>
                    <w:noProof/>
                    <w:webHidden/>
                  </w:rPr>
                </w:r>
                <w:r>
                  <w:rPr>
                    <w:noProof/>
                    <w:webHidden/>
                  </w:rPr>
                  <w:fldChar w:fldCharType="separate"/>
                </w:r>
                <w:r>
                  <w:rPr>
                    <w:noProof/>
                    <w:webHidden/>
                  </w:rPr>
                  <w:t>3</w:t>
                </w:r>
                <w:r>
                  <w:rPr>
                    <w:noProof/>
                    <w:webHidden/>
                  </w:rPr>
                  <w:fldChar w:fldCharType="end"/>
                </w:r>
              </w:hyperlink>
            </w:p>
            <w:p w14:paraId="72B5A0C3" w14:textId="2A9D04E5"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53" w:history="1">
                <w:r w:rsidRPr="00DB55AB">
                  <w:rPr>
                    <w:rStyle w:val="Hyperlink"/>
                    <w:rFonts w:ascii="Times New Roman" w:hAnsi="Times New Roman" w:cs="Times New Roman"/>
                    <w:noProof/>
                  </w:rPr>
                  <w:t>Main Findings</w:t>
                </w:r>
                <w:r>
                  <w:rPr>
                    <w:noProof/>
                    <w:webHidden/>
                  </w:rPr>
                  <w:tab/>
                </w:r>
                <w:r>
                  <w:rPr>
                    <w:noProof/>
                    <w:webHidden/>
                  </w:rPr>
                  <w:fldChar w:fldCharType="begin"/>
                </w:r>
                <w:r>
                  <w:rPr>
                    <w:noProof/>
                    <w:webHidden/>
                  </w:rPr>
                  <w:instrText xml:space="preserve"> PAGEREF _Toc227530753 \h </w:instrText>
                </w:r>
                <w:r>
                  <w:rPr>
                    <w:noProof/>
                    <w:webHidden/>
                  </w:rPr>
                </w:r>
                <w:r>
                  <w:rPr>
                    <w:noProof/>
                    <w:webHidden/>
                  </w:rPr>
                  <w:fldChar w:fldCharType="separate"/>
                </w:r>
                <w:r>
                  <w:rPr>
                    <w:noProof/>
                    <w:webHidden/>
                  </w:rPr>
                  <w:t>4</w:t>
                </w:r>
                <w:r>
                  <w:rPr>
                    <w:noProof/>
                    <w:webHidden/>
                  </w:rPr>
                  <w:fldChar w:fldCharType="end"/>
                </w:r>
              </w:hyperlink>
            </w:p>
            <w:p w14:paraId="3CE55226" w14:textId="53FD9F0F"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54" w:history="1">
                <w:r w:rsidRPr="00DB55AB">
                  <w:rPr>
                    <w:rStyle w:val="Hyperlink"/>
                    <w:rFonts w:ascii="Times New Roman" w:hAnsi="Times New Roman" w:cs="Times New Roman"/>
                    <w:noProof/>
                  </w:rPr>
                  <w:t>Task 1</w:t>
                </w:r>
                <w:r>
                  <w:rPr>
                    <w:noProof/>
                    <w:webHidden/>
                  </w:rPr>
                  <w:tab/>
                </w:r>
                <w:r>
                  <w:rPr>
                    <w:noProof/>
                    <w:webHidden/>
                  </w:rPr>
                  <w:fldChar w:fldCharType="begin"/>
                </w:r>
                <w:r>
                  <w:rPr>
                    <w:noProof/>
                    <w:webHidden/>
                  </w:rPr>
                  <w:instrText xml:space="preserve"> PAGEREF _Toc227530754 \h </w:instrText>
                </w:r>
                <w:r>
                  <w:rPr>
                    <w:noProof/>
                    <w:webHidden/>
                  </w:rPr>
                </w:r>
                <w:r>
                  <w:rPr>
                    <w:noProof/>
                    <w:webHidden/>
                  </w:rPr>
                  <w:fldChar w:fldCharType="separate"/>
                </w:r>
                <w:r>
                  <w:rPr>
                    <w:noProof/>
                    <w:webHidden/>
                  </w:rPr>
                  <w:t>4</w:t>
                </w:r>
                <w:r>
                  <w:rPr>
                    <w:noProof/>
                    <w:webHidden/>
                  </w:rPr>
                  <w:fldChar w:fldCharType="end"/>
                </w:r>
              </w:hyperlink>
            </w:p>
            <w:p w14:paraId="448D58A4" w14:textId="7F392FC4"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55" w:history="1">
                <w:r w:rsidRPr="00DB55AB">
                  <w:rPr>
                    <w:rStyle w:val="Hyperlink"/>
                    <w:rFonts w:ascii="Times New Roman" w:hAnsi="Times New Roman" w:cs="Times New Roman"/>
                    <w:noProof/>
                  </w:rPr>
                  <w:t>2.1 Task 1: Financial Ratio Analysis of Barclays PLC</w:t>
                </w:r>
                <w:r>
                  <w:rPr>
                    <w:noProof/>
                    <w:webHidden/>
                  </w:rPr>
                  <w:tab/>
                </w:r>
                <w:r>
                  <w:rPr>
                    <w:noProof/>
                    <w:webHidden/>
                  </w:rPr>
                  <w:fldChar w:fldCharType="begin"/>
                </w:r>
                <w:r>
                  <w:rPr>
                    <w:noProof/>
                    <w:webHidden/>
                  </w:rPr>
                  <w:instrText xml:space="preserve"> PAGEREF _Toc227530755 \h </w:instrText>
                </w:r>
                <w:r>
                  <w:rPr>
                    <w:noProof/>
                    <w:webHidden/>
                  </w:rPr>
                </w:r>
                <w:r>
                  <w:rPr>
                    <w:noProof/>
                    <w:webHidden/>
                  </w:rPr>
                  <w:fldChar w:fldCharType="separate"/>
                </w:r>
                <w:r>
                  <w:rPr>
                    <w:noProof/>
                    <w:webHidden/>
                  </w:rPr>
                  <w:t>4</w:t>
                </w:r>
                <w:r>
                  <w:rPr>
                    <w:noProof/>
                    <w:webHidden/>
                  </w:rPr>
                  <w:fldChar w:fldCharType="end"/>
                </w:r>
              </w:hyperlink>
            </w:p>
            <w:p w14:paraId="7D8E6770" w14:textId="7047F08C" w:rsidR="006A39A2" w:rsidRDefault="006A39A2">
              <w:pPr>
                <w:pStyle w:val="TOC3"/>
                <w:tabs>
                  <w:tab w:val="right" w:leader="dot" w:pos="9016"/>
                </w:tabs>
                <w:rPr>
                  <w:noProof/>
                </w:rPr>
              </w:pPr>
              <w:hyperlink w:anchor="_Toc227530756" w:history="1">
                <w:r w:rsidRPr="00DB55AB">
                  <w:rPr>
                    <w:rStyle w:val="Hyperlink"/>
                    <w:rFonts w:ascii="Times New Roman" w:hAnsi="Times New Roman" w:cs="Times New Roman"/>
                    <w:noProof/>
                  </w:rPr>
                  <w:t>2.1.1 Profitability</w:t>
                </w:r>
                <w:r>
                  <w:rPr>
                    <w:noProof/>
                    <w:webHidden/>
                  </w:rPr>
                  <w:tab/>
                </w:r>
                <w:r>
                  <w:rPr>
                    <w:noProof/>
                    <w:webHidden/>
                  </w:rPr>
                  <w:fldChar w:fldCharType="begin"/>
                </w:r>
                <w:r>
                  <w:rPr>
                    <w:noProof/>
                    <w:webHidden/>
                  </w:rPr>
                  <w:instrText xml:space="preserve"> PAGEREF _Toc227530756 \h </w:instrText>
                </w:r>
                <w:r>
                  <w:rPr>
                    <w:noProof/>
                    <w:webHidden/>
                  </w:rPr>
                </w:r>
                <w:r>
                  <w:rPr>
                    <w:noProof/>
                    <w:webHidden/>
                  </w:rPr>
                  <w:fldChar w:fldCharType="separate"/>
                </w:r>
                <w:r>
                  <w:rPr>
                    <w:noProof/>
                    <w:webHidden/>
                  </w:rPr>
                  <w:t>6</w:t>
                </w:r>
                <w:r>
                  <w:rPr>
                    <w:noProof/>
                    <w:webHidden/>
                  </w:rPr>
                  <w:fldChar w:fldCharType="end"/>
                </w:r>
              </w:hyperlink>
            </w:p>
            <w:p w14:paraId="5B23280D" w14:textId="51F0E90D" w:rsidR="006A39A2" w:rsidRDefault="006A39A2">
              <w:pPr>
                <w:pStyle w:val="TOC3"/>
                <w:tabs>
                  <w:tab w:val="right" w:leader="dot" w:pos="9016"/>
                </w:tabs>
                <w:rPr>
                  <w:noProof/>
                </w:rPr>
              </w:pPr>
              <w:hyperlink w:anchor="_Toc227530757" w:history="1">
                <w:r w:rsidRPr="00DB55AB">
                  <w:rPr>
                    <w:rStyle w:val="Hyperlink"/>
                    <w:rFonts w:ascii="Times New Roman" w:hAnsi="Times New Roman" w:cs="Times New Roman"/>
                    <w:noProof/>
                  </w:rPr>
                  <w:t>2.1.2 Liquidity, Gearing and Capital Strength</w:t>
                </w:r>
                <w:r>
                  <w:rPr>
                    <w:noProof/>
                    <w:webHidden/>
                  </w:rPr>
                  <w:tab/>
                </w:r>
                <w:r>
                  <w:rPr>
                    <w:noProof/>
                    <w:webHidden/>
                  </w:rPr>
                  <w:fldChar w:fldCharType="begin"/>
                </w:r>
                <w:r>
                  <w:rPr>
                    <w:noProof/>
                    <w:webHidden/>
                  </w:rPr>
                  <w:instrText xml:space="preserve"> PAGEREF _Toc227530757 \h </w:instrText>
                </w:r>
                <w:r>
                  <w:rPr>
                    <w:noProof/>
                    <w:webHidden/>
                  </w:rPr>
                </w:r>
                <w:r>
                  <w:rPr>
                    <w:noProof/>
                    <w:webHidden/>
                  </w:rPr>
                  <w:fldChar w:fldCharType="separate"/>
                </w:r>
                <w:r>
                  <w:rPr>
                    <w:noProof/>
                    <w:webHidden/>
                  </w:rPr>
                  <w:t>6</w:t>
                </w:r>
                <w:r>
                  <w:rPr>
                    <w:noProof/>
                    <w:webHidden/>
                  </w:rPr>
                  <w:fldChar w:fldCharType="end"/>
                </w:r>
              </w:hyperlink>
            </w:p>
            <w:p w14:paraId="6EC45801" w14:textId="2AE813A2" w:rsidR="006A39A2" w:rsidRDefault="006A39A2">
              <w:pPr>
                <w:pStyle w:val="TOC3"/>
                <w:tabs>
                  <w:tab w:val="right" w:leader="dot" w:pos="9016"/>
                </w:tabs>
                <w:rPr>
                  <w:noProof/>
                </w:rPr>
              </w:pPr>
              <w:hyperlink w:anchor="_Toc227530758" w:history="1">
                <w:r w:rsidRPr="00DB55AB">
                  <w:rPr>
                    <w:rStyle w:val="Hyperlink"/>
                    <w:rFonts w:ascii="Times New Roman" w:hAnsi="Times New Roman" w:cs="Times New Roman"/>
                    <w:noProof/>
                  </w:rPr>
                  <w:t>2.1.3 Efficiency and Investor Ratios</w:t>
                </w:r>
                <w:r>
                  <w:rPr>
                    <w:noProof/>
                    <w:webHidden/>
                  </w:rPr>
                  <w:tab/>
                </w:r>
                <w:r>
                  <w:rPr>
                    <w:noProof/>
                    <w:webHidden/>
                  </w:rPr>
                  <w:fldChar w:fldCharType="begin"/>
                </w:r>
                <w:r>
                  <w:rPr>
                    <w:noProof/>
                    <w:webHidden/>
                  </w:rPr>
                  <w:instrText xml:space="preserve"> PAGEREF _Toc227530758 \h </w:instrText>
                </w:r>
                <w:r>
                  <w:rPr>
                    <w:noProof/>
                    <w:webHidden/>
                  </w:rPr>
                </w:r>
                <w:r>
                  <w:rPr>
                    <w:noProof/>
                    <w:webHidden/>
                  </w:rPr>
                  <w:fldChar w:fldCharType="separate"/>
                </w:r>
                <w:r>
                  <w:rPr>
                    <w:noProof/>
                    <w:webHidden/>
                  </w:rPr>
                  <w:t>7</w:t>
                </w:r>
                <w:r>
                  <w:rPr>
                    <w:noProof/>
                    <w:webHidden/>
                  </w:rPr>
                  <w:fldChar w:fldCharType="end"/>
                </w:r>
              </w:hyperlink>
            </w:p>
            <w:p w14:paraId="7D712408" w14:textId="2AE76267" w:rsidR="006A39A2" w:rsidRDefault="006A39A2">
              <w:pPr>
                <w:pStyle w:val="TOC3"/>
                <w:tabs>
                  <w:tab w:val="right" w:leader="dot" w:pos="9016"/>
                </w:tabs>
                <w:rPr>
                  <w:noProof/>
                </w:rPr>
              </w:pPr>
              <w:hyperlink w:anchor="_Toc227530759" w:history="1">
                <w:r w:rsidRPr="00DB55AB">
                  <w:rPr>
                    <w:rStyle w:val="Hyperlink"/>
                    <w:rFonts w:ascii="Times New Roman" w:hAnsi="Times New Roman" w:cs="Times New Roman"/>
                    <w:noProof/>
                  </w:rPr>
                  <w:t>2.1.4 Interlinking the Ratio Results</w:t>
                </w:r>
                <w:r>
                  <w:rPr>
                    <w:noProof/>
                    <w:webHidden/>
                  </w:rPr>
                  <w:tab/>
                </w:r>
                <w:r>
                  <w:rPr>
                    <w:noProof/>
                    <w:webHidden/>
                  </w:rPr>
                  <w:fldChar w:fldCharType="begin"/>
                </w:r>
                <w:r>
                  <w:rPr>
                    <w:noProof/>
                    <w:webHidden/>
                  </w:rPr>
                  <w:instrText xml:space="preserve"> PAGEREF _Toc227530759 \h </w:instrText>
                </w:r>
                <w:r>
                  <w:rPr>
                    <w:noProof/>
                    <w:webHidden/>
                  </w:rPr>
                </w:r>
                <w:r>
                  <w:rPr>
                    <w:noProof/>
                    <w:webHidden/>
                  </w:rPr>
                  <w:fldChar w:fldCharType="separate"/>
                </w:r>
                <w:r>
                  <w:rPr>
                    <w:noProof/>
                    <w:webHidden/>
                  </w:rPr>
                  <w:t>7</w:t>
                </w:r>
                <w:r>
                  <w:rPr>
                    <w:noProof/>
                    <w:webHidden/>
                  </w:rPr>
                  <w:fldChar w:fldCharType="end"/>
                </w:r>
              </w:hyperlink>
            </w:p>
            <w:p w14:paraId="788048E7" w14:textId="430088C9" w:rsidR="006A39A2" w:rsidRDefault="006A39A2">
              <w:pPr>
                <w:pStyle w:val="TOC3"/>
                <w:tabs>
                  <w:tab w:val="right" w:leader="dot" w:pos="9016"/>
                </w:tabs>
                <w:rPr>
                  <w:noProof/>
                </w:rPr>
              </w:pPr>
              <w:hyperlink w:anchor="_Toc227530760" w:history="1">
                <w:r w:rsidRPr="00DB55AB">
                  <w:rPr>
                    <w:rStyle w:val="Hyperlink"/>
                    <w:rFonts w:ascii="Times New Roman" w:hAnsi="Times New Roman" w:cs="Times New Roman"/>
                    <w:noProof/>
                  </w:rPr>
                  <w:t>2.1.5 Limitations of Ratio Analysis</w:t>
                </w:r>
                <w:r>
                  <w:rPr>
                    <w:noProof/>
                    <w:webHidden/>
                  </w:rPr>
                  <w:tab/>
                </w:r>
                <w:r>
                  <w:rPr>
                    <w:noProof/>
                    <w:webHidden/>
                  </w:rPr>
                  <w:fldChar w:fldCharType="begin"/>
                </w:r>
                <w:r>
                  <w:rPr>
                    <w:noProof/>
                    <w:webHidden/>
                  </w:rPr>
                  <w:instrText xml:space="preserve"> PAGEREF _Toc227530760 \h </w:instrText>
                </w:r>
                <w:r>
                  <w:rPr>
                    <w:noProof/>
                    <w:webHidden/>
                  </w:rPr>
                </w:r>
                <w:r>
                  <w:rPr>
                    <w:noProof/>
                    <w:webHidden/>
                  </w:rPr>
                  <w:fldChar w:fldCharType="separate"/>
                </w:r>
                <w:r>
                  <w:rPr>
                    <w:noProof/>
                    <w:webHidden/>
                  </w:rPr>
                  <w:t>8</w:t>
                </w:r>
                <w:r>
                  <w:rPr>
                    <w:noProof/>
                    <w:webHidden/>
                  </w:rPr>
                  <w:fldChar w:fldCharType="end"/>
                </w:r>
              </w:hyperlink>
            </w:p>
            <w:p w14:paraId="6C79CBD0" w14:textId="52138D9A" w:rsidR="006A39A2" w:rsidRDefault="006A39A2">
              <w:pPr>
                <w:pStyle w:val="TOC3"/>
                <w:tabs>
                  <w:tab w:val="right" w:leader="dot" w:pos="9016"/>
                </w:tabs>
                <w:rPr>
                  <w:noProof/>
                </w:rPr>
              </w:pPr>
              <w:hyperlink w:anchor="_Toc227530761" w:history="1">
                <w:r w:rsidRPr="00DB55AB">
                  <w:rPr>
                    <w:rStyle w:val="Hyperlink"/>
                    <w:rFonts w:ascii="Times New Roman" w:hAnsi="Times New Roman" w:cs="Times New Roman"/>
                    <w:noProof/>
                  </w:rPr>
                  <w:t>2.1.6 Recommendations to Barclays Directors</w:t>
                </w:r>
                <w:r>
                  <w:rPr>
                    <w:noProof/>
                    <w:webHidden/>
                  </w:rPr>
                  <w:tab/>
                </w:r>
                <w:r>
                  <w:rPr>
                    <w:noProof/>
                    <w:webHidden/>
                  </w:rPr>
                  <w:fldChar w:fldCharType="begin"/>
                </w:r>
                <w:r>
                  <w:rPr>
                    <w:noProof/>
                    <w:webHidden/>
                  </w:rPr>
                  <w:instrText xml:space="preserve"> PAGEREF _Toc227530761 \h </w:instrText>
                </w:r>
                <w:r>
                  <w:rPr>
                    <w:noProof/>
                    <w:webHidden/>
                  </w:rPr>
                </w:r>
                <w:r>
                  <w:rPr>
                    <w:noProof/>
                    <w:webHidden/>
                  </w:rPr>
                  <w:fldChar w:fldCharType="separate"/>
                </w:r>
                <w:r>
                  <w:rPr>
                    <w:noProof/>
                    <w:webHidden/>
                  </w:rPr>
                  <w:t>8</w:t>
                </w:r>
                <w:r>
                  <w:rPr>
                    <w:noProof/>
                    <w:webHidden/>
                  </w:rPr>
                  <w:fldChar w:fldCharType="end"/>
                </w:r>
              </w:hyperlink>
            </w:p>
            <w:p w14:paraId="178CDB2F" w14:textId="61AD499C"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62" w:history="1">
                <w:r w:rsidRPr="00DB55AB">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_Toc227530762 \h </w:instrText>
                </w:r>
                <w:r>
                  <w:rPr>
                    <w:noProof/>
                    <w:webHidden/>
                  </w:rPr>
                </w:r>
                <w:r>
                  <w:rPr>
                    <w:noProof/>
                    <w:webHidden/>
                  </w:rPr>
                  <w:fldChar w:fldCharType="separate"/>
                </w:r>
                <w:r>
                  <w:rPr>
                    <w:noProof/>
                    <w:webHidden/>
                  </w:rPr>
                  <w:t>9</w:t>
                </w:r>
                <w:r>
                  <w:rPr>
                    <w:noProof/>
                    <w:webHidden/>
                  </w:rPr>
                  <w:fldChar w:fldCharType="end"/>
                </w:r>
              </w:hyperlink>
            </w:p>
            <w:p w14:paraId="11C14DDA" w14:textId="71991693"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63" w:history="1">
                <w:r w:rsidRPr="00DB55AB">
                  <w:rPr>
                    <w:rStyle w:val="Hyperlink"/>
                    <w:rFonts w:ascii="Times New Roman" w:hAnsi="Times New Roman" w:cs="Times New Roman"/>
                    <w:noProof/>
                  </w:rPr>
                  <w:t>2.2 Task 2: Investment Appraisal for Beard Plc</w:t>
                </w:r>
                <w:r>
                  <w:rPr>
                    <w:noProof/>
                    <w:webHidden/>
                  </w:rPr>
                  <w:tab/>
                </w:r>
                <w:r>
                  <w:rPr>
                    <w:noProof/>
                    <w:webHidden/>
                  </w:rPr>
                  <w:fldChar w:fldCharType="begin"/>
                </w:r>
                <w:r>
                  <w:rPr>
                    <w:noProof/>
                    <w:webHidden/>
                  </w:rPr>
                  <w:instrText xml:space="preserve"> PAGEREF _Toc227530763 \h </w:instrText>
                </w:r>
                <w:r>
                  <w:rPr>
                    <w:noProof/>
                    <w:webHidden/>
                  </w:rPr>
                </w:r>
                <w:r>
                  <w:rPr>
                    <w:noProof/>
                    <w:webHidden/>
                  </w:rPr>
                  <w:fldChar w:fldCharType="separate"/>
                </w:r>
                <w:r>
                  <w:rPr>
                    <w:noProof/>
                    <w:webHidden/>
                  </w:rPr>
                  <w:t>9</w:t>
                </w:r>
                <w:r>
                  <w:rPr>
                    <w:noProof/>
                    <w:webHidden/>
                  </w:rPr>
                  <w:fldChar w:fldCharType="end"/>
                </w:r>
              </w:hyperlink>
            </w:p>
            <w:p w14:paraId="3FD46B61" w14:textId="487212D6" w:rsidR="006A39A2" w:rsidRDefault="006A39A2">
              <w:pPr>
                <w:pStyle w:val="TOC3"/>
                <w:tabs>
                  <w:tab w:val="right" w:leader="dot" w:pos="9016"/>
                </w:tabs>
                <w:rPr>
                  <w:noProof/>
                </w:rPr>
              </w:pPr>
              <w:hyperlink w:anchor="_Toc227530764" w:history="1">
                <w:r w:rsidRPr="00DB55AB">
                  <w:rPr>
                    <w:rStyle w:val="Hyperlink"/>
                    <w:rFonts w:ascii="Times New Roman" w:hAnsi="Times New Roman" w:cs="Times New Roman"/>
                    <w:noProof/>
                  </w:rPr>
                  <w:t>2.2.1 Decision frame and appraisal assumptions</w:t>
                </w:r>
                <w:r>
                  <w:rPr>
                    <w:noProof/>
                    <w:webHidden/>
                  </w:rPr>
                  <w:tab/>
                </w:r>
                <w:r>
                  <w:rPr>
                    <w:noProof/>
                    <w:webHidden/>
                  </w:rPr>
                  <w:fldChar w:fldCharType="begin"/>
                </w:r>
                <w:r>
                  <w:rPr>
                    <w:noProof/>
                    <w:webHidden/>
                  </w:rPr>
                  <w:instrText xml:space="preserve"> PAGEREF _Toc227530764 \h </w:instrText>
                </w:r>
                <w:r>
                  <w:rPr>
                    <w:noProof/>
                    <w:webHidden/>
                  </w:rPr>
                </w:r>
                <w:r>
                  <w:rPr>
                    <w:noProof/>
                    <w:webHidden/>
                  </w:rPr>
                  <w:fldChar w:fldCharType="separate"/>
                </w:r>
                <w:r>
                  <w:rPr>
                    <w:noProof/>
                    <w:webHidden/>
                  </w:rPr>
                  <w:t>9</w:t>
                </w:r>
                <w:r>
                  <w:rPr>
                    <w:noProof/>
                    <w:webHidden/>
                  </w:rPr>
                  <w:fldChar w:fldCharType="end"/>
                </w:r>
              </w:hyperlink>
            </w:p>
            <w:p w14:paraId="53283125" w14:textId="2D027D5D" w:rsidR="006A39A2" w:rsidRDefault="006A39A2">
              <w:pPr>
                <w:pStyle w:val="TOC3"/>
                <w:tabs>
                  <w:tab w:val="right" w:leader="dot" w:pos="9016"/>
                </w:tabs>
                <w:rPr>
                  <w:noProof/>
                </w:rPr>
              </w:pPr>
              <w:hyperlink w:anchor="_Toc227530765" w:history="1">
                <w:r w:rsidRPr="00DB55AB">
                  <w:rPr>
                    <w:rStyle w:val="Hyperlink"/>
                    <w:rFonts w:ascii="Times New Roman" w:hAnsi="Times New Roman" w:cs="Times New Roman"/>
                    <w:noProof/>
                  </w:rPr>
                  <w:t>2.2.2 Interpretation of the NPV results</w:t>
                </w:r>
                <w:r>
                  <w:rPr>
                    <w:noProof/>
                    <w:webHidden/>
                  </w:rPr>
                  <w:tab/>
                </w:r>
                <w:r>
                  <w:rPr>
                    <w:noProof/>
                    <w:webHidden/>
                  </w:rPr>
                  <w:fldChar w:fldCharType="begin"/>
                </w:r>
                <w:r>
                  <w:rPr>
                    <w:noProof/>
                    <w:webHidden/>
                  </w:rPr>
                  <w:instrText xml:space="preserve"> PAGEREF _Toc227530765 \h </w:instrText>
                </w:r>
                <w:r>
                  <w:rPr>
                    <w:noProof/>
                    <w:webHidden/>
                  </w:rPr>
                </w:r>
                <w:r>
                  <w:rPr>
                    <w:noProof/>
                    <w:webHidden/>
                  </w:rPr>
                  <w:fldChar w:fldCharType="separate"/>
                </w:r>
                <w:r>
                  <w:rPr>
                    <w:noProof/>
                    <w:webHidden/>
                  </w:rPr>
                  <w:t>10</w:t>
                </w:r>
                <w:r>
                  <w:rPr>
                    <w:noProof/>
                    <w:webHidden/>
                  </w:rPr>
                  <w:fldChar w:fldCharType="end"/>
                </w:r>
              </w:hyperlink>
            </w:p>
            <w:p w14:paraId="47F2282A" w14:textId="590ACE50" w:rsidR="006A39A2" w:rsidRDefault="006A39A2">
              <w:pPr>
                <w:pStyle w:val="TOC3"/>
                <w:tabs>
                  <w:tab w:val="right" w:leader="dot" w:pos="9016"/>
                </w:tabs>
                <w:rPr>
                  <w:noProof/>
                </w:rPr>
              </w:pPr>
              <w:hyperlink w:anchor="_Toc227530766" w:history="1">
                <w:r w:rsidRPr="00DB55AB">
                  <w:rPr>
                    <w:rStyle w:val="Hyperlink"/>
                    <w:rFonts w:ascii="Times New Roman" w:hAnsi="Times New Roman" w:cs="Times New Roman"/>
                    <w:noProof/>
                  </w:rPr>
                  <w:t>2.2.3 IRR as a secondary check</w:t>
                </w:r>
                <w:r>
                  <w:rPr>
                    <w:noProof/>
                    <w:webHidden/>
                  </w:rPr>
                  <w:tab/>
                </w:r>
                <w:r>
                  <w:rPr>
                    <w:noProof/>
                    <w:webHidden/>
                  </w:rPr>
                  <w:fldChar w:fldCharType="begin"/>
                </w:r>
                <w:r>
                  <w:rPr>
                    <w:noProof/>
                    <w:webHidden/>
                  </w:rPr>
                  <w:instrText xml:space="preserve"> PAGEREF _Toc227530766 \h </w:instrText>
                </w:r>
                <w:r>
                  <w:rPr>
                    <w:noProof/>
                    <w:webHidden/>
                  </w:rPr>
                </w:r>
                <w:r>
                  <w:rPr>
                    <w:noProof/>
                    <w:webHidden/>
                  </w:rPr>
                  <w:fldChar w:fldCharType="separate"/>
                </w:r>
                <w:r>
                  <w:rPr>
                    <w:noProof/>
                    <w:webHidden/>
                  </w:rPr>
                  <w:t>10</w:t>
                </w:r>
                <w:r>
                  <w:rPr>
                    <w:noProof/>
                    <w:webHidden/>
                  </w:rPr>
                  <w:fldChar w:fldCharType="end"/>
                </w:r>
              </w:hyperlink>
            </w:p>
            <w:p w14:paraId="2FFBB74A" w14:textId="3826501E" w:rsidR="006A39A2" w:rsidRDefault="006A39A2">
              <w:pPr>
                <w:pStyle w:val="TOC3"/>
                <w:tabs>
                  <w:tab w:val="right" w:leader="dot" w:pos="9016"/>
                </w:tabs>
                <w:rPr>
                  <w:noProof/>
                </w:rPr>
              </w:pPr>
              <w:hyperlink w:anchor="_Toc227530767" w:history="1">
                <w:r w:rsidRPr="00DB55AB">
                  <w:rPr>
                    <w:rStyle w:val="Hyperlink"/>
                    <w:rFonts w:ascii="Times New Roman" w:hAnsi="Times New Roman" w:cs="Times New Roman"/>
                    <w:noProof/>
                  </w:rPr>
                  <w:t>2.2.4 Why NP</w:t>
                </w:r>
                <w:r w:rsidRPr="00DB55AB">
                  <w:rPr>
                    <w:rStyle w:val="Hyperlink"/>
                    <w:rFonts w:ascii="Times New Roman" w:hAnsi="Times New Roman" w:cs="Times New Roman"/>
                    <w:noProof/>
                  </w:rPr>
                  <w:t>V</w:t>
                </w:r>
                <w:r w:rsidRPr="00DB55AB">
                  <w:rPr>
                    <w:rStyle w:val="Hyperlink"/>
                    <w:rFonts w:ascii="Times New Roman" w:hAnsi="Times New Roman" w:cs="Times New Roman"/>
                    <w:noProof/>
                  </w:rPr>
                  <w:t xml:space="preserve"> should lead the decision</w:t>
                </w:r>
                <w:r>
                  <w:rPr>
                    <w:noProof/>
                    <w:webHidden/>
                  </w:rPr>
                  <w:tab/>
                </w:r>
                <w:r>
                  <w:rPr>
                    <w:noProof/>
                    <w:webHidden/>
                  </w:rPr>
                  <w:fldChar w:fldCharType="begin"/>
                </w:r>
                <w:r>
                  <w:rPr>
                    <w:noProof/>
                    <w:webHidden/>
                  </w:rPr>
                  <w:instrText xml:space="preserve"> PAGEREF _Toc227530767 \h </w:instrText>
                </w:r>
                <w:r>
                  <w:rPr>
                    <w:noProof/>
                    <w:webHidden/>
                  </w:rPr>
                </w:r>
                <w:r>
                  <w:rPr>
                    <w:noProof/>
                    <w:webHidden/>
                  </w:rPr>
                  <w:fldChar w:fldCharType="separate"/>
                </w:r>
                <w:r>
                  <w:rPr>
                    <w:noProof/>
                    <w:webHidden/>
                  </w:rPr>
                  <w:t>10</w:t>
                </w:r>
                <w:r>
                  <w:rPr>
                    <w:noProof/>
                    <w:webHidden/>
                  </w:rPr>
                  <w:fldChar w:fldCharType="end"/>
                </w:r>
              </w:hyperlink>
            </w:p>
            <w:p w14:paraId="66B3582A" w14:textId="11381D05" w:rsidR="006A39A2" w:rsidRDefault="006A39A2">
              <w:pPr>
                <w:pStyle w:val="TOC3"/>
                <w:tabs>
                  <w:tab w:val="right" w:leader="dot" w:pos="9016"/>
                </w:tabs>
                <w:rPr>
                  <w:noProof/>
                </w:rPr>
              </w:pPr>
              <w:hyperlink w:anchor="_Toc227530768" w:history="1">
                <w:r w:rsidRPr="00DB55AB">
                  <w:rPr>
                    <w:rStyle w:val="Hyperlink"/>
                    <w:rFonts w:ascii="Times New Roman" w:hAnsi="Times New Roman" w:cs="Times New Roman"/>
                    <w:noProof/>
                  </w:rPr>
                  <w:t>2.2.5 Role of payback and ARR</w:t>
                </w:r>
                <w:r>
                  <w:rPr>
                    <w:noProof/>
                    <w:webHidden/>
                  </w:rPr>
                  <w:tab/>
                </w:r>
                <w:r>
                  <w:rPr>
                    <w:noProof/>
                    <w:webHidden/>
                  </w:rPr>
                  <w:fldChar w:fldCharType="begin"/>
                </w:r>
                <w:r>
                  <w:rPr>
                    <w:noProof/>
                    <w:webHidden/>
                  </w:rPr>
                  <w:instrText xml:space="preserve"> PAGEREF _Toc227530768 \h </w:instrText>
                </w:r>
                <w:r>
                  <w:rPr>
                    <w:noProof/>
                    <w:webHidden/>
                  </w:rPr>
                </w:r>
                <w:r>
                  <w:rPr>
                    <w:noProof/>
                    <w:webHidden/>
                  </w:rPr>
                  <w:fldChar w:fldCharType="separate"/>
                </w:r>
                <w:r>
                  <w:rPr>
                    <w:noProof/>
                    <w:webHidden/>
                  </w:rPr>
                  <w:t>11</w:t>
                </w:r>
                <w:r>
                  <w:rPr>
                    <w:noProof/>
                    <w:webHidden/>
                  </w:rPr>
                  <w:fldChar w:fldCharType="end"/>
                </w:r>
              </w:hyperlink>
            </w:p>
            <w:p w14:paraId="094A2BA3" w14:textId="02A18524" w:rsidR="006A39A2" w:rsidRDefault="006A39A2">
              <w:pPr>
                <w:pStyle w:val="TOC3"/>
                <w:tabs>
                  <w:tab w:val="right" w:leader="dot" w:pos="9016"/>
                </w:tabs>
                <w:rPr>
                  <w:noProof/>
                </w:rPr>
              </w:pPr>
              <w:hyperlink w:anchor="_Toc227530769" w:history="1">
                <w:r w:rsidRPr="00DB55AB">
                  <w:rPr>
                    <w:rStyle w:val="Hyperlink"/>
                    <w:rFonts w:ascii="Times New Roman" w:hAnsi="Times New Roman" w:cs="Times New Roman"/>
                    <w:noProof/>
                  </w:rPr>
                  <w:t>2.2.6 Capital rationing decision</w:t>
                </w:r>
                <w:r>
                  <w:rPr>
                    <w:noProof/>
                    <w:webHidden/>
                  </w:rPr>
                  <w:tab/>
                </w:r>
                <w:r>
                  <w:rPr>
                    <w:noProof/>
                    <w:webHidden/>
                  </w:rPr>
                  <w:fldChar w:fldCharType="begin"/>
                </w:r>
                <w:r>
                  <w:rPr>
                    <w:noProof/>
                    <w:webHidden/>
                  </w:rPr>
                  <w:instrText xml:space="preserve"> PAGEREF _Toc227530769 \h </w:instrText>
                </w:r>
                <w:r>
                  <w:rPr>
                    <w:noProof/>
                    <w:webHidden/>
                  </w:rPr>
                </w:r>
                <w:r>
                  <w:rPr>
                    <w:noProof/>
                    <w:webHidden/>
                  </w:rPr>
                  <w:fldChar w:fldCharType="separate"/>
                </w:r>
                <w:r>
                  <w:rPr>
                    <w:noProof/>
                    <w:webHidden/>
                  </w:rPr>
                  <w:t>11</w:t>
                </w:r>
                <w:r>
                  <w:rPr>
                    <w:noProof/>
                    <w:webHidden/>
                  </w:rPr>
                  <w:fldChar w:fldCharType="end"/>
                </w:r>
              </w:hyperlink>
            </w:p>
            <w:p w14:paraId="7D78C0A9" w14:textId="2842010D" w:rsidR="006A39A2" w:rsidRDefault="006A39A2">
              <w:pPr>
                <w:pStyle w:val="TOC3"/>
                <w:tabs>
                  <w:tab w:val="right" w:leader="dot" w:pos="9016"/>
                </w:tabs>
                <w:rPr>
                  <w:noProof/>
                </w:rPr>
              </w:pPr>
              <w:hyperlink w:anchor="_Toc227530770" w:history="1">
                <w:r w:rsidRPr="00DB55AB">
                  <w:rPr>
                    <w:rStyle w:val="Hyperlink"/>
                    <w:rFonts w:ascii="Times New Roman" w:hAnsi="Times New Roman" w:cs="Times New Roman"/>
                    <w:noProof/>
                  </w:rPr>
                  <w:t>2.2.7 Wider risks and financing recommendation</w:t>
                </w:r>
                <w:r>
                  <w:rPr>
                    <w:noProof/>
                    <w:webHidden/>
                  </w:rPr>
                  <w:tab/>
                </w:r>
                <w:r>
                  <w:rPr>
                    <w:noProof/>
                    <w:webHidden/>
                  </w:rPr>
                  <w:fldChar w:fldCharType="begin"/>
                </w:r>
                <w:r>
                  <w:rPr>
                    <w:noProof/>
                    <w:webHidden/>
                  </w:rPr>
                  <w:instrText xml:space="preserve"> PAGEREF _Toc227530770 \h </w:instrText>
                </w:r>
                <w:r>
                  <w:rPr>
                    <w:noProof/>
                    <w:webHidden/>
                  </w:rPr>
                </w:r>
                <w:r>
                  <w:rPr>
                    <w:noProof/>
                    <w:webHidden/>
                  </w:rPr>
                  <w:fldChar w:fldCharType="separate"/>
                </w:r>
                <w:r>
                  <w:rPr>
                    <w:noProof/>
                    <w:webHidden/>
                  </w:rPr>
                  <w:t>12</w:t>
                </w:r>
                <w:r>
                  <w:rPr>
                    <w:noProof/>
                    <w:webHidden/>
                  </w:rPr>
                  <w:fldChar w:fldCharType="end"/>
                </w:r>
              </w:hyperlink>
            </w:p>
            <w:p w14:paraId="1C84194B" w14:textId="34631127"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71" w:history="1">
                <w:r w:rsidRPr="00DB55AB">
                  <w:rPr>
                    <w:rStyle w:val="Hyperlink"/>
                    <w:rFonts w:ascii="Times New Roman" w:hAnsi="Times New Roman" w:cs="Times New Roman"/>
                    <w:noProof/>
                  </w:rPr>
                  <w:t>3. Conclusion</w:t>
                </w:r>
                <w:r>
                  <w:rPr>
                    <w:noProof/>
                    <w:webHidden/>
                  </w:rPr>
                  <w:tab/>
                </w:r>
                <w:r>
                  <w:rPr>
                    <w:noProof/>
                    <w:webHidden/>
                  </w:rPr>
                  <w:fldChar w:fldCharType="begin"/>
                </w:r>
                <w:r>
                  <w:rPr>
                    <w:noProof/>
                    <w:webHidden/>
                  </w:rPr>
                  <w:instrText xml:space="preserve"> PAGEREF _Toc227530771 \h </w:instrText>
                </w:r>
                <w:r>
                  <w:rPr>
                    <w:noProof/>
                    <w:webHidden/>
                  </w:rPr>
                </w:r>
                <w:r>
                  <w:rPr>
                    <w:noProof/>
                    <w:webHidden/>
                  </w:rPr>
                  <w:fldChar w:fldCharType="separate"/>
                </w:r>
                <w:r>
                  <w:rPr>
                    <w:noProof/>
                    <w:webHidden/>
                  </w:rPr>
                  <w:t>12</w:t>
                </w:r>
                <w:r>
                  <w:rPr>
                    <w:noProof/>
                    <w:webHidden/>
                  </w:rPr>
                  <w:fldChar w:fldCharType="end"/>
                </w:r>
              </w:hyperlink>
            </w:p>
            <w:p w14:paraId="12CB1C81" w14:textId="2AEE1918"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72" w:history="1">
                <w:r w:rsidRPr="00DB55AB">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_Toc227530772 \h </w:instrText>
                </w:r>
                <w:r>
                  <w:rPr>
                    <w:noProof/>
                    <w:webHidden/>
                  </w:rPr>
                </w:r>
                <w:r>
                  <w:rPr>
                    <w:noProof/>
                    <w:webHidden/>
                  </w:rPr>
                  <w:fldChar w:fldCharType="separate"/>
                </w:r>
                <w:r>
                  <w:rPr>
                    <w:noProof/>
                    <w:webHidden/>
                  </w:rPr>
                  <w:t>14</w:t>
                </w:r>
                <w:r>
                  <w:rPr>
                    <w:noProof/>
                    <w:webHidden/>
                  </w:rPr>
                  <w:fldChar w:fldCharType="end"/>
                </w:r>
              </w:hyperlink>
            </w:p>
            <w:p w14:paraId="15113491" w14:textId="04BEF284"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73" w:history="1">
                <w:r w:rsidRPr="00DB55AB">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_Toc227530773 \h </w:instrText>
                </w:r>
                <w:r>
                  <w:rPr>
                    <w:noProof/>
                    <w:webHidden/>
                  </w:rPr>
                </w:r>
                <w:r>
                  <w:rPr>
                    <w:noProof/>
                    <w:webHidden/>
                  </w:rPr>
                  <w:fldChar w:fldCharType="separate"/>
                </w:r>
                <w:r>
                  <w:rPr>
                    <w:noProof/>
                    <w:webHidden/>
                  </w:rPr>
                  <w:t>17</w:t>
                </w:r>
                <w:r>
                  <w:rPr>
                    <w:noProof/>
                    <w:webHidden/>
                  </w:rPr>
                  <w:fldChar w:fldCharType="end"/>
                </w:r>
              </w:hyperlink>
            </w:p>
            <w:p w14:paraId="501A5EE4" w14:textId="061E7D07"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74" w:history="1">
                <w:r w:rsidRPr="00DB55AB">
                  <w:rPr>
                    <w:rStyle w:val="Hyperlink"/>
                    <w:rFonts w:ascii="Times New Roman" w:hAnsi="Times New Roman" w:cs="Times New Roman"/>
                    <w:noProof/>
                  </w:rPr>
                  <w:t>Appendix A: Extracted Barclays Financial Statement Data</w:t>
                </w:r>
                <w:r>
                  <w:rPr>
                    <w:noProof/>
                    <w:webHidden/>
                  </w:rPr>
                  <w:tab/>
                </w:r>
                <w:r>
                  <w:rPr>
                    <w:noProof/>
                    <w:webHidden/>
                  </w:rPr>
                  <w:fldChar w:fldCharType="begin"/>
                </w:r>
                <w:r>
                  <w:rPr>
                    <w:noProof/>
                    <w:webHidden/>
                  </w:rPr>
                  <w:instrText xml:space="preserve"> PAGEREF _Toc227530774 \h </w:instrText>
                </w:r>
                <w:r>
                  <w:rPr>
                    <w:noProof/>
                    <w:webHidden/>
                  </w:rPr>
                </w:r>
                <w:r>
                  <w:rPr>
                    <w:noProof/>
                    <w:webHidden/>
                  </w:rPr>
                  <w:fldChar w:fldCharType="separate"/>
                </w:r>
                <w:r>
                  <w:rPr>
                    <w:noProof/>
                    <w:webHidden/>
                  </w:rPr>
                  <w:t>17</w:t>
                </w:r>
                <w:r>
                  <w:rPr>
                    <w:noProof/>
                    <w:webHidden/>
                  </w:rPr>
                  <w:fldChar w:fldCharType="end"/>
                </w:r>
              </w:hyperlink>
            </w:p>
            <w:p w14:paraId="1EB71DDB" w14:textId="0E1B871A"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75" w:history="1">
                <w:r w:rsidRPr="00DB55AB">
                  <w:rPr>
                    <w:rStyle w:val="Hyperlink"/>
                    <w:rFonts w:ascii="Times New Roman" w:hAnsi="Times New Roman" w:cs="Times New Roman"/>
                    <w:noProof/>
                  </w:rPr>
                  <w:t>Appendix B: Barclays Ratio Calculations</w:t>
                </w:r>
                <w:r>
                  <w:rPr>
                    <w:noProof/>
                    <w:webHidden/>
                  </w:rPr>
                  <w:tab/>
                </w:r>
                <w:r>
                  <w:rPr>
                    <w:noProof/>
                    <w:webHidden/>
                  </w:rPr>
                  <w:fldChar w:fldCharType="begin"/>
                </w:r>
                <w:r>
                  <w:rPr>
                    <w:noProof/>
                    <w:webHidden/>
                  </w:rPr>
                  <w:instrText xml:space="preserve"> PAGEREF _Toc227530775 \h </w:instrText>
                </w:r>
                <w:r>
                  <w:rPr>
                    <w:noProof/>
                    <w:webHidden/>
                  </w:rPr>
                </w:r>
                <w:r>
                  <w:rPr>
                    <w:noProof/>
                    <w:webHidden/>
                  </w:rPr>
                  <w:fldChar w:fldCharType="separate"/>
                </w:r>
                <w:r>
                  <w:rPr>
                    <w:noProof/>
                    <w:webHidden/>
                  </w:rPr>
                  <w:t>17</w:t>
                </w:r>
                <w:r>
                  <w:rPr>
                    <w:noProof/>
                    <w:webHidden/>
                  </w:rPr>
                  <w:fldChar w:fldCharType="end"/>
                </w:r>
              </w:hyperlink>
            </w:p>
            <w:p w14:paraId="720129E8" w14:textId="073D38D5" w:rsidR="006A39A2" w:rsidRDefault="006A39A2">
              <w:pPr>
                <w:pStyle w:val="TOC1"/>
                <w:tabs>
                  <w:tab w:val="right" w:leader="dot" w:pos="9016"/>
                </w:tabs>
                <w:rPr>
                  <w:rFonts w:eastAsiaTheme="minorEastAsia"/>
                  <w:noProof/>
                  <w:kern w:val="2"/>
                  <w:sz w:val="24"/>
                  <w:szCs w:val="24"/>
                  <w:lang w:val="en-IN" w:eastAsia="en-GB"/>
                  <w14:ligatures w14:val="standardContextual"/>
                </w:rPr>
              </w:pPr>
              <w:hyperlink w:anchor="_Toc227530776" w:history="1">
                <w:r w:rsidRPr="00DB55AB">
                  <w:rPr>
                    <w:rStyle w:val="Hyperlink"/>
                    <w:rFonts w:ascii="Times New Roman" w:hAnsi="Times New Roman" w:cs="Times New Roman"/>
                    <w:noProof/>
                  </w:rPr>
                  <w:t>Appendix C: Beard Plc Investment Appraisal Calculations</w:t>
                </w:r>
                <w:r>
                  <w:rPr>
                    <w:noProof/>
                    <w:webHidden/>
                  </w:rPr>
                  <w:tab/>
                </w:r>
                <w:r>
                  <w:rPr>
                    <w:noProof/>
                    <w:webHidden/>
                  </w:rPr>
                  <w:fldChar w:fldCharType="begin"/>
                </w:r>
                <w:r>
                  <w:rPr>
                    <w:noProof/>
                    <w:webHidden/>
                  </w:rPr>
                  <w:instrText xml:space="preserve"> PAGEREF _Toc227530776 \h </w:instrText>
                </w:r>
                <w:r>
                  <w:rPr>
                    <w:noProof/>
                    <w:webHidden/>
                  </w:rPr>
                </w:r>
                <w:r>
                  <w:rPr>
                    <w:noProof/>
                    <w:webHidden/>
                  </w:rPr>
                  <w:fldChar w:fldCharType="separate"/>
                </w:r>
                <w:r>
                  <w:rPr>
                    <w:noProof/>
                    <w:webHidden/>
                  </w:rPr>
                  <w:t>18</w:t>
                </w:r>
                <w:r>
                  <w:rPr>
                    <w:noProof/>
                    <w:webHidden/>
                  </w:rPr>
                  <w:fldChar w:fldCharType="end"/>
                </w:r>
              </w:hyperlink>
            </w:p>
            <w:p w14:paraId="31B190D5" w14:textId="4193B480"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77" w:history="1">
                <w:r w:rsidRPr="00DB55AB">
                  <w:rPr>
                    <w:rStyle w:val="Hyperlink"/>
                    <w:rFonts w:ascii="Times New Roman" w:hAnsi="Times New Roman" w:cs="Times New Roman"/>
                    <w:noProof/>
                  </w:rPr>
                  <w:t>A: Retail expansion</w:t>
                </w:r>
                <w:r>
                  <w:rPr>
                    <w:noProof/>
                    <w:webHidden/>
                  </w:rPr>
                  <w:tab/>
                </w:r>
                <w:r>
                  <w:rPr>
                    <w:noProof/>
                    <w:webHidden/>
                  </w:rPr>
                  <w:fldChar w:fldCharType="begin"/>
                </w:r>
                <w:r>
                  <w:rPr>
                    <w:noProof/>
                    <w:webHidden/>
                  </w:rPr>
                  <w:instrText xml:space="preserve"> PAGEREF _Toc227530777 \h </w:instrText>
                </w:r>
                <w:r>
                  <w:rPr>
                    <w:noProof/>
                    <w:webHidden/>
                  </w:rPr>
                </w:r>
                <w:r>
                  <w:rPr>
                    <w:noProof/>
                    <w:webHidden/>
                  </w:rPr>
                  <w:fldChar w:fldCharType="separate"/>
                </w:r>
                <w:r>
                  <w:rPr>
                    <w:noProof/>
                    <w:webHidden/>
                  </w:rPr>
                  <w:t>18</w:t>
                </w:r>
                <w:r>
                  <w:rPr>
                    <w:noProof/>
                    <w:webHidden/>
                  </w:rPr>
                  <w:fldChar w:fldCharType="end"/>
                </w:r>
              </w:hyperlink>
            </w:p>
            <w:p w14:paraId="040E1645" w14:textId="0BC077AB"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78" w:history="1">
                <w:r w:rsidRPr="00DB55AB">
                  <w:rPr>
                    <w:rStyle w:val="Hyperlink"/>
                    <w:rFonts w:ascii="Times New Roman" w:hAnsi="Times New Roman" w:cs="Times New Roman"/>
                    <w:noProof/>
                  </w:rPr>
                  <w:t>B: Internet sales</w:t>
                </w:r>
                <w:r>
                  <w:rPr>
                    <w:noProof/>
                    <w:webHidden/>
                  </w:rPr>
                  <w:tab/>
                </w:r>
                <w:r>
                  <w:rPr>
                    <w:noProof/>
                    <w:webHidden/>
                  </w:rPr>
                  <w:fldChar w:fldCharType="begin"/>
                </w:r>
                <w:r>
                  <w:rPr>
                    <w:noProof/>
                    <w:webHidden/>
                  </w:rPr>
                  <w:instrText xml:space="preserve"> PAGEREF _Toc227530778 \h </w:instrText>
                </w:r>
                <w:r>
                  <w:rPr>
                    <w:noProof/>
                    <w:webHidden/>
                  </w:rPr>
                </w:r>
                <w:r>
                  <w:rPr>
                    <w:noProof/>
                    <w:webHidden/>
                  </w:rPr>
                  <w:fldChar w:fldCharType="separate"/>
                </w:r>
                <w:r>
                  <w:rPr>
                    <w:noProof/>
                    <w:webHidden/>
                  </w:rPr>
                  <w:t>18</w:t>
                </w:r>
                <w:r>
                  <w:rPr>
                    <w:noProof/>
                    <w:webHidden/>
                  </w:rPr>
                  <w:fldChar w:fldCharType="end"/>
                </w:r>
              </w:hyperlink>
            </w:p>
            <w:p w14:paraId="2B791535" w14:textId="452360B1"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79" w:history="1">
                <w:r w:rsidRPr="00DB55AB">
                  <w:rPr>
                    <w:rStyle w:val="Hyperlink"/>
                    <w:rFonts w:ascii="Times New Roman" w:hAnsi="Times New Roman" w:cs="Times New Roman"/>
                    <w:noProof/>
                  </w:rPr>
                  <w:t>C: Purses and wallets</w:t>
                </w:r>
                <w:r>
                  <w:rPr>
                    <w:noProof/>
                    <w:webHidden/>
                  </w:rPr>
                  <w:tab/>
                </w:r>
                <w:r>
                  <w:rPr>
                    <w:noProof/>
                    <w:webHidden/>
                  </w:rPr>
                  <w:fldChar w:fldCharType="begin"/>
                </w:r>
                <w:r>
                  <w:rPr>
                    <w:noProof/>
                    <w:webHidden/>
                  </w:rPr>
                  <w:instrText xml:space="preserve"> PAGEREF _Toc227530779 \h </w:instrText>
                </w:r>
                <w:r>
                  <w:rPr>
                    <w:noProof/>
                    <w:webHidden/>
                  </w:rPr>
                </w:r>
                <w:r>
                  <w:rPr>
                    <w:noProof/>
                    <w:webHidden/>
                  </w:rPr>
                  <w:fldChar w:fldCharType="separate"/>
                </w:r>
                <w:r>
                  <w:rPr>
                    <w:noProof/>
                    <w:webHidden/>
                  </w:rPr>
                  <w:t>19</w:t>
                </w:r>
                <w:r>
                  <w:rPr>
                    <w:noProof/>
                    <w:webHidden/>
                  </w:rPr>
                  <w:fldChar w:fldCharType="end"/>
                </w:r>
              </w:hyperlink>
            </w:p>
            <w:p w14:paraId="5F2F584F" w14:textId="56C23CB3"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80" w:history="1">
                <w:r w:rsidRPr="00DB55AB">
                  <w:rPr>
                    <w:rStyle w:val="Hyperlink"/>
                    <w:rFonts w:ascii="Times New Roman" w:hAnsi="Times New Roman" w:cs="Times New Roman"/>
                    <w:noProof/>
                  </w:rPr>
                  <w:t>IRR interpolation for Option C</w:t>
                </w:r>
                <w:r>
                  <w:rPr>
                    <w:noProof/>
                    <w:webHidden/>
                  </w:rPr>
                  <w:tab/>
                </w:r>
                <w:r>
                  <w:rPr>
                    <w:noProof/>
                    <w:webHidden/>
                  </w:rPr>
                  <w:fldChar w:fldCharType="begin"/>
                </w:r>
                <w:r>
                  <w:rPr>
                    <w:noProof/>
                    <w:webHidden/>
                  </w:rPr>
                  <w:instrText xml:space="preserve"> PAGEREF _Toc227530780 \h </w:instrText>
                </w:r>
                <w:r>
                  <w:rPr>
                    <w:noProof/>
                    <w:webHidden/>
                  </w:rPr>
                </w:r>
                <w:r>
                  <w:rPr>
                    <w:noProof/>
                    <w:webHidden/>
                  </w:rPr>
                  <w:fldChar w:fldCharType="separate"/>
                </w:r>
                <w:r>
                  <w:rPr>
                    <w:noProof/>
                    <w:webHidden/>
                  </w:rPr>
                  <w:t>19</w:t>
                </w:r>
                <w:r>
                  <w:rPr>
                    <w:noProof/>
                    <w:webHidden/>
                  </w:rPr>
                  <w:fldChar w:fldCharType="end"/>
                </w:r>
              </w:hyperlink>
            </w:p>
            <w:p w14:paraId="365BC889" w14:textId="248532FA" w:rsidR="006A39A2" w:rsidRDefault="006A39A2">
              <w:pPr>
                <w:pStyle w:val="TOC2"/>
                <w:tabs>
                  <w:tab w:val="right" w:leader="dot" w:pos="9016"/>
                </w:tabs>
                <w:rPr>
                  <w:rFonts w:eastAsiaTheme="minorEastAsia"/>
                  <w:noProof/>
                  <w:kern w:val="2"/>
                  <w:sz w:val="24"/>
                  <w:szCs w:val="24"/>
                  <w:lang w:val="en-IN" w:eastAsia="en-GB"/>
                  <w14:ligatures w14:val="standardContextual"/>
                </w:rPr>
              </w:pPr>
              <w:hyperlink w:anchor="_Toc227530781" w:history="1">
                <w:r w:rsidRPr="00DB55AB">
                  <w:rPr>
                    <w:rStyle w:val="Hyperlink"/>
                    <w:rFonts w:ascii="Times New Roman" w:hAnsi="Times New Roman" w:cs="Times New Roman"/>
                    <w:noProof/>
                  </w:rPr>
                  <w:t>Capital rationing calculation</w:t>
                </w:r>
                <w:r>
                  <w:rPr>
                    <w:noProof/>
                    <w:webHidden/>
                  </w:rPr>
                  <w:tab/>
                </w:r>
                <w:r>
                  <w:rPr>
                    <w:noProof/>
                    <w:webHidden/>
                  </w:rPr>
                  <w:fldChar w:fldCharType="begin"/>
                </w:r>
                <w:r>
                  <w:rPr>
                    <w:noProof/>
                    <w:webHidden/>
                  </w:rPr>
                  <w:instrText xml:space="preserve"> PAGEREF _Toc227530781 \h </w:instrText>
                </w:r>
                <w:r>
                  <w:rPr>
                    <w:noProof/>
                    <w:webHidden/>
                  </w:rPr>
                </w:r>
                <w:r>
                  <w:rPr>
                    <w:noProof/>
                    <w:webHidden/>
                  </w:rPr>
                  <w:fldChar w:fldCharType="separate"/>
                </w:r>
                <w:r>
                  <w:rPr>
                    <w:noProof/>
                    <w:webHidden/>
                  </w:rPr>
                  <w:t>19</w:t>
                </w:r>
                <w:r>
                  <w:rPr>
                    <w:noProof/>
                    <w:webHidden/>
                  </w:rPr>
                  <w:fldChar w:fldCharType="end"/>
                </w:r>
              </w:hyperlink>
            </w:p>
            <w:p w14:paraId="05194699" w14:textId="6127D838" w:rsidR="007D1947" w:rsidRPr="002924BD" w:rsidRDefault="007D1947">
              <w:pPr>
                <w:rPr>
                  <w:rFonts w:ascii="Times New Roman" w:hAnsi="Times New Roman" w:cs="Times New Roman"/>
                  <w:sz w:val="24"/>
                  <w:szCs w:val="24"/>
                </w:rPr>
              </w:pPr>
              <w:r w:rsidRPr="002924BD">
                <w:rPr>
                  <w:rFonts w:ascii="Times New Roman" w:hAnsi="Times New Roman" w:cs="Times New Roman"/>
                  <w:b/>
                  <w:bCs/>
                  <w:noProof/>
                  <w:sz w:val="24"/>
                  <w:szCs w:val="24"/>
                </w:rPr>
                <w:fldChar w:fldCharType="end"/>
              </w:r>
              <w:r w:rsidR="006A39A2" w:rsidRPr="002924BD">
                <w:rPr>
                  <w:rFonts w:ascii="Times New Roman" w:hAnsi="Times New Roman" w:cs="Times New Roman"/>
                  <w:b/>
                  <w:bCs/>
                  <w:noProof/>
                  <w:sz w:val="24"/>
                  <w:szCs w:val="24"/>
                </w:rPr>
                <w:t xml:space="preserve"> </w:t>
              </w:r>
            </w:p>
          </w:sdtContent>
        </w:sdt>
        <w:p w14:paraId="35B6052B" w14:textId="77777777" w:rsidR="007D1947" w:rsidRPr="002924BD" w:rsidRDefault="007D1947">
          <w:pPr>
            <w:rPr>
              <w:rFonts w:ascii="Times New Roman" w:hAnsi="Times New Roman" w:cs="Times New Roman"/>
              <w:sz w:val="24"/>
              <w:szCs w:val="24"/>
            </w:rPr>
          </w:pPr>
        </w:p>
        <w:p w14:paraId="22F11532" w14:textId="77777777" w:rsidR="007D1947" w:rsidRPr="002924BD" w:rsidRDefault="007D1947">
          <w:pPr>
            <w:rPr>
              <w:rFonts w:ascii="Times New Roman" w:hAnsi="Times New Roman" w:cs="Times New Roman"/>
              <w:sz w:val="24"/>
              <w:szCs w:val="24"/>
            </w:rPr>
          </w:pPr>
        </w:p>
        <w:p w14:paraId="15C6D916" w14:textId="77777777" w:rsidR="007D1947" w:rsidRPr="002924BD" w:rsidRDefault="007D1947">
          <w:pPr>
            <w:rPr>
              <w:rFonts w:ascii="Times New Roman" w:hAnsi="Times New Roman" w:cs="Times New Roman"/>
              <w:sz w:val="24"/>
              <w:szCs w:val="24"/>
            </w:rPr>
          </w:pPr>
        </w:p>
        <w:p w14:paraId="2AEFE0CA" w14:textId="77777777" w:rsidR="007D1947" w:rsidRPr="002924BD" w:rsidRDefault="007D1947">
          <w:pPr>
            <w:rPr>
              <w:rFonts w:ascii="Times New Roman" w:hAnsi="Times New Roman" w:cs="Times New Roman"/>
              <w:sz w:val="24"/>
              <w:szCs w:val="24"/>
            </w:rPr>
          </w:pPr>
        </w:p>
        <w:p w14:paraId="3DAEB508" w14:textId="77777777" w:rsidR="002924BD" w:rsidRDefault="002924BD" w:rsidP="002924BD">
          <w:pPr>
            <w:pStyle w:val="Heading1"/>
            <w:rPr>
              <w:rFonts w:ascii="Times New Roman" w:hAnsi="Times New Roman" w:cs="Times New Roman"/>
            </w:rPr>
          </w:pPr>
          <w:bookmarkStart w:id="1" w:name="_Toc227530752"/>
          <w:r w:rsidRPr="002924BD">
            <w:rPr>
              <w:rFonts w:ascii="Times New Roman" w:hAnsi="Times New Roman" w:cs="Times New Roman"/>
            </w:rPr>
            <w:t>Introduction</w:t>
          </w:r>
          <w:bookmarkEnd w:id="1"/>
          <w:r w:rsidRPr="002924BD">
            <w:rPr>
              <w:rFonts w:ascii="Times New Roman" w:hAnsi="Times New Roman" w:cs="Times New Roman"/>
            </w:rPr>
            <w:t xml:space="preserve"> </w:t>
          </w:r>
        </w:p>
        <w:p w14:paraId="0FF6BFD5" w14:textId="77777777" w:rsidR="006A39A2" w:rsidRPr="006A39A2" w:rsidRDefault="006A39A2" w:rsidP="006A39A2"/>
        <w:p w14:paraId="7263DC0E"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Financial management provides the information and judgement needed for directors to allocate resources, manage risk and evaluate whether corporate decisions create sustainable value. At Level 7, the task is not only to calculate figures, but also to interpret them critically, recognise the limitations of financial techniques and translate numerical findings into advice for management. Ratio analysis and investment appraisal are therefore useful only when they are connected to the business context, the quality of the underlying data and the objectives of the organisation (</w:t>
          </w:r>
          <w:proofErr w:type="spellStart"/>
          <w:r w:rsidRPr="002924BD">
            <w:rPr>
              <w:rFonts w:ascii="Times New Roman" w:hAnsi="Times New Roman" w:cs="Times New Roman"/>
              <w:sz w:val="24"/>
              <w:szCs w:val="24"/>
            </w:rPr>
            <w:t>Atrill</w:t>
          </w:r>
          <w:proofErr w:type="spellEnd"/>
          <w:r w:rsidRPr="002924BD">
            <w:rPr>
              <w:rFonts w:ascii="Times New Roman" w:hAnsi="Times New Roman" w:cs="Times New Roman"/>
              <w:sz w:val="24"/>
              <w:szCs w:val="24"/>
            </w:rPr>
            <w:t>, 2019; Pike, Neale and Akbar, 2018; Brigham and Ehrhardt, 2020; Berk and DeMarzo, 2020).</w:t>
          </w:r>
        </w:p>
        <w:p w14:paraId="7BFDF15B"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This report addresses the two requirements of the BMMB7005 assessment. Part 1 presents a business report to the directors of Barclays PLC, a London Stock Exchange listed FTSE 100 company. It evaluates two years of financial performance using profitability, liquidity, gearing, efficiency and investor ratios. Because Barclays is a bank, the analysis uses bank-relevant measures such as return on tangible equity, the Common Equity Tier 1 ratio, the liquidity coverage ratio and the net stable funding ratio, rather than relying only on ratios designed for manufacturing or retail firms. This is important because financial institutions have different balance sheet structures, regulatory requirements and risk exposures from non-financial companies (Basel Committee on Banking Supervision, 2013; Heffernan, 2005).</w:t>
          </w:r>
        </w:p>
        <w:p w14:paraId="58211C07"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Part 2 evaluates three four-year investment options for Beard Plc, a producer of high-quality handbags. The analysis calculates net present value at a 5% cost of capital, estimates the internal rate of return for the preferred option, discusses why NPV is theoretically superior, explains why non-discounting methods remain popular, evaluates other qualitative factors and identifies the optimal investment policy under capital rationing. The report concludes by advising the board on possible sources of finance and the advantages and disadvantages of each.</w:t>
          </w:r>
        </w:p>
        <w:p w14:paraId="4F8F730C" w14:textId="77777777" w:rsidR="007D1947" w:rsidRPr="002924BD" w:rsidRDefault="007D1947">
          <w:pPr>
            <w:rPr>
              <w:rFonts w:ascii="Times New Roman" w:hAnsi="Times New Roman" w:cs="Times New Roman"/>
              <w:sz w:val="24"/>
              <w:szCs w:val="24"/>
            </w:rPr>
          </w:pPr>
        </w:p>
        <w:p w14:paraId="4D3D6465" w14:textId="77777777" w:rsidR="007D1947" w:rsidRPr="002924BD" w:rsidRDefault="007D1947">
          <w:pPr>
            <w:rPr>
              <w:rFonts w:ascii="Times New Roman" w:hAnsi="Times New Roman" w:cs="Times New Roman"/>
              <w:sz w:val="24"/>
              <w:szCs w:val="24"/>
            </w:rPr>
          </w:pPr>
        </w:p>
        <w:p w14:paraId="47414E5B" w14:textId="77777777" w:rsidR="007D1947" w:rsidRPr="002924BD" w:rsidRDefault="007D1947">
          <w:pPr>
            <w:rPr>
              <w:rFonts w:ascii="Times New Roman" w:hAnsi="Times New Roman" w:cs="Times New Roman"/>
              <w:sz w:val="24"/>
              <w:szCs w:val="24"/>
            </w:rPr>
          </w:pPr>
        </w:p>
        <w:p w14:paraId="2F67E6D4" w14:textId="77777777" w:rsidR="007D1947" w:rsidRPr="002924BD" w:rsidRDefault="007D1947">
          <w:pPr>
            <w:rPr>
              <w:rFonts w:ascii="Times New Roman" w:hAnsi="Times New Roman" w:cs="Times New Roman"/>
              <w:sz w:val="24"/>
              <w:szCs w:val="24"/>
            </w:rPr>
          </w:pPr>
        </w:p>
        <w:p w14:paraId="400F30D3" w14:textId="77777777" w:rsidR="007D1947" w:rsidRPr="002924BD" w:rsidRDefault="007D1947">
          <w:pPr>
            <w:rPr>
              <w:rFonts w:ascii="Times New Roman" w:hAnsi="Times New Roman" w:cs="Times New Roman"/>
              <w:sz w:val="24"/>
              <w:szCs w:val="24"/>
            </w:rPr>
          </w:pPr>
        </w:p>
        <w:p w14:paraId="21D0F861" w14:textId="77777777" w:rsidR="007D1947" w:rsidRPr="002924BD" w:rsidRDefault="007D1947">
          <w:pPr>
            <w:rPr>
              <w:rFonts w:ascii="Times New Roman" w:hAnsi="Times New Roman" w:cs="Times New Roman"/>
              <w:sz w:val="24"/>
              <w:szCs w:val="24"/>
            </w:rPr>
          </w:pPr>
        </w:p>
        <w:p w14:paraId="68D56007" w14:textId="25DC41A4" w:rsidR="007D1947" w:rsidRPr="002924BD" w:rsidRDefault="007D1947">
          <w:pPr>
            <w:rPr>
              <w:rFonts w:ascii="Times New Roman" w:hAnsi="Times New Roman" w:cs="Times New Roman"/>
              <w:sz w:val="24"/>
              <w:szCs w:val="24"/>
            </w:rPr>
          </w:pPr>
        </w:p>
        <w:p w14:paraId="0DCF0194" w14:textId="70600FC3" w:rsidR="00084E65" w:rsidRPr="002924BD" w:rsidRDefault="00084E65">
          <w:pPr>
            <w:rPr>
              <w:rFonts w:ascii="Times New Roman" w:hAnsi="Times New Roman" w:cs="Times New Roman"/>
              <w:sz w:val="24"/>
              <w:szCs w:val="24"/>
            </w:rPr>
          </w:pPr>
        </w:p>
        <w:p w14:paraId="30499783" w14:textId="1246572E" w:rsidR="00084E65" w:rsidRPr="002924BD" w:rsidRDefault="00084E65">
          <w:pPr>
            <w:rPr>
              <w:rFonts w:ascii="Times New Roman" w:hAnsi="Times New Roman" w:cs="Times New Roman"/>
              <w:sz w:val="24"/>
              <w:szCs w:val="24"/>
            </w:rPr>
          </w:pPr>
        </w:p>
        <w:p w14:paraId="2F8B4A57" w14:textId="0DAFC227" w:rsidR="00084E65" w:rsidRPr="002924BD" w:rsidRDefault="00084E65">
          <w:pPr>
            <w:rPr>
              <w:rFonts w:ascii="Times New Roman" w:hAnsi="Times New Roman" w:cs="Times New Roman"/>
              <w:sz w:val="24"/>
              <w:szCs w:val="24"/>
            </w:rPr>
          </w:pPr>
        </w:p>
        <w:p w14:paraId="2AB7FDC7" w14:textId="6F8F8A31" w:rsidR="00084E65" w:rsidRPr="002924BD" w:rsidRDefault="00084E65">
          <w:pPr>
            <w:rPr>
              <w:rFonts w:ascii="Times New Roman" w:hAnsi="Times New Roman" w:cs="Times New Roman"/>
              <w:sz w:val="24"/>
              <w:szCs w:val="24"/>
            </w:rPr>
          </w:pPr>
        </w:p>
        <w:p w14:paraId="70B55DE7" w14:textId="77777777" w:rsidR="00084E65" w:rsidRPr="002924BD" w:rsidRDefault="00084E65">
          <w:pPr>
            <w:rPr>
              <w:rFonts w:ascii="Times New Roman" w:hAnsi="Times New Roman" w:cs="Times New Roman"/>
              <w:sz w:val="24"/>
              <w:szCs w:val="24"/>
            </w:rPr>
          </w:pPr>
        </w:p>
        <w:p w14:paraId="5CD1CE9F" w14:textId="77777777" w:rsidR="007D1947" w:rsidRPr="002924BD" w:rsidRDefault="007D1947">
          <w:pPr>
            <w:rPr>
              <w:rFonts w:ascii="Times New Roman" w:hAnsi="Times New Roman" w:cs="Times New Roman"/>
              <w:sz w:val="24"/>
              <w:szCs w:val="24"/>
            </w:rPr>
          </w:pPr>
        </w:p>
        <w:p w14:paraId="1F4C451B" w14:textId="77777777" w:rsidR="002924BD" w:rsidRPr="002924BD" w:rsidRDefault="002924BD" w:rsidP="002924BD">
          <w:pPr>
            <w:pStyle w:val="Heading1"/>
            <w:rPr>
              <w:rFonts w:ascii="Times New Roman" w:hAnsi="Times New Roman" w:cs="Times New Roman"/>
            </w:rPr>
          </w:pPr>
          <w:bookmarkStart w:id="2" w:name="_Toc227528908"/>
          <w:bookmarkStart w:id="3" w:name="_Toc227530753"/>
          <w:r w:rsidRPr="002924BD">
            <w:rPr>
              <w:rFonts w:ascii="Times New Roman" w:hAnsi="Times New Roman" w:cs="Times New Roman"/>
            </w:rPr>
            <w:t>Main Findings</w:t>
          </w:r>
          <w:bookmarkEnd w:id="2"/>
          <w:bookmarkEnd w:id="3"/>
        </w:p>
        <w:p w14:paraId="4C03D11C" w14:textId="77777777" w:rsidR="002924BD" w:rsidRPr="002924BD" w:rsidRDefault="002924BD" w:rsidP="002924BD">
          <w:pPr>
            <w:pStyle w:val="Heading1"/>
            <w:rPr>
              <w:rFonts w:ascii="Times New Roman" w:hAnsi="Times New Roman" w:cs="Times New Roman"/>
              <w:sz w:val="24"/>
              <w:szCs w:val="24"/>
            </w:rPr>
          </w:pPr>
        </w:p>
        <w:p w14:paraId="4979F0C5" w14:textId="77777777" w:rsidR="002924BD" w:rsidRPr="002924BD" w:rsidRDefault="002924BD" w:rsidP="002924BD">
          <w:pPr>
            <w:pStyle w:val="Heading2"/>
            <w:rPr>
              <w:rFonts w:ascii="Times New Roman" w:hAnsi="Times New Roman" w:cs="Times New Roman"/>
              <w:sz w:val="28"/>
              <w:szCs w:val="28"/>
            </w:rPr>
          </w:pPr>
          <w:bookmarkStart w:id="4" w:name="_Toc227528909"/>
          <w:bookmarkStart w:id="5" w:name="_Toc227530754"/>
          <w:r w:rsidRPr="002924BD">
            <w:rPr>
              <w:rFonts w:ascii="Times New Roman" w:hAnsi="Times New Roman" w:cs="Times New Roman"/>
              <w:sz w:val="28"/>
              <w:szCs w:val="28"/>
            </w:rPr>
            <w:t>Task 1</w:t>
          </w:r>
          <w:bookmarkEnd w:id="4"/>
          <w:bookmarkEnd w:id="5"/>
        </w:p>
        <w:p w14:paraId="661687FC" w14:textId="77777777" w:rsidR="002924BD" w:rsidRPr="002924BD" w:rsidRDefault="002924BD" w:rsidP="002924BD">
          <w:pPr>
            <w:pStyle w:val="Heading2"/>
            <w:spacing w:before="160" w:after="120"/>
            <w:rPr>
              <w:rFonts w:ascii="Times New Roman" w:hAnsi="Times New Roman" w:cs="Times New Roman"/>
              <w:sz w:val="28"/>
              <w:szCs w:val="28"/>
            </w:rPr>
          </w:pPr>
          <w:bookmarkStart w:id="6" w:name="_Toc227528910"/>
          <w:bookmarkStart w:id="7" w:name="_Toc227530755"/>
          <w:r w:rsidRPr="002924BD">
            <w:rPr>
              <w:rFonts w:ascii="Times New Roman" w:hAnsi="Times New Roman" w:cs="Times New Roman"/>
              <w:sz w:val="28"/>
              <w:szCs w:val="28"/>
            </w:rPr>
            <w:t>2.1 Task 1: Financial Ratio Analysis of Barclays PLC</w:t>
          </w:r>
          <w:bookmarkEnd w:id="6"/>
          <w:bookmarkEnd w:id="7"/>
        </w:p>
        <w:p w14:paraId="096BC743"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Barclays PLC is appropriate for Part 1 because its ordinary shares are traded on the London Stock Exchange under the ticker BARC and it is part of the FTSE 100 index. The group operates across UK retail banking, corporate banking, private banking, wealth management, investment banking and US consumer banking. This diversified model means that performance should be assessed through both accounting profitability and regulatory strength. A bank can report higher income while still becoming riskier if lending quality deteriorates, liquidity weakens or capital buffers are reduced too aggressively (Barth, Caprio and Levine, 2006; Saunders and Cornett, 2019).</w:t>
          </w:r>
        </w:p>
        <w:p w14:paraId="06C7FA5C"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 xml:space="preserve">The analysis uses Barclays’ 2024 and 2025 published financial information. In 2025, Barclays reported total income of £29.1bn, profit before tax of £9.139bn, </w:t>
          </w:r>
          <w:proofErr w:type="spellStart"/>
          <w:r w:rsidRPr="002924BD">
            <w:rPr>
              <w:rFonts w:ascii="Times New Roman" w:hAnsi="Times New Roman" w:cs="Times New Roman"/>
              <w:sz w:val="24"/>
              <w:szCs w:val="24"/>
            </w:rPr>
            <w:t>RoTE</w:t>
          </w:r>
          <w:proofErr w:type="spellEnd"/>
          <w:r w:rsidRPr="002924BD">
            <w:rPr>
              <w:rFonts w:ascii="Times New Roman" w:hAnsi="Times New Roman" w:cs="Times New Roman"/>
              <w:sz w:val="24"/>
              <w:szCs w:val="24"/>
            </w:rPr>
            <w:t xml:space="preserve"> of 11.3%, EPS of 43.8p and a CET1 ratio of 14.3%. These figures indicate stronger headline performance than 2024, when total income was £26.788bn, profit before tax was £8.108bn, </w:t>
          </w:r>
          <w:proofErr w:type="spellStart"/>
          <w:r w:rsidRPr="002924BD">
            <w:rPr>
              <w:rFonts w:ascii="Times New Roman" w:hAnsi="Times New Roman" w:cs="Times New Roman"/>
              <w:sz w:val="24"/>
              <w:szCs w:val="24"/>
            </w:rPr>
            <w:t>RoTE</w:t>
          </w:r>
          <w:proofErr w:type="spellEnd"/>
          <w:r w:rsidRPr="002924BD">
            <w:rPr>
              <w:rFonts w:ascii="Times New Roman" w:hAnsi="Times New Roman" w:cs="Times New Roman"/>
              <w:sz w:val="24"/>
              <w:szCs w:val="24"/>
            </w:rPr>
            <w:t xml:space="preserve"> was 10.5%, EPS was 36.0p and the CET1 ratio was 13.6% (Barclays PLC, 2026a; Barclays PLC, 2026b). The improvement is significant, but it needs interpretation rather than simple acceptance. For example, a bank’s performance may be supported by interest rate conditions, cost actions, acquisitions, share buybacks or changes in risk-weighted assets, none of which necessarily guarantee long-term improvement (Palepu, Healy and Peek, 2019; Penman, 2013; White, Sondhi and Fried, 2003; Graham and Dodd, 2009).</w:t>
          </w:r>
        </w:p>
        <w:p w14:paraId="40DC448F"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Table 1. Barclays PLC ratio summary</w:t>
          </w:r>
        </w:p>
        <w:tbl>
          <w:tblPr>
            <w:tblW w:w="0" w:type="auto"/>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A0" w:firstRow="1" w:lastRow="0" w:firstColumn="1" w:lastColumn="0" w:noHBand="0" w:noVBand="1"/>
          </w:tblPr>
          <w:tblGrid>
            <w:gridCol w:w="1848"/>
            <w:gridCol w:w="1741"/>
            <w:gridCol w:w="1749"/>
            <w:gridCol w:w="1749"/>
            <w:gridCol w:w="1923"/>
          </w:tblGrid>
          <w:tr w:rsidR="002924BD" w:rsidRPr="002924BD" w14:paraId="6DC00764" w14:textId="77777777" w:rsidTr="000C17B9">
            <w:trPr>
              <w:tblHeader/>
              <w:jc w:val="center"/>
            </w:trPr>
            <w:tc>
              <w:tcPr>
                <w:tcW w:w="2016" w:type="dxa"/>
                <w:shd w:val="clear" w:color="auto" w:fill="1F4E79"/>
                <w:tcMar>
                  <w:top w:w="80" w:type="dxa"/>
                  <w:left w:w="80" w:type="dxa"/>
                  <w:bottom w:w="80" w:type="dxa"/>
                  <w:right w:w="80" w:type="dxa"/>
                </w:tcMar>
                <w:vAlign w:val="center"/>
              </w:tcPr>
              <w:p w14:paraId="5D3EF11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Category</w:t>
                </w:r>
              </w:p>
            </w:tc>
            <w:tc>
              <w:tcPr>
                <w:tcW w:w="2016" w:type="dxa"/>
                <w:shd w:val="clear" w:color="auto" w:fill="1F4E79"/>
                <w:tcMar>
                  <w:top w:w="80" w:type="dxa"/>
                  <w:left w:w="80" w:type="dxa"/>
                  <w:bottom w:w="80" w:type="dxa"/>
                  <w:right w:w="80" w:type="dxa"/>
                </w:tcMar>
                <w:vAlign w:val="center"/>
              </w:tcPr>
              <w:p w14:paraId="52B3388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Ratio</w:t>
                </w:r>
              </w:p>
            </w:tc>
            <w:tc>
              <w:tcPr>
                <w:tcW w:w="2016" w:type="dxa"/>
                <w:shd w:val="clear" w:color="auto" w:fill="1F4E79"/>
                <w:tcMar>
                  <w:top w:w="80" w:type="dxa"/>
                  <w:left w:w="80" w:type="dxa"/>
                  <w:bottom w:w="80" w:type="dxa"/>
                  <w:right w:w="80" w:type="dxa"/>
                </w:tcMar>
                <w:vAlign w:val="center"/>
              </w:tcPr>
              <w:p w14:paraId="408D3A1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2024</w:t>
                </w:r>
              </w:p>
            </w:tc>
            <w:tc>
              <w:tcPr>
                <w:tcW w:w="2016" w:type="dxa"/>
                <w:shd w:val="clear" w:color="auto" w:fill="1F4E79"/>
                <w:tcMar>
                  <w:top w:w="80" w:type="dxa"/>
                  <w:left w:w="80" w:type="dxa"/>
                  <w:bottom w:w="80" w:type="dxa"/>
                  <w:right w:w="80" w:type="dxa"/>
                </w:tcMar>
                <w:vAlign w:val="center"/>
              </w:tcPr>
              <w:p w14:paraId="04FB298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2025</w:t>
                </w:r>
              </w:p>
            </w:tc>
            <w:tc>
              <w:tcPr>
                <w:tcW w:w="2016" w:type="dxa"/>
                <w:shd w:val="clear" w:color="auto" w:fill="1F4E79"/>
                <w:tcMar>
                  <w:top w:w="80" w:type="dxa"/>
                  <w:left w:w="80" w:type="dxa"/>
                  <w:bottom w:w="80" w:type="dxa"/>
                  <w:right w:w="80" w:type="dxa"/>
                </w:tcMar>
                <w:vAlign w:val="center"/>
              </w:tcPr>
              <w:p w14:paraId="3275D6D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Interpretation</w:t>
                </w:r>
              </w:p>
            </w:tc>
          </w:tr>
          <w:tr w:rsidR="002924BD" w:rsidRPr="002924BD" w14:paraId="6884B961" w14:textId="77777777" w:rsidTr="000C17B9">
            <w:trPr>
              <w:jc w:val="center"/>
            </w:trPr>
            <w:tc>
              <w:tcPr>
                <w:tcW w:w="2016" w:type="dxa"/>
                <w:tcMar>
                  <w:top w:w="80" w:type="dxa"/>
                  <w:left w:w="80" w:type="dxa"/>
                  <w:bottom w:w="80" w:type="dxa"/>
                  <w:right w:w="80" w:type="dxa"/>
                </w:tcMar>
                <w:vAlign w:val="center"/>
              </w:tcPr>
              <w:p w14:paraId="7AE868E2"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Profitability</w:t>
                </w:r>
              </w:p>
            </w:tc>
            <w:tc>
              <w:tcPr>
                <w:tcW w:w="2016" w:type="dxa"/>
                <w:tcMar>
                  <w:top w:w="80" w:type="dxa"/>
                  <w:left w:w="80" w:type="dxa"/>
                  <w:bottom w:w="80" w:type="dxa"/>
                  <w:right w:w="80" w:type="dxa"/>
                </w:tcMar>
                <w:vAlign w:val="center"/>
              </w:tcPr>
              <w:p w14:paraId="410C92F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Profit before tax margin</w:t>
                </w:r>
              </w:p>
            </w:tc>
            <w:tc>
              <w:tcPr>
                <w:tcW w:w="2016" w:type="dxa"/>
                <w:tcMar>
                  <w:top w:w="80" w:type="dxa"/>
                  <w:left w:w="80" w:type="dxa"/>
                  <w:bottom w:w="80" w:type="dxa"/>
                  <w:right w:w="80" w:type="dxa"/>
                </w:tcMar>
                <w:vAlign w:val="center"/>
              </w:tcPr>
              <w:p w14:paraId="1A6F317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30.27%</w:t>
                </w:r>
              </w:p>
            </w:tc>
            <w:tc>
              <w:tcPr>
                <w:tcW w:w="2016" w:type="dxa"/>
                <w:tcMar>
                  <w:top w:w="80" w:type="dxa"/>
                  <w:left w:w="80" w:type="dxa"/>
                  <w:bottom w:w="80" w:type="dxa"/>
                  <w:right w:w="80" w:type="dxa"/>
                </w:tcMar>
                <w:vAlign w:val="center"/>
              </w:tcPr>
              <w:p w14:paraId="36C8DE3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31.41%</w:t>
                </w:r>
              </w:p>
            </w:tc>
            <w:tc>
              <w:tcPr>
                <w:tcW w:w="2016" w:type="dxa"/>
                <w:tcMar>
                  <w:top w:w="80" w:type="dxa"/>
                  <w:left w:w="80" w:type="dxa"/>
                  <w:bottom w:w="80" w:type="dxa"/>
                  <w:right w:w="80" w:type="dxa"/>
                </w:tcMar>
                <w:vAlign w:val="center"/>
              </w:tcPr>
              <w:p w14:paraId="530100B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Slight improvement in pre-tax profitability</w:t>
                </w:r>
              </w:p>
            </w:tc>
          </w:tr>
          <w:tr w:rsidR="002924BD" w:rsidRPr="002924BD" w14:paraId="2F1BA3B9" w14:textId="77777777" w:rsidTr="000C17B9">
            <w:trPr>
              <w:jc w:val="center"/>
            </w:trPr>
            <w:tc>
              <w:tcPr>
                <w:tcW w:w="2016" w:type="dxa"/>
                <w:tcMar>
                  <w:top w:w="80" w:type="dxa"/>
                  <w:left w:w="80" w:type="dxa"/>
                  <w:bottom w:w="80" w:type="dxa"/>
                  <w:right w:w="80" w:type="dxa"/>
                </w:tcMar>
                <w:vAlign w:val="center"/>
              </w:tcPr>
              <w:p w14:paraId="46C89CB9"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Profitability</w:t>
                </w:r>
              </w:p>
            </w:tc>
            <w:tc>
              <w:tcPr>
                <w:tcW w:w="2016" w:type="dxa"/>
                <w:tcMar>
                  <w:top w:w="80" w:type="dxa"/>
                  <w:left w:w="80" w:type="dxa"/>
                  <w:bottom w:w="80" w:type="dxa"/>
                  <w:right w:w="80" w:type="dxa"/>
                </w:tcMar>
                <w:vAlign w:val="center"/>
              </w:tcPr>
              <w:p w14:paraId="193140EC" w14:textId="77777777" w:rsidR="002924BD" w:rsidRPr="002924BD" w:rsidRDefault="002924BD" w:rsidP="000C17B9">
                <w:pPr>
                  <w:spacing w:after="0" w:line="240" w:lineRule="auto"/>
                  <w:jc w:val="center"/>
                  <w:rPr>
                    <w:rFonts w:ascii="Times New Roman" w:hAnsi="Times New Roman" w:cs="Times New Roman"/>
                    <w:sz w:val="24"/>
                    <w:szCs w:val="24"/>
                  </w:rPr>
                </w:pPr>
                <w:proofErr w:type="spellStart"/>
                <w:r w:rsidRPr="002924BD">
                  <w:rPr>
                    <w:rFonts w:ascii="Times New Roman" w:hAnsi="Times New Roman" w:cs="Times New Roman"/>
                    <w:sz w:val="24"/>
                    <w:szCs w:val="24"/>
                  </w:rPr>
                  <w:t>RoTE</w:t>
                </w:r>
                <w:proofErr w:type="spellEnd"/>
              </w:p>
            </w:tc>
            <w:tc>
              <w:tcPr>
                <w:tcW w:w="2016" w:type="dxa"/>
                <w:tcMar>
                  <w:top w:w="80" w:type="dxa"/>
                  <w:left w:w="80" w:type="dxa"/>
                  <w:bottom w:w="80" w:type="dxa"/>
                  <w:right w:w="80" w:type="dxa"/>
                </w:tcMar>
                <w:vAlign w:val="center"/>
              </w:tcPr>
              <w:p w14:paraId="11945DC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10.5%</w:t>
                </w:r>
              </w:p>
            </w:tc>
            <w:tc>
              <w:tcPr>
                <w:tcW w:w="2016" w:type="dxa"/>
                <w:tcMar>
                  <w:top w:w="80" w:type="dxa"/>
                  <w:left w:w="80" w:type="dxa"/>
                  <w:bottom w:w="80" w:type="dxa"/>
                  <w:right w:w="80" w:type="dxa"/>
                </w:tcMar>
                <w:vAlign w:val="center"/>
              </w:tcPr>
              <w:p w14:paraId="03DF409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11.3%</w:t>
                </w:r>
              </w:p>
            </w:tc>
            <w:tc>
              <w:tcPr>
                <w:tcW w:w="2016" w:type="dxa"/>
                <w:tcMar>
                  <w:top w:w="80" w:type="dxa"/>
                  <w:left w:w="80" w:type="dxa"/>
                  <w:bottom w:w="80" w:type="dxa"/>
                  <w:right w:w="80" w:type="dxa"/>
                </w:tcMar>
                <w:vAlign w:val="center"/>
              </w:tcPr>
              <w:p w14:paraId="26BCABE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Higher return on tangible equity</w:t>
                </w:r>
              </w:p>
            </w:tc>
          </w:tr>
          <w:tr w:rsidR="002924BD" w:rsidRPr="002924BD" w14:paraId="3618A5CE" w14:textId="77777777" w:rsidTr="000C17B9">
            <w:trPr>
              <w:jc w:val="center"/>
            </w:trPr>
            <w:tc>
              <w:tcPr>
                <w:tcW w:w="2016" w:type="dxa"/>
                <w:tcMar>
                  <w:top w:w="80" w:type="dxa"/>
                  <w:left w:w="80" w:type="dxa"/>
                  <w:bottom w:w="80" w:type="dxa"/>
                  <w:right w:w="80" w:type="dxa"/>
                </w:tcMar>
                <w:vAlign w:val="center"/>
              </w:tcPr>
              <w:p w14:paraId="5264ABC6"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Profitability</w:t>
                </w:r>
              </w:p>
            </w:tc>
            <w:tc>
              <w:tcPr>
                <w:tcW w:w="2016" w:type="dxa"/>
                <w:tcMar>
                  <w:top w:w="80" w:type="dxa"/>
                  <w:left w:w="80" w:type="dxa"/>
                  <w:bottom w:w="80" w:type="dxa"/>
                  <w:right w:w="80" w:type="dxa"/>
                </w:tcMar>
                <w:vAlign w:val="center"/>
              </w:tcPr>
              <w:p w14:paraId="7B1EB44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ROA</w:t>
                </w:r>
              </w:p>
            </w:tc>
            <w:tc>
              <w:tcPr>
                <w:tcW w:w="2016" w:type="dxa"/>
                <w:tcMar>
                  <w:top w:w="80" w:type="dxa"/>
                  <w:left w:w="80" w:type="dxa"/>
                  <w:bottom w:w="80" w:type="dxa"/>
                  <w:right w:w="80" w:type="dxa"/>
                </w:tcMar>
                <w:vAlign w:val="center"/>
              </w:tcPr>
              <w:p w14:paraId="63F6F07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0.35%</w:t>
                </w:r>
              </w:p>
            </w:tc>
            <w:tc>
              <w:tcPr>
                <w:tcW w:w="2016" w:type="dxa"/>
                <w:tcMar>
                  <w:top w:w="80" w:type="dxa"/>
                  <w:left w:w="80" w:type="dxa"/>
                  <w:bottom w:w="80" w:type="dxa"/>
                  <w:right w:w="80" w:type="dxa"/>
                </w:tcMar>
                <w:vAlign w:val="center"/>
              </w:tcPr>
              <w:p w14:paraId="1373FBF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0.40%</w:t>
                </w:r>
              </w:p>
            </w:tc>
            <w:tc>
              <w:tcPr>
                <w:tcW w:w="2016" w:type="dxa"/>
                <w:tcMar>
                  <w:top w:w="80" w:type="dxa"/>
                  <w:left w:w="80" w:type="dxa"/>
                  <w:bottom w:w="80" w:type="dxa"/>
                  <w:right w:w="80" w:type="dxa"/>
                </w:tcMar>
                <w:vAlign w:val="center"/>
              </w:tcPr>
              <w:p w14:paraId="6397154A"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Low but improved, consistent with banking</w:t>
                </w:r>
              </w:p>
            </w:tc>
          </w:tr>
          <w:tr w:rsidR="002924BD" w:rsidRPr="002924BD" w14:paraId="6575BCB4" w14:textId="77777777" w:rsidTr="000C17B9">
            <w:trPr>
              <w:jc w:val="center"/>
            </w:trPr>
            <w:tc>
              <w:tcPr>
                <w:tcW w:w="2016" w:type="dxa"/>
                <w:tcMar>
                  <w:top w:w="80" w:type="dxa"/>
                  <w:left w:w="80" w:type="dxa"/>
                  <w:bottom w:w="80" w:type="dxa"/>
                  <w:right w:w="80" w:type="dxa"/>
                </w:tcMar>
                <w:vAlign w:val="center"/>
              </w:tcPr>
              <w:p w14:paraId="6A9D9538"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lastRenderedPageBreak/>
                  <w:t>Liquidity</w:t>
                </w:r>
              </w:p>
            </w:tc>
            <w:tc>
              <w:tcPr>
                <w:tcW w:w="2016" w:type="dxa"/>
                <w:tcMar>
                  <w:top w:w="80" w:type="dxa"/>
                  <w:left w:w="80" w:type="dxa"/>
                  <w:bottom w:w="80" w:type="dxa"/>
                  <w:right w:w="80" w:type="dxa"/>
                </w:tcMar>
                <w:vAlign w:val="center"/>
              </w:tcPr>
              <w:p w14:paraId="3A7266D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LCR</w:t>
                </w:r>
              </w:p>
            </w:tc>
            <w:tc>
              <w:tcPr>
                <w:tcW w:w="2016" w:type="dxa"/>
                <w:tcMar>
                  <w:top w:w="80" w:type="dxa"/>
                  <w:left w:w="80" w:type="dxa"/>
                  <w:bottom w:w="80" w:type="dxa"/>
                  <w:right w:w="80" w:type="dxa"/>
                </w:tcMar>
                <w:vAlign w:val="center"/>
              </w:tcPr>
              <w:p w14:paraId="51DF928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172.4%</w:t>
                </w:r>
              </w:p>
            </w:tc>
            <w:tc>
              <w:tcPr>
                <w:tcW w:w="2016" w:type="dxa"/>
                <w:tcMar>
                  <w:top w:w="80" w:type="dxa"/>
                  <w:left w:w="80" w:type="dxa"/>
                  <w:bottom w:w="80" w:type="dxa"/>
                  <w:right w:w="80" w:type="dxa"/>
                </w:tcMar>
                <w:vAlign w:val="center"/>
              </w:tcPr>
              <w:p w14:paraId="09062CA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170.0%</w:t>
                </w:r>
              </w:p>
            </w:tc>
            <w:tc>
              <w:tcPr>
                <w:tcW w:w="2016" w:type="dxa"/>
                <w:tcMar>
                  <w:top w:w="80" w:type="dxa"/>
                  <w:left w:w="80" w:type="dxa"/>
                  <w:bottom w:w="80" w:type="dxa"/>
                  <w:right w:w="80" w:type="dxa"/>
                </w:tcMar>
                <w:vAlign w:val="center"/>
              </w:tcPr>
              <w:p w14:paraId="4CEAC43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Slightly lower, still far above 100% minimum</w:t>
                </w:r>
              </w:p>
            </w:tc>
          </w:tr>
          <w:tr w:rsidR="002924BD" w:rsidRPr="002924BD" w14:paraId="248FB8F2" w14:textId="77777777" w:rsidTr="000C17B9">
            <w:trPr>
              <w:jc w:val="center"/>
            </w:trPr>
            <w:tc>
              <w:tcPr>
                <w:tcW w:w="2016" w:type="dxa"/>
                <w:tcMar>
                  <w:top w:w="80" w:type="dxa"/>
                  <w:left w:w="80" w:type="dxa"/>
                  <w:bottom w:w="80" w:type="dxa"/>
                  <w:right w:w="80" w:type="dxa"/>
                </w:tcMar>
                <w:vAlign w:val="center"/>
              </w:tcPr>
              <w:p w14:paraId="70D53FF8"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Liquidity</w:t>
                </w:r>
              </w:p>
            </w:tc>
            <w:tc>
              <w:tcPr>
                <w:tcW w:w="2016" w:type="dxa"/>
                <w:tcMar>
                  <w:top w:w="80" w:type="dxa"/>
                  <w:left w:w="80" w:type="dxa"/>
                  <w:bottom w:w="80" w:type="dxa"/>
                  <w:right w:w="80" w:type="dxa"/>
                </w:tcMar>
                <w:vAlign w:val="center"/>
              </w:tcPr>
              <w:p w14:paraId="4004139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NSFR</w:t>
                </w:r>
              </w:p>
            </w:tc>
            <w:tc>
              <w:tcPr>
                <w:tcW w:w="2016" w:type="dxa"/>
                <w:tcMar>
                  <w:top w:w="80" w:type="dxa"/>
                  <w:left w:w="80" w:type="dxa"/>
                  <w:bottom w:w="80" w:type="dxa"/>
                  <w:right w:w="80" w:type="dxa"/>
                </w:tcMar>
                <w:vAlign w:val="center"/>
              </w:tcPr>
              <w:p w14:paraId="7770637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134.9%</w:t>
                </w:r>
              </w:p>
            </w:tc>
            <w:tc>
              <w:tcPr>
                <w:tcW w:w="2016" w:type="dxa"/>
                <w:tcMar>
                  <w:top w:w="80" w:type="dxa"/>
                  <w:left w:w="80" w:type="dxa"/>
                  <w:bottom w:w="80" w:type="dxa"/>
                  <w:right w:w="80" w:type="dxa"/>
                </w:tcMar>
                <w:vAlign w:val="center"/>
              </w:tcPr>
              <w:p w14:paraId="2DA5B83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135.2%</w:t>
                </w:r>
              </w:p>
            </w:tc>
            <w:tc>
              <w:tcPr>
                <w:tcW w:w="2016" w:type="dxa"/>
                <w:tcMar>
                  <w:top w:w="80" w:type="dxa"/>
                  <w:left w:w="80" w:type="dxa"/>
                  <w:bottom w:w="80" w:type="dxa"/>
                  <w:right w:w="80" w:type="dxa"/>
                </w:tcMar>
                <w:vAlign w:val="center"/>
              </w:tcPr>
              <w:p w14:paraId="4999990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Stable long-term funding</w:t>
                </w:r>
              </w:p>
            </w:tc>
          </w:tr>
          <w:tr w:rsidR="002924BD" w:rsidRPr="002924BD" w14:paraId="30C0E400" w14:textId="77777777" w:rsidTr="000C17B9">
            <w:trPr>
              <w:jc w:val="center"/>
            </w:trPr>
            <w:tc>
              <w:tcPr>
                <w:tcW w:w="2016" w:type="dxa"/>
                <w:tcMar>
                  <w:top w:w="80" w:type="dxa"/>
                  <w:left w:w="80" w:type="dxa"/>
                  <w:bottom w:w="80" w:type="dxa"/>
                  <w:right w:w="80" w:type="dxa"/>
                </w:tcMar>
                <w:vAlign w:val="center"/>
              </w:tcPr>
              <w:p w14:paraId="38B6DFE0"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Gearing / capital</w:t>
                </w:r>
              </w:p>
            </w:tc>
            <w:tc>
              <w:tcPr>
                <w:tcW w:w="2016" w:type="dxa"/>
                <w:tcMar>
                  <w:top w:w="80" w:type="dxa"/>
                  <w:left w:w="80" w:type="dxa"/>
                  <w:bottom w:w="80" w:type="dxa"/>
                  <w:right w:w="80" w:type="dxa"/>
                </w:tcMar>
                <w:vAlign w:val="center"/>
              </w:tcPr>
              <w:p w14:paraId="5AB7648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CET1 ratio</w:t>
                </w:r>
              </w:p>
            </w:tc>
            <w:tc>
              <w:tcPr>
                <w:tcW w:w="2016" w:type="dxa"/>
                <w:tcMar>
                  <w:top w:w="80" w:type="dxa"/>
                  <w:left w:w="80" w:type="dxa"/>
                  <w:bottom w:w="80" w:type="dxa"/>
                  <w:right w:w="80" w:type="dxa"/>
                </w:tcMar>
                <w:vAlign w:val="center"/>
              </w:tcPr>
              <w:p w14:paraId="4899365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13.6%</w:t>
                </w:r>
              </w:p>
            </w:tc>
            <w:tc>
              <w:tcPr>
                <w:tcW w:w="2016" w:type="dxa"/>
                <w:tcMar>
                  <w:top w:w="80" w:type="dxa"/>
                  <w:left w:w="80" w:type="dxa"/>
                  <w:bottom w:w="80" w:type="dxa"/>
                  <w:right w:w="80" w:type="dxa"/>
                </w:tcMar>
                <w:vAlign w:val="center"/>
              </w:tcPr>
              <w:p w14:paraId="38C6552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14.3%</w:t>
                </w:r>
              </w:p>
            </w:tc>
            <w:tc>
              <w:tcPr>
                <w:tcW w:w="2016" w:type="dxa"/>
                <w:tcMar>
                  <w:top w:w="80" w:type="dxa"/>
                  <w:left w:w="80" w:type="dxa"/>
                  <w:bottom w:w="80" w:type="dxa"/>
                  <w:right w:w="80" w:type="dxa"/>
                </w:tcMar>
                <w:vAlign w:val="center"/>
              </w:tcPr>
              <w:p w14:paraId="2BBDF08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Stronger regulatory capital position</w:t>
                </w:r>
              </w:p>
            </w:tc>
          </w:tr>
          <w:tr w:rsidR="002924BD" w:rsidRPr="002924BD" w14:paraId="3045DAAE" w14:textId="77777777" w:rsidTr="000C17B9">
            <w:trPr>
              <w:jc w:val="center"/>
            </w:trPr>
            <w:tc>
              <w:tcPr>
                <w:tcW w:w="2016" w:type="dxa"/>
                <w:tcMar>
                  <w:top w:w="80" w:type="dxa"/>
                  <w:left w:w="80" w:type="dxa"/>
                  <w:bottom w:w="80" w:type="dxa"/>
                  <w:right w:w="80" w:type="dxa"/>
                </w:tcMar>
                <w:vAlign w:val="center"/>
              </w:tcPr>
              <w:p w14:paraId="72F7AAFD"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Gearing</w:t>
                </w:r>
              </w:p>
            </w:tc>
            <w:tc>
              <w:tcPr>
                <w:tcW w:w="2016" w:type="dxa"/>
                <w:tcMar>
                  <w:top w:w="80" w:type="dxa"/>
                  <w:left w:w="80" w:type="dxa"/>
                  <w:bottom w:w="80" w:type="dxa"/>
                  <w:right w:w="80" w:type="dxa"/>
                </w:tcMar>
                <w:vAlign w:val="center"/>
              </w:tcPr>
              <w:p w14:paraId="2267A7B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Assets / equity</w:t>
                </w:r>
              </w:p>
            </w:tc>
            <w:tc>
              <w:tcPr>
                <w:tcW w:w="2016" w:type="dxa"/>
                <w:tcMar>
                  <w:top w:w="80" w:type="dxa"/>
                  <w:left w:w="80" w:type="dxa"/>
                  <w:bottom w:w="80" w:type="dxa"/>
                  <w:right w:w="80" w:type="dxa"/>
                </w:tcMar>
                <w:vAlign w:val="center"/>
              </w:tcPr>
              <w:p w14:paraId="7D990DD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20.95x</w:t>
                </w:r>
              </w:p>
            </w:tc>
            <w:tc>
              <w:tcPr>
                <w:tcW w:w="2016" w:type="dxa"/>
                <w:tcMar>
                  <w:top w:w="80" w:type="dxa"/>
                  <w:left w:w="80" w:type="dxa"/>
                  <w:bottom w:w="80" w:type="dxa"/>
                  <w:right w:w="80" w:type="dxa"/>
                </w:tcMar>
                <w:vAlign w:val="center"/>
              </w:tcPr>
              <w:p w14:paraId="73B4B11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19.74x</w:t>
                </w:r>
              </w:p>
            </w:tc>
            <w:tc>
              <w:tcPr>
                <w:tcW w:w="2016" w:type="dxa"/>
                <w:tcMar>
                  <w:top w:w="80" w:type="dxa"/>
                  <w:left w:w="80" w:type="dxa"/>
                  <w:bottom w:w="80" w:type="dxa"/>
                  <w:right w:w="80" w:type="dxa"/>
                </w:tcMar>
                <w:vAlign w:val="center"/>
              </w:tcPr>
              <w:p w14:paraId="75FAC43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Slight reduction in accounting leverage</w:t>
                </w:r>
              </w:p>
            </w:tc>
          </w:tr>
          <w:tr w:rsidR="002924BD" w:rsidRPr="002924BD" w14:paraId="46D6FCDE" w14:textId="77777777" w:rsidTr="000C17B9">
            <w:trPr>
              <w:jc w:val="center"/>
            </w:trPr>
            <w:tc>
              <w:tcPr>
                <w:tcW w:w="2016" w:type="dxa"/>
                <w:tcMar>
                  <w:top w:w="80" w:type="dxa"/>
                  <w:left w:w="80" w:type="dxa"/>
                  <w:bottom w:w="80" w:type="dxa"/>
                  <w:right w:w="80" w:type="dxa"/>
                </w:tcMar>
                <w:vAlign w:val="center"/>
              </w:tcPr>
              <w:p w14:paraId="02E30C52"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Efficiency</w:t>
                </w:r>
              </w:p>
            </w:tc>
            <w:tc>
              <w:tcPr>
                <w:tcW w:w="2016" w:type="dxa"/>
                <w:tcMar>
                  <w:top w:w="80" w:type="dxa"/>
                  <w:left w:w="80" w:type="dxa"/>
                  <w:bottom w:w="80" w:type="dxa"/>
                  <w:right w:w="80" w:type="dxa"/>
                </w:tcMar>
                <w:vAlign w:val="center"/>
              </w:tcPr>
              <w:p w14:paraId="5B5C67B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Cost: income ratio</w:t>
                </w:r>
              </w:p>
            </w:tc>
            <w:tc>
              <w:tcPr>
                <w:tcW w:w="2016" w:type="dxa"/>
                <w:tcMar>
                  <w:top w:w="80" w:type="dxa"/>
                  <w:left w:w="80" w:type="dxa"/>
                  <w:bottom w:w="80" w:type="dxa"/>
                  <w:right w:w="80" w:type="dxa"/>
                </w:tcMar>
                <w:vAlign w:val="center"/>
              </w:tcPr>
              <w:p w14:paraId="03041E6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62%</w:t>
                </w:r>
              </w:p>
            </w:tc>
            <w:tc>
              <w:tcPr>
                <w:tcW w:w="2016" w:type="dxa"/>
                <w:tcMar>
                  <w:top w:w="80" w:type="dxa"/>
                  <w:left w:w="80" w:type="dxa"/>
                  <w:bottom w:w="80" w:type="dxa"/>
                  <w:right w:w="80" w:type="dxa"/>
                </w:tcMar>
                <w:vAlign w:val="center"/>
              </w:tcPr>
              <w:p w14:paraId="500FC32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61%</w:t>
                </w:r>
              </w:p>
            </w:tc>
            <w:tc>
              <w:tcPr>
                <w:tcW w:w="2016" w:type="dxa"/>
                <w:tcMar>
                  <w:top w:w="80" w:type="dxa"/>
                  <w:left w:w="80" w:type="dxa"/>
                  <w:bottom w:w="80" w:type="dxa"/>
                  <w:right w:w="80" w:type="dxa"/>
                </w:tcMar>
                <w:vAlign w:val="center"/>
              </w:tcPr>
              <w:p w14:paraId="07BF095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Improved but still high</w:t>
                </w:r>
              </w:p>
            </w:tc>
          </w:tr>
          <w:tr w:rsidR="002924BD" w:rsidRPr="002924BD" w14:paraId="799F9156" w14:textId="77777777" w:rsidTr="000C17B9">
            <w:trPr>
              <w:jc w:val="center"/>
            </w:trPr>
            <w:tc>
              <w:tcPr>
                <w:tcW w:w="2016" w:type="dxa"/>
                <w:tcMar>
                  <w:top w:w="80" w:type="dxa"/>
                  <w:left w:w="80" w:type="dxa"/>
                  <w:bottom w:w="80" w:type="dxa"/>
                  <w:right w:w="80" w:type="dxa"/>
                </w:tcMar>
                <w:vAlign w:val="center"/>
              </w:tcPr>
              <w:p w14:paraId="40AFA07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Investor</w:t>
                </w:r>
              </w:p>
            </w:tc>
            <w:tc>
              <w:tcPr>
                <w:tcW w:w="2016" w:type="dxa"/>
                <w:tcMar>
                  <w:top w:w="80" w:type="dxa"/>
                  <w:left w:w="80" w:type="dxa"/>
                  <w:bottom w:w="80" w:type="dxa"/>
                  <w:right w:w="80" w:type="dxa"/>
                </w:tcMar>
                <w:vAlign w:val="center"/>
              </w:tcPr>
              <w:p w14:paraId="2CAB206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EPS</w:t>
                </w:r>
              </w:p>
            </w:tc>
            <w:tc>
              <w:tcPr>
                <w:tcW w:w="2016" w:type="dxa"/>
                <w:tcMar>
                  <w:top w:w="80" w:type="dxa"/>
                  <w:left w:w="80" w:type="dxa"/>
                  <w:bottom w:w="80" w:type="dxa"/>
                  <w:right w:w="80" w:type="dxa"/>
                </w:tcMar>
                <w:vAlign w:val="center"/>
              </w:tcPr>
              <w:p w14:paraId="3C0744A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36.0p</w:t>
                </w:r>
              </w:p>
            </w:tc>
            <w:tc>
              <w:tcPr>
                <w:tcW w:w="2016" w:type="dxa"/>
                <w:tcMar>
                  <w:top w:w="80" w:type="dxa"/>
                  <w:left w:w="80" w:type="dxa"/>
                  <w:bottom w:w="80" w:type="dxa"/>
                  <w:right w:w="80" w:type="dxa"/>
                </w:tcMar>
                <w:vAlign w:val="center"/>
              </w:tcPr>
              <w:p w14:paraId="7DE23CD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43.8p</w:t>
                </w:r>
              </w:p>
            </w:tc>
            <w:tc>
              <w:tcPr>
                <w:tcW w:w="2016" w:type="dxa"/>
                <w:tcMar>
                  <w:top w:w="80" w:type="dxa"/>
                  <w:left w:w="80" w:type="dxa"/>
                  <w:bottom w:w="80" w:type="dxa"/>
                  <w:right w:w="80" w:type="dxa"/>
                </w:tcMar>
                <w:vAlign w:val="center"/>
              </w:tcPr>
              <w:p w14:paraId="6B460E4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Strong increase in earnings per share</w:t>
                </w:r>
              </w:p>
            </w:tc>
          </w:tr>
          <w:tr w:rsidR="002924BD" w:rsidRPr="002924BD" w14:paraId="72360888" w14:textId="77777777" w:rsidTr="000C17B9">
            <w:trPr>
              <w:jc w:val="center"/>
            </w:trPr>
            <w:tc>
              <w:tcPr>
                <w:tcW w:w="2016" w:type="dxa"/>
                <w:tcMar>
                  <w:top w:w="80" w:type="dxa"/>
                  <w:left w:w="80" w:type="dxa"/>
                  <w:bottom w:w="80" w:type="dxa"/>
                  <w:right w:w="80" w:type="dxa"/>
                </w:tcMar>
                <w:vAlign w:val="center"/>
              </w:tcPr>
              <w:p w14:paraId="799789B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Investor</w:t>
                </w:r>
              </w:p>
            </w:tc>
            <w:tc>
              <w:tcPr>
                <w:tcW w:w="2016" w:type="dxa"/>
                <w:tcMar>
                  <w:top w:w="80" w:type="dxa"/>
                  <w:left w:w="80" w:type="dxa"/>
                  <w:bottom w:w="80" w:type="dxa"/>
                  <w:right w:w="80" w:type="dxa"/>
                </w:tcMar>
                <w:vAlign w:val="center"/>
              </w:tcPr>
              <w:p w14:paraId="458A82C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TNAV per share</w:t>
                </w:r>
              </w:p>
            </w:tc>
            <w:tc>
              <w:tcPr>
                <w:tcW w:w="2016" w:type="dxa"/>
                <w:tcMar>
                  <w:top w:w="80" w:type="dxa"/>
                  <w:left w:w="80" w:type="dxa"/>
                  <w:bottom w:w="80" w:type="dxa"/>
                  <w:right w:w="80" w:type="dxa"/>
                </w:tcMar>
                <w:vAlign w:val="center"/>
              </w:tcPr>
              <w:p w14:paraId="6DC8C62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357p</w:t>
                </w:r>
              </w:p>
            </w:tc>
            <w:tc>
              <w:tcPr>
                <w:tcW w:w="2016" w:type="dxa"/>
                <w:tcMar>
                  <w:top w:w="80" w:type="dxa"/>
                  <w:left w:w="80" w:type="dxa"/>
                  <w:bottom w:w="80" w:type="dxa"/>
                  <w:right w:w="80" w:type="dxa"/>
                </w:tcMar>
                <w:vAlign w:val="center"/>
              </w:tcPr>
              <w:p w14:paraId="4A67355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409p</w:t>
                </w:r>
              </w:p>
            </w:tc>
            <w:tc>
              <w:tcPr>
                <w:tcW w:w="2016" w:type="dxa"/>
                <w:tcMar>
                  <w:top w:w="80" w:type="dxa"/>
                  <w:left w:w="80" w:type="dxa"/>
                  <w:bottom w:w="80" w:type="dxa"/>
                  <w:right w:w="80" w:type="dxa"/>
                </w:tcMar>
                <w:vAlign w:val="center"/>
              </w:tcPr>
              <w:p w14:paraId="74761CA6"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Improved tangible asset backing per share</w:t>
                </w:r>
              </w:p>
            </w:tc>
          </w:tr>
        </w:tbl>
        <w:p w14:paraId="1DF24FC1" w14:textId="77777777" w:rsidR="002924BD" w:rsidRPr="002924BD" w:rsidRDefault="002924BD" w:rsidP="002924BD">
          <w:pPr>
            <w:pStyle w:val="Heading3"/>
            <w:spacing w:before="160" w:after="120"/>
            <w:rPr>
              <w:rFonts w:ascii="Times New Roman" w:hAnsi="Times New Roman" w:cs="Times New Roman"/>
              <w:sz w:val="28"/>
              <w:szCs w:val="28"/>
            </w:rPr>
          </w:pPr>
          <w:bookmarkStart w:id="8" w:name="_Toc227528911"/>
          <w:bookmarkStart w:id="9" w:name="_Toc227530756"/>
          <w:r w:rsidRPr="002924BD">
            <w:rPr>
              <w:rFonts w:ascii="Times New Roman" w:hAnsi="Times New Roman" w:cs="Times New Roman"/>
              <w:sz w:val="28"/>
              <w:szCs w:val="28"/>
            </w:rPr>
            <w:t>2.1.1 Profitability</w:t>
          </w:r>
          <w:bookmarkEnd w:id="8"/>
          <w:bookmarkEnd w:id="9"/>
        </w:p>
        <w:p w14:paraId="73EA6CD0"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Barclays’ profitability improved across the two-year period. Profit before tax increased by approximately 12.7%, from £8.108bn to £9.139bn, while total income increased by approximately 8.6%, from £26.788bn to £29.1bn. This raised the profit before tax margin from 30.27% to 31.41%. Return on tangible equity also increased from 10.5% to 11.3%, suggesting that management generated a higher return for ordinary shareholders after allowing for tangible equity capital. EPS increased by 21.7%, from 36.0p to 43.8p, which is particularly relevant for investors because it links profitability to each ordinary share (Barclays PLC, 2026b).</w:t>
          </w:r>
        </w:p>
        <w:p w14:paraId="035D4F44"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improvement should still be interpreted cautiously. First, banking profitability is partly shaped by macroeconomic and interest-rate conditions. Higher rates can improve net interest income, but they may also increase borrower stress and reduce credit quality if customers face higher repayment burdens (Bank of England, 2025; International Monetary Fund, 2025). Second, EPS can be strengthened by share buybacks as well as by operating performance. Barclays announced total capital distributions of £3.7bn relating to 2025, including dividends and buybacks. Buybacks can be appropriate if the bank has surplus capital and limited superior investment opportunities, but they can also make per-share metrics look stronger by reducing the denominator (Jensen, 1986; Barclays PLC, 2026b).</w:t>
          </w:r>
        </w:p>
        <w:p w14:paraId="2DB6A62A"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 xml:space="preserve">Third, credit impairment charges increased from about £2.0bn in 2024 to £2.3bn in 2025. This does not mean Barclays is in financial difficulty, but it does show that higher earnings were accompanied by continuing credit risk. In a bank, profitability cannot be judged separately from asset quality, because loan losses can reverse income gains quickly if </w:t>
          </w:r>
          <w:r w:rsidRPr="002924BD">
            <w:rPr>
              <w:rFonts w:ascii="Times New Roman" w:hAnsi="Times New Roman" w:cs="Times New Roman"/>
              <w:sz w:val="24"/>
              <w:szCs w:val="24"/>
            </w:rPr>
            <w:lastRenderedPageBreak/>
            <w:t>economic conditions weaken (Saunders and Cornett, 2019; Mishkin, 2019). Therefore, the profitability ratios show a positive trend, but the directors should focus on the quality and sustainability of earnings rather than only the headline improvement.</w:t>
          </w:r>
        </w:p>
        <w:p w14:paraId="51C37BA1" w14:textId="536ABFE1" w:rsidR="006A39A2" w:rsidRPr="006A39A2" w:rsidRDefault="002924BD" w:rsidP="006A39A2">
          <w:pPr>
            <w:pStyle w:val="Heading3"/>
            <w:spacing w:before="160" w:after="120"/>
            <w:rPr>
              <w:rFonts w:ascii="Times New Roman" w:hAnsi="Times New Roman" w:cs="Times New Roman"/>
              <w:sz w:val="28"/>
              <w:szCs w:val="28"/>
            </w:rPr>
          </w:pPr>
          <w:bookmarkStart w:id="10" w:name="_Toc227528912"/>
          <w:bookmarkStart w:id="11" w:name="_Toc227530757"/>
          <w:r w:rsidRPr="002924BD">
            <w:rPr>
              <w:rFonts w:ascii="Times New Roman" w:hAnsi="Times New Roman" w:cs="Times New Roman"/>
              <w:sz w:val="28"/>
              <w:szCs w:val="28"/>
            </w:rPr>
            <w:t>2.1.2 Liquidity, Gearing and Capital Strength</w:t>
          </w:r>
          <w:bookmarkEnd w:id="10"/>
          <w:bookmarkEnd w:id="11"/>
        </w:p>
        <w:p w14:paraId="6022F01F"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Liquidity remained strong. Barclays reported an average liquidity coverage ratio of 170.0% in 2025, compared with 172.4% in 2024. Although this was a slight reduction, it remained substantially above the Basel III minimum of 100%. The LCR is designed to ensure that banks hold sufficient high-quality liquid assets to survive a 30-day stress scenario (Basel Committee on Banking Supervision, 2013). Barclays’ net stable funding ratio also improved slightly from 134.9% to 135.2%, indicating stable medium-term funding relative to the group’s asset profile. The NSFR matters because liquidity risk is not only a short-term issue; excessive reliance on unstable wholesale funding can damage confidence during stress periods (Basel Committee on Banking Supervision, 2014; Bank of England, 2025).</w:t>
          </w:r>
        </w:p>
        <w:p w14:paraId="3762C80D"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capital and gearing position also improved. Barclays’ CET1 ratio increased from 13.6% to 14.3%, giving the bank a stronger loss-absorbing buffer. This is a more meaningful gearing measure for a bank than a simple debt-to-equity ratio, because regulation focuses on risk-weighted assets and the quality of regulatory capital (Basel Committee on Banking Supervision, 2017; Prudential Regulation Authority, 2025). The assets-to-equity ratio also fell from approximately 20.95 times to 19.74 times, indicating a modest reduction in balance sheet leverage.</w:t>
          </w:r>
        </w:p>
        <w:p w14:paraId="63A17F0D"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Nevertheless, a high accounting leverage ratio is structurally normal in banking. It should not be judged in the same way as a retailer or manufacturer, because deposits and financial liabilities are central to the banking business model. The more relevant question is whether the bank has sufficient capital, liquidity and funding stability relative to the riskiness of its assets (Heffernan, 2005; Hull, 2018). Barclays’ 2025 numbers suggest a stronger capital position, but directors should avoid allowing distributions to shareholders to run ahead of regulatory resilience. In the current environment, the capital decision is not simply a question of maximising short-term shareholder return; it is also about preserving confidence and strategic flexibility.</w:t>
          </w:r>
        </w:p>
        <w:p w14:paraId="4593F7E1" w14:textId="77777777" w:rsidR="002924BD" w:rsidRPr="002924BD" w:rsidRDefault="002924BD" w:rsidP="002924BD">
          <w:pPr>
            <w:pStyle w:val="Heading3"/>
            <w:spacing w:before="160" w:after="120"/>
            <w:rPr>
              <w:rFonts w:ascii="Times New Roman" w:hAnsi="Times New Roman" w:cs="Times New Roman"/>
              <w:sz w:val="28"/>
              <w:szCs w:val="28"/>
            </w:rPr>
          </w:pPr>
          <w:bookmarkStart w:id="12" w:name="_Toc227528913"/>
          <w:bookmarkStart w:id="13" w:name="_Toc227530758"/>
          <w:r w:rsidRPr="002924BD">
            <w:rPr>
              <w:rFonts w:ascii="Times New Roman" w:hAnsi="Times New Roman" w:cs="Times New Roman"/>
              <w:sz w:val="28"/>
              <w:szCs w:val="28"/>
            </w:rPr>
            <w:t>2.1.3 Efficiency and Investor Ratios</w:t>
          </w:r>
          <w:bookmarkEnd w:id="12"/>
          <w:bookmarkEnd w:id="13"/>
        </w:p>
        <w:p w14:paraId="58994AA1"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Efficiency improved only slightly. The cost: income ratio reduced from 62% to 61%, showing that income growth marginally outpaced operating costs. However, a cost: income ratio above 60% still indicates a significant efficiency challenge. For a diversified bank, cost management is complex because investment banking, digital transformation, regulation, compliance, cyber security and conduct risk all require continuing expenditure. A simplistic cost-cutting approach could therefore reduce service quality or weaken controls. The stronger recommendation is disciplined cost transformation: automation and digitalisation should remove avoidable process costs while protecting risk management capability (CIMA, 2023; Kaplan and Norton, 1996).</w:t>
          </w:r>
        </w:p>
        <w:p w14:paraId="0BD0DECE"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 xml:space="preserve">Investor ratios were positive. EPS increased from 36.0p to 43.8p, while tangible net asset value per share increased from 357p to 409p. These movements indicate improved shareholder value and a stronger tangible equity base per share. However, investor ratios should not be read in isolation. Share prices and valuation multiples depend on expectations </w:t>
          </w:r>
          <w:r w:rsidRPr="002924BD">
            <w:rPr>
              <w:rFonts w:ascii="Times New Roman" w:hAnsi="Times New Roman" w:cs="Times New Roman"/>
              <w:sz w:val="24"/>
              <w:szCs w:val="24"/>
            </w:rPr>
            <w:lastRenderedPageBreak/>
            <w:t>about future earnings, interest rates, credit risk, regulation and the wider market (</w:t>
          </w:r>
          <w:proofErr w:type="spellStart"/>
          <w:r w:rsidRPr="002924BD">
            <w:rPr>
              <w:rFonts w:ascii="Times New Roman" w:hAnsi="Times New Roman" w:cs="Times New Roman"/>
              <w:sz w:val="24"/>
              <w:szCs w:val="24"/>
            </w:rPr>
            <w:t>Fridson</w:t>
          </w:r>
          <w:proofErr w:type="spellEnd"/>
          <w:r w:rsidRPr="002924BD">
            <w:rPr>
              <w:rFonts w:ascii="Times New Roman" w:hAnsi="Times New Roman" w:cs="Times New Roman"/>
              <w:sz w:val="24"/>
              <w:szCs w:val="24"/>
            </w:rPr>
            <w:t xml:space="preserve"> and Alvarez, 2022; Damodaran, 2012). The London Stock Exchange listing confirms market access and investor visibility, but it does not itself prove financial strength (London Stock Exchange, 2026).</w:t>
          </w:r>
        </w:p>
        <w:p w14:paraId="67002FEB"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Overall, Barclays’ ratio profile is stronger in 2025 than in 2024. Profitability, capital strength, EPS and tangible net asset value improved; liquidity remained robust; and balance sheet leverage reduced modestly. The main weaknesses are that efficiency gains were limited, impairment charges increased, and some investor metrics may have been supported by buybacks. This means the directors should frame the 2025 result as a strong but still incomplete improvement.</w:t>
          </w:r>
        </w:p>
        <w:p w14:paraId="0D3B3539" w14:textId="77777777" w:rsidR="002924BD" w:rsidRPr="002924BD" w:rsidRDefault="002924BD" w:rsidP="002924BD">
          <w:pPr>
            <w:pStyle w:val="Heading3"/>
            <w:spacing w:before="160" w:after="120"/>
            <w:rPr>
              <w:rFonts w:ascii="Times New Roman" w:hAnsi="Times New Roman" w:cs="Times New Roman"/>
              <w:sz w:val="28"/>
              <w:szCs w:val="28"/>
            </w:rPr>
          </w:pPr>
          <w:bookmarkStart w:id="14" w:name="_Toc227528914"/>
          <w:bookmarkStart w:id="15" w:name="_Toc227530759"/>
          <w:r w:rsidRPr="002924BD">
            <w:rPr>
              <w:rFonts w:ascii="Times New Roman" w:hAnsi="Times New Roman" w:cs="Times New Roman"/>
              <w:sz w:val="28"/>
              <w:szCs w:val="28"/>
            </w:rPr>
            <w:t>2.1.4 Interlinking the Ratio Results</w:t>
          </w:r>
          <w:bookmarkEnd w:id="14"/>
          <w:bookmarkEnd w:id="15"/>
        </w:p>
        <w:p w14:paraId="33757FEF"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ratios should also be read together rather than as separate indicators. Higher profitability supported investor ratios, because stronger attributable profit and lower share count helped EPS to increase. The improved CET1 ratio indicates that Barclays was not simply generating returns by weakening its capital position. This is important because high returns that rely on excessive leverage would not be sustainable in banking. At the same time, the small reduction in the LCR does not appear concerning because the ratio remained far above the minimum requirement and the NSFR improved slightly. The more important connection is between profitability and credit risk: the increase in impairment charges suggests that stronger income was achieved in an environment where expected credit losses still required attention. A complete judgement therefore requires balancing return, resilience and risk.</w:t>
          </w:r>
        </w:p>
        <w:p w14:paraId="3DB9BE74"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efficiency ratio is also linked to profitability. If Barclays can reduce operating costs without weakening controls, future profits could improve even if income growth slows. However, if cost reduction is achieved by underinvesting in technology, compliance or staff capability, the apparent efficiency gain may create future operational or conduct problems. For a bank, financial management is therefore not simply about improving ratios in the next annual report. It is about ensuring that better ratios reflect durable operating improvement. This distinction is important for directors because short-term ratio improvement can be achieved through actions that increase long-term risk, such as excessive buybacks, under-provisioning, or deferred investment in control systems (Kaplan and Norton, 1996; Hull, 2018).</w:t>
          </w:r>
        </w:p>
        <w:p w14:paraId="19CC3EAF" w14:textId="77777777" w:rsidR="002924BD" w:rsidRPr="002924BD" w:rsidRDefault="002924BD" w:rsidP="002924BD">
          <w:pPr>
            <w:pStyle w:val="Heading3"/>
            <w:spacing w:before="160" w:after="120"/>
            <w:rPr>
              <w:rFonts w:ascii="Times New Roman" w:hAnsi="Times New Roman" w:cs="Times New Roman"/>
              <w:sz w:val="28"/>
              <w:szCs w:val="28"/>
            </w:rPr>
          </w:pPr>
          <w:bookmarkStart w:id="16" w:name="_Toc227528915"/>
          <w:bookmarkStart w:id="17" w:name="_Toc227530760"/>
          <w:r w:rsidRPr="002924BD">
            <w:rPr>
              <w:rFonts w:ascii="Times New Roman" w:hAnsi="Times New Roman" w:cs="Times New Roman"/>
              <w:sz w:val="28"/>
              <w:szCs w:val="28"/>
            </w:rPr>
            <w:t>2.1.5 Limitations of Ratio Analysis</w:t>
          </w:r>
          <w:bookmarkEnd w:id="16"/>
          <w:bookmarkEnd w:id="17"/>
        </w:p>
        <w:p w14:paraId="4B8D918C"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Ratio analysis is useful because it simplifies complex financial statements into indicators that can be compared over time. It also helps directors identify relationships between profitability, liquidity, efficiency, gearing and investor returns. However, it has important limitations. First, ratios are backward-looking. They use historical accounting information and may not capture future changes in interest rates, regulation, customer behaviour or credit losses (</w:t>
          </w:r>
          <w:proofErr w:type="spellStart"/>
          <w:r w:rsidRPr="002924BD">
            <w:rPr>
              <w:rFonts w:ascii="Times New Roman" w:hAnsi="Times New Roman" w:cs="Times New Roman"/>
              <w:sz w:val="24"/>
              <w:szCs w:val="24"/>
            </w:rPr>
            <w:t>Atrill</w:t>
          </w:r>
          <w:proofErr w:type="spellEnd"/>
          <w:r w:rsidRPr="002924BD">
            <w:rPr>
              <w:rFonts w:ascii="Times New Roman" w:hAnsi="Times New Roman" w:cs="Times New Roman"/>
              <w:sz w:val="24"/>
              <w:szCs w:val="24"/>
            </w:rPr>
            <w:t>, 2019; Penman, 2013; Beaver, 1966; Altman, 1968). This is especially important for banks because loan books may appear sound before credit stress becomes visible.</w:t>
          </w:r>
        </w:p>
        <w:p w14:paraId="111576C3"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 xml:space="preserve">Second, ratios can be distorted by accounting policy, acquisitions, disposals, restructuring costs, impairments and one-off items. Barclays’ results should therefore be interpreted alongside narrative disclosures and segmental information rather than simply through group-level ratios (Palepu, Healy and Peek, 2019). Third, the ratios used for banks differ from those </w:t>
          </w:r>
          <w:r w:rsidRPr="002924BD">
            <w:rPr>
              <w:rFonts w:ascii="Times New Roman" w:hAnsi="Times New Roman" w:cs="Times New Roman"/>
              <w:sz w:val="24"/>
              <w:szCs w:val="24"/>
            </w:rPr>
            <w:lastRenderedPageBreak/>
            <w:t>used for industrial companies. Current ratio and inventory turnover are not meaningful for a bank in the same way they are for a manufacturer. A banking analysis should focus on liquidity coverage, funding stability, capital adequacy, asset quality and returns on tangible equity (Saunders and Cornett, 2019; Mishkin, 2019).</w:t>
          </w:r>
        </w:p>
        <w:p w14:paraId="7F79D494"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Fourth, ratio analysis does not fully account for risk. Two banks can have similar returns but very different risk profiles if one is taking more credit, market or operational risk to generate the same level of profit. For that reason, directors should link ratios to stress testing, risk appetite and regulatory buffers (Hull, 2018; Bank of England, 2025). Finally, benchmark selection matters. Comparing Barclays with a non-financial FTSE 100 firm would be misleading; comparison should be made with large UK and international banks with similar business models. Ratio analysis is therefore a starting point for judgement, not a substitute for judgement.</w:t>
          </w:r>
        </w:p>
        <w:p w14:paraId="7FDD2560" w14:textId="77777777" w:rsidR="002924BD" w:rsidRPr="002924BD" w:rsidRDefault="002924BD" w:rsidP="002924BD">
          <w:pPr>
            <w:pStyle w:val="Heading3"/>
            <w:spacing w:before="160" w:after="120"/>
            <w:rPr>
              <w:rFonts w:ascii="Times New Roman" w:hAnsi="Times New Roman" w:cs="Times New Roman"/>
              <w:sz w:val="28"/>
              <w:szCs w:val="28"/>
            </w:rPr>
          </w:pPr>
          <w:bookmarkStart w:id="18" w:name="_Toc227528916"/>
          <w:bookmarkStart w:id="19" w:name="_Toc227530761"/>
          <w:r w:rsidRPr="002924BD">
            <w:rPr>
              <w:rFonts w:ascii="Times New Roman" w:hAnsi="Times New Roman" w:cs="Times New Roman"/>
              <w:sz w:val="28"/>
              <w:szCs w:val="28"/>
            </w:rPr>
            <w:t>2.1.6 Recommendations to Barclays Directors</w:t>
          </w:r>
          <w:bookmarkEnd w:id="18"/>
          <w:bookmarkEnd w:id="19"/>
        </w:p>
        <w:p w14:paraId="61EFDE91"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Four recommendations follow from the analysis. First, Barclays should continue to reduce the cost: income ratio, but through targeted productivity improvement rather than blunt cost reduction. Digital investment, process simplification, cloud migration and back-office automation could improve efficiency, but these actions should be governed carefully to avoid operational, cyber and conduct risks. The aim should be sustainable cost transformation rather than short-term cuts that damage service quality or control effectiveness (CIMA, 2023; Kaplan and Norton, 1996).</w:t>
          </w:r>
        </w:p>
        <w:p w14:paraId="45BA99FE" w14:textId="3A4629AD"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Second, Barclays should maintain capital discipline. The CET1 ratio of 14.3% is strong, but shareholder distributions should remain conditional on stress testing, credit conditions and regulatory expectations. Finance theory recognises that distributing surplus cash can reduce agency problems, but banks operate under stricter resilience requirements than ordinary</w:t>
          </w:r>
          <w:r w:rsidRPr="002924BD">
            <w:rPr>
              <w:rFonts w:ascii="Times New Roman" w:hAnsi="Times New Roman" w:cs="Times New Roman"/>
              <w:sz w:val="24"/>
              <w:szCs w:val="24"/>
            </w:rPr>
            <w:t xml:space="preserve"> </w:t>
          </w:r>
          <w:r w:rsidRPr="002924BD">
            <w:rPr>
              <w:rFonts w:ascii="Times New Roman" w:hAnsi="Times New Roman" w:cs="Times New Roman"/>
              <w:sz w:val="24"/>
              <w:szCs w:val="24"/>
            </w:rPr>
            <w:t>industrial firms (Jensen, 1986; Prudential Regulation Authority, 2025). The board should therefore avoid using buybacks to support short-term investor sentiment if macroeconomic risk or impairment trends worsen.</w:t>
          </w:r>
        </w:p>
        <w:p w14:paraId="22B2772C"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Third, the group should strengthen credit monitoring, particularly in consumer and corporate exposures that may be sensitive to interest rates and weaker economic growth. The increase in impairment charges is manageable but should not be ignored. Better early-warning indicators, sector-based risk reviews and conservative provisioning can protect future profitability (Mishkin, 2019; International Monetary Fund, 2025).</w:t>
          </w:r>
        </w:p>
        <w:p w14:paraId="33929AEB"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Fourth, Barclays should improve the transparency of performance reporting. Directors and investors need to distinguish recurring operating improvement from changes caused by acquisitions, disposals, litigation, restructuring, interest-rate conditions or share buybacks. Clear reporting would make the quality of earnings easier to assess and would strengthen investor confidence. In summary, Barclays should treat 2025 as evidence of progress, but not as proof that the group has removed its structural efficiency and credit-risk challenges.</w:t>
          </w:r>
        </w:p>
        <w:p w14:paraId="655F29CA" w14:textId="1A4DEB3C" w:rsidR="007D1947" w:rsidRPr="002924BD" w:rsidRDefault="007D1947" w:rsidP="002924BD">
          <w:pPr>
            <w:rPr>
              <w:rFonts w:ascii="Times New Roman" w:hAnsi="Times New Roman" w:cs="Times New Roman"/>
              <w:sz w:val="24"/>
              <w:szCs w:val="24"/>
            </w:rPr>
          </w:pPr>
        </w:p>
        <w:p w14:paraId="61F35D7B" w14:textId="77777777" w:rsidR="002924BD" w:rsidRPr="002924BD" w:rsidRDefault="002924BD" w:rsidP="002924BD">
          <w:pPr>
            <w:rPr>
              <w:rFonts w:ascii="Times New Roman" w:hAnsi="Times New Roman" w:cs="Times New Roman"/>
              <w:sz w:val="24"/>
              <w:szCs w:val="24"/>
            </w:rPr>
          </w:pPr>
        </w:p>
        <w:p w14:paraId="7395EB90" w14:textId="77777777" w:rsidR="002924BD" w:rsidRPr="002924BD" w:rsidRDefault="002924BD" w:rsidP="002924BD">
          <w:pPr>
            <w:pStyle w:val="Heading2"/>
            <w:rPr>
              <w:rFonts w:ascii="Times New Roman" w:hAnsi="Times New Roman" w:cs="Times New Roman"/>
              <w:sz w:val="32"/>
              <w:szCs w:val="32"/>
            </w:rPr>
          </w:pPr>
          <w:bookmarkStart w:id="20" w:name="_Toc227528917"/>
          <w:bookmarkStart w:id="21" w:name="_Toc227530762"/>
          <w:r w:rsidRPr="002924BD">
            <w:rPr>
              <w:rFonts w:ascii="Times New Roman" w:hAnsi="Times New Roman" w:cs="Times New Roman"/>
              <w:sz w:val="32"/>
              <w:szCs w:val="32"/>
            </w:rPr>
            <w:lastRenderedPageBreak/>
            <w:t>Task 2</w:t>
          </w:r>
          <w:bookmarkEnd w:id="20"/>
          <w:bookmarkEnd w:id="21"/>
        </w:p>
        <w:p w14:paraId="597AD9F7" w14:textId="77777777" w:rsidR="002924BD" w:rsidRPr="002924BD" w:rsidRDefault="002924BD" w:rsidP="002924BD">
          <w:pPr>
            <w:pStyle w:val="Heading2"/>
            <w:spacing w:before="160" w:after="120"/>
            <w:rPr>
              <w:rFonts w:ascii="Times New Roman" w:hAnsi="Times New Roman" w:cs="Times New Roman"/>
              <w:sz w:val="32"/>
              <w:szCs w:val="32"/>
            </w:rPr>
          </w:pPr>
          <w:bookmarkStart w:id="22" w:name="_Toc227528918"/>
          <w:bookmarkStart w:id="23" w:name="_Toc227530763"/>
          <w:r w:rsidRPr="002924BD">
            <w:rPr>
              <w:rFonts w:ascii="Times New Roman" w:hAnsi="Times New Roman" w:cs="Times New Roman"/>
              <w:sz w:val="32"/>
              <w:szCs w:val="32"/>
            </w:rPr>
            <w:t>2.2 Task 2: Investment Appraisal for Beard Plc</w:t>
          </w:r>
          <w:bookmarkEnd w:id="22"/>
          <w:bookmarkEnd w:id="23"/>
        </w:p>
        <w:p w14:paraId="5908ACB9" w14:textId="77777777" w:rsidR="002924BD" w:rsidRPr="002924BD" w:rsidRDefault="002924BD" w:rsidP="002924BD">
          <w:pPr>
            <w:pStyle w:val="Heading3"/>
            <w:spacing w:before="160" w:after="80"/>
            <w:rPr>
              <w:rFonts w:ascii="Times New Roman" w:hAnsi="Times New Roman" w:cs="Times New Roman"/>
              <w:sz w:val="28"/>
              <w:szCs w:val="28"/>
            </w:rPr>
          </w:pPr>
          <w:bookmarkStart w:id="24" w:name="_Toc227528919"/>
          <w:bookmarkStart w:id="25" w:name="_Toc227530764"/>
          <w:r w:rsidRPr="002924BD">
            <w:rPr>
              <w:rFonts w:ascii="Times New Roman" w:hAnsi="Times New Roman" w:cs="Times New Roman"/>
              <w:sz w:val="28"/>
              <w:szCs w:val="28"/>
            </w:rPr>
            <w:t>2.2.1 Decision frame and appraisal assumptions</w:t>
          </w:r>
          <w:bookmarkEnd w:id="24"/>
          <w:bookmarkEnd w:id="25"/>
        </w:p>
        <w:p w14:paraId="3CD726CD"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Beard Plc is comparing three four-year expansion choices: widening the retail outlet, building internet sales, and extending production into purses and wallets. The figures below use the 5% cost of capital stated in the case, corporation tax at 25%, and straight-line capital allowances at 20% of the original investment each year. The appraisal is therefore based on incremental after-tax cash flows rather than accounting profit. This matters because the board is deciding whether each proposal adds value to the company after the cash cost of tax, timing and capital committed has been recognised (</w:t>
          </w:r>
          <w:proofErr w:type="spellStart"/>
          <w:r w:rsidRPr="002924BD">
            <w:rPr>
              <w:rFonts w:ascii="Times New Roman" w:hAnsi="Times New Roman" w:cs="Times New Roman"/>
              <w:sz w:val="24"/>
              <w:szCs w:val="24"/>
            </w:rPr>
            <w:t>Atrill</w:t>
          </w:r>
          <w:proofErr w:type="spellEnd"/>
          <w:r w:rsidRPr="002924BD">
            <w:rPr>
              <w:rFonts w:ascii="Times New Roman" w:hAnsi="Times New Roman" w:cs="Times New Roman"/>
              <w:sz w:val="24"/>
              <w:szCs w:val="24"/>
            </w:rPr>
            <w:t>, 2019; Brealey, Myers and Allen, 2023).</w:t>
          </w:r>
        </w:p>
        <w:p w14:paraId="24F84809"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annual tax shield is included in the same year as the related operating cash flow. For example, Option C receives annual capital allowances of £200,000, giving a tax saving of £50,000 per year. The year-one after-tax cash flow is therefore £237,500, calculated as £250,000 less 25% tax on taxable profit of £50,000. The appendices show the detailed workings; the main report concentrates on what the results mean for the directors.</w:t>
          </w:r>
        </w:p>
        <w:tbl>
          <w:tblPr>
            <w:tblStyle w:val="TableGrid"/>
            <w:tblW w:w="0" w:type="auto"/>
            <w:jc w:val="center"/>
            <w:tblLook w:val="04A0" w:firstRow="1" w:lastRow="0" w:firstColumn="1" w:lastColumn="0" w:noHBand="0" w:noVBand="1"/>
          </w:tblPr>
          <w:tblGrid>
            <w:gridCol w:w="1805"/>
            <w:gridCol w:w="1833"/>
            <w:gridCol w:w="1833"/>
            <w:gridCol w:w="1756"/>
            <w:gridCol w:w="1789"/>
          </w:tblGrid>
          <w:tr w:rsidR="002924BD" w:rsidRPr="002924BD" w14:paraId="19A23E04" w14:textId="77777777" w:rsidTr="000C17B9">
            <w:trPr>
              <w:jc w:val="center"/>
            </w:trPr>
            <w:tc>
              <w:tcPr>
                <w:tcW w:w="2016" w:type="dxa"/>
                <w:vAlign w:val="center"/>
              </w:tcPr>
              <w:p w14:paraId="63F058A2"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b/>
                    <w:sz w:val="24"/>
                    <w:szCs w:val="24"/>
                  </w:rPr>
                  <w:t>Option</w:t>
                </w:r>
              </w:p>
            </w:tc>
            <w:tc>
              <w:tcPr>
                <w:tcW w:w="2016" w:type="dxa"/>
                <w:vAlign w:val="center"/>
              </w:tcPr>
              <w:p w14:paraId="1685371D"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b/>
                    <w:sz w:val="24"/>
                    <w:szCs w:val="24"/>
                  </w:rPr>
                  <w:t>Initial outlay</w:t>
                </w:r>
              </w:p>
            </w:tc>
            <w:tc>
              <w:tcPr>
                <w:tcW w:w="2016" w:type="dxa"/>
                <w:vAlign w:val="center"/>
              </w:tcPr>
              <w:p w14:paraId="0FA01B78"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b/>
                    <w:sz w:val="24"/>
                    <w:szCs w:val="24"/>
                  </w:rPr>
                  <w:t>PV of after-tax cash inflows</w:t>
                </w:r>
              </w:p>
            </w:tc>
            <w:tc>
              <w:tcPr>
                <w:tcW w:w="2016" w:type="dxa"/>
                <w:vAlign w:val="center"/>
              </w:tcPr>
              <w:p w14:paraId="0C4A8C76"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b/>
                    <w:sz w:val="24"/>
                    <w:szCs w:val="24"/>
                  </w:rPr>
                  <w:t>NPV at 5%</w:t>
                </w:r>
              </w:p>
            </w:tc>
            <w:tc>
              <w:tcPr>
                <w:tcW w:w="2016" w:type="dxa"/>
                <w:vAlign w:val="center"/>
              </w:tcPr>
              <w:p w14:paraId="22FB3162"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b/>
                    <w:sz w:val="24"/>
                    <w:szCs w:val="24"/>
                  </w:rPr>
                  <w:t>Initial decision</w:t>
                </w:r>
              </w:p>
            </w:tc>
          </w:tr>
          <w:tr w:rsidR="002924BD" w:rsidRPr="002924BD" w14:paraId="646F7E74" w14:textId="77777777" w:rsidTr="000C17B9">
            <w:trPr>
              <w:jc w:val="center"/>
            </w:trPr>
            <w:tc>
              <w:tcPr>
                <w:tcW w:w="2016" w:type="dxa"/>
                <w:vAlign w:val="center"/>
              </w:tcPr>
              <w:p w14:paraId="0031E8E3"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A - Retail outlet expansion</w:t>
                </w:r>
              </w:p>
            </w:tc>
            <w:tc>
              <w:tcPr>
                <w:tcW w:w="2016" w:type="dxa"/>
                <w:vAlign w:val="center"/>
              </w:tcPr>
              <w:p w14:paraId="15C0003E"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£600,000</w:t>
                </w:r>
              </w:p>
            </w:tc>
            <w:tc>
              <w:tcPr>
                <w:tcW w:w="2016" w:type="dxa"/>
                <w:vAlign w:val="center"/>
              </w:tcPr>
              <w:p w14:paraId="01D611B6"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£596,737</w:t>
                </w:r>
              </w:p>
            </w:tc>
            <w:tc>
              <w:tcPr>
                <w:tcW w:w="2016" w:type="dxa"/>
                <w:vAlign w:val="center"/>
              </w:tcPr>
              <w:p w14:paraId="0C722408"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-£3,263</w:t>
                </w:r>
              </w:p>
            </w:tc>
            <w:tc>
              <w:tcPr>
                <w:tcW w:w="2016" w:type="dxa"/>
                <w:vAlign w:val="center"/>
              </w:tcPr>
              <w:p w14:paraId="11DCF353"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Do not accept on financial grounds</w:t>
                </w:r>
              </w:p>
            </w:tc>
          </w:tr>
          <w:tr w:rsidR="002924BD" w:rsidRPr="002924BD" w14:paraId="14B3F55E" w14:textId="77777777" w:rsidTr="000C17B9">
            <w:trPr>
              <w:jc w:val="center"/>
            </w:trPr>
            <w:tc>
              <w:tcPr>
                <w:tcW w:w="2016" w:type="dxa"/>
                <w:vAlign w:val="center"/>
              </w:tcPr>
              <w:p w14:paraId="24531DF3"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B - Internet sales</w:t>
                </w:r>
              </w:p>
            </w:tc>
            <w:tc>
              <w:tcPr>
                <w:tcW w:w="2016" w:type="dxa"/>
                <w:vAlign w:val="center"/>
              </w:tcPr>
              <w:p w14:paraId="23B0B391"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£900,000</w:t>
                </w:r>
              </w:p>
            </w:tc>
            <w:tc>
              <w:tcPr>
                <w:tcW w:w="2016" w:type="dxa"/>
                <w:vAlign w:val="center"/>
              </w:tcPr>
              <w:p w14:paraId="4CE595AC"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£973,952</w:t>
                </w:r>
              </w:p>
            </w:tc>
            <w:tc>
              <w:tcPr>
                <w:tcW w:w="2016" w:type="dxa"/>
                <w:vAlign w:val="center"/>
              </w:tcPr>
              <w:p w14:paraId="1EABB2B7"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£73,952</w:t>
                </w:r>
              </w:p>
            </w:tc>
            <w:tc>
              <w:tcPr>
                <w:tcW w:w="2016" w:type="dxa"/>
                <w:vAlign w:val="center"/>
              </w:tcPr>
              <w:p w14:paraId="3BF3D80B"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Accept if sufficient funds are available</w:t>
                </w:r>
              </w:p>
            </w:tc>
          </w:tr>
          <w:tr w:rsidR="002924BD" w:rsidRPr="002924BD" w14:paraId="5745570C" w14:textId="77777777" w:rsidTr="000C17B9">
            <w:trPr>
              <w:jc w:val="center"/>
            </w:trPr>
            <w:tc>
              <w:tcPr>
                <w:tcW w:w="2016" w:type="dxa"/>
                <w:vAlign w:val="center"/>
              </w:tcPr>
              <w:p w14:paraId="56D8C2AE"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C - Purses and wallets</w:t>
                </w:r>
              </w:p>
            </w:tc>
            <w:tc>
              <w:tcPr>
                <w:tcW w:w="2016" w:type="dxa"/>
                <w:vAlign w:val="center"/>
              </w:tcPr>
              <w:p w14:paraId="54B17B81"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£1,000,000</w:t>
                </w:r>
              </w:p>
            </w:tc>
            <w:tc>
              <w:tcPr>
                <w:tcW w:w="2016" w:type="dxa"/>
                <w:vAlign w:val="center"/>
              </w:tcPr>
              <w:p w14:paraId="37DBEC17"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£1,091,226</w:t>
                </w:r>
              </w:p>
            </w:tc>
            <w:tc>
              <w:tcPr>
                <w:tcW w:w="2016" w:type="dxa"/>
                <w:vAlign w:val="center"/>
              </w:tcPr>
              <w:p w14:paraId="0AFCFB3C"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£91,226</w:t>
                </w:r>
              </w:p>
            </w:tc>
            <w:tc>
              <w:tcPr>
                <w:tcW w:w="2016" w:type="dxa"/>
                <w:vAlign w:val="center"/>
              </w:tcPr>
              <w:p w14:paraId="263EEE36"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Best single project</w:t>
                </w:r>
              </w:p>
            </w:tc>
          </w:tr>
        </w:tbl>
        <w:p w14:paraId="1A294180" w14:textId="77777777" w:rsidR="002924BD" w:rsidRPr="002924BD" w:rsidRDefault="002924BD" w:rsidP="002924BD">
          <w:pPr>
            <w:spacing w:after="60"/>
            <w:rPr>
              <w:rFonts w:ascii="Times New Roman" w:hAnsi="Times New Roman" w:cs="Times New Roman"/>
              <w:sz w:val="24"/>
              <w:szCs w:val="24"/>
            </w:rPr>
          </w:pPr>
        </w:p>
        <w:p w14:paraId="3BC292AF" w14:textId="77777777" w:rsidR="002924BD" w:rsidRPr="002924BD" w:rsidRDefault="002924BD" w:rsidP="002924BD">
          <w:pPr>
            <w:pStyle w:val="Heading3"/>
            <w:spacing w:before="160" w:after="80"/>
            <w:rPr>
              <w:rFonts w:ascii="Times New Roman" w:hAnsi="Times New Roman" w:cs="Times New Roman"/>
              <w:sz w:val="28"/>
              <w:szCs w:val="28"/>
            </w:rPr>
          </w:pPr>
          <w:bookmarkStart w:id="26" w:name="_Toc227528920"/>
          <w:bookmarkStart w:id="27" w:name="_Toc227530765"/>
          <w:r w:rsidRPr="002924BD">
            <w:rPr>
              <w:rFonts w:ascii="Times New Roman" w:hAnsi="Times New Roman" w:cs="Times New Roman"/>
              <w:sz w:val="28"/>
              <w:szCs w:val="28"/>
            </w:rPr>
            <w:t>2.2.2 Interpretation of the NPV results</w:t>
          </w:r>
          <w:bookmarkEnd w:id="26"/>
          <w:bookmarkEnd w:id="27"/>
        </w:p>
        <w:p w14:paraId="32820C7B" w14:textId="473CB38C"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 xml:space="preserve">The NPV evidence gives a clear first ranking. Option A almost covers its initial outlay but does not fully compensate Beard Plc for the required 5% return; its NPV of approximately -£3,263 means that it would slightly reduce shareholder wealth if the forecast </w:t>
          </w:r>
          <w:proofErr w:type="gramStart"/>
          <w:r w:rsidRPr="002924BD">
            <w:rPr>
              <w:rFonts w:ascii="Times New Roman" w:hAnsi="Times New Roman" w:cs="Times New Roman"/>
              <w:sz w:val="24"/>
              <w:szCs w:val="24"/>
            </w:rPr>
            <w:t>is</w:t>
          </w:r>
          <w:proofErr w:type="gramEnd"/>
          <w:r w:rsidRPr="002924BD">
            <w:rPr>
              <w:rFonts w:ascii="Times New Roman" w:hAnsi="Times New Roman" w:cs="Times New Roman"/>
              <w:sz w:val="24"/>
              <w:szCs w:val="24"/>
            </w:rPr>
            <w:t xml:space="preserve"> accurate. The result is close to </w:t>
          </w:r>
          <w:r w:rsidRPr="002924BD">
            <w:rPr>
              <w:rFonts w:ascii="Times New Roman" w:hAnsi="Times New Roman" w:cs="Times New Roman"/>
              <w:sz w:val="24"/>
              <w:szCs w:val="24"/>
            </w:rPr>
            <w:t>break even</w:t>
          </w:r>
          <w:r w:rsidRPr="002924BD">
            <w:rPr>
              <w:rFonts w:ascii="Times New Roman" w:hAnsi="Times New Roman" w:cs="Times New Roman"/>
              <w:sz w:val="24"/>
              <w:szCs w:val="24"/>
            </w:rPr>
            <w:t>, so management should not treat it as a disastrous idea, but it is not strong enough to recommend when other positive-NPV alternatives exist.</w:t>
          </w:r>
        </w:p>
        <w:p w14:paraId="42259A68"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Option B creates value of about £73,952. This makes the internet channel commercially attractive because it may broaden customer reach and generate useful digital data. However, it is not the strongest stand-alone choice. Option C has the largest NPV, around £91,226, and is also strategically close to the existing handbag business because purses and wallets are related leather goods. The project may allow Beard Plc to use existing brand reputation, suppliers and design capability more effectively than an unrelated expansion.</w:t>
          </w:r>
        </w:p>
        <w:p w14:paraId="37A16BD0"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 xml:space="preserve">The board should not simply choose the project with the largest total cash receipts. NPV is superior because it deducts the original capital cost and discounts later cash flows. A project with higher sales can still be weaker if the timing, tax effect or initial outlay is unfavourable. </w:t>
          </w:r>
          <w:r w:rsidRPr="002924BD">
            <w:rPr>
              <w:rFonts w:ascii="Times New Roman" w:hAnsi="Times New Roman" w:cs="Times New Roman"/>
              <w:sz w:val="24"/>
              <w:szCs w:val="24"/>
            </w:rPr>
            <w:lastRenderedPageBreak/>
            <w:t>On the base-case figures, Option C is the best financial choice because it produces the greatest surplus after all these factors have been considered.</w:t>
          </w:r>
        </w:p>
        <w:p w14:paraId="46B1D0D8" w14:textId="77777777" w:rsidR="002924BD" w:rsidRPr="002924BD" w:rsidRDefault="002924BD" w:rsidP="002924BD">
          <w:pPr>
            <w:pStyle w:val="Heading3"/>
            <w:spacing w:before="160" w:after="80"/>
            <w:rPr>
              <w:rFonts w:ascii="Times New Roman" w:hAnsi="Times New Roman" w:cs="Times New Roman"/>
              <w:sz w:val="28"/>
              <w:szCs w:val="28"/>
            </w:rPr>
          </w:pPr>
          <w:bookmarkStart w:id="28" w:name="_Toc227528921"/>
          <w:bookmarkStart w:id="29" w:name="_Toc227530766"/>
          <w:r w:rsidRPr="002924BD">
            <w:rPr>
              <w:rFonts w:ascii="Times New Roman" w:hAnsi="Times New Roman" w:cs="Times New Roman"/>
              <w:sz w:val="28"/>
              <w:szCs w:val="28"/>
            </w:rPr>
            <w:t>2.2.3 IRR as a secondary check</w:t>
          </w:r>
          <w:bookmarkEnd w:id="28"/>
          <w:bookmarkEnd w:id="29"/>
        </w:p>
        <w:p w14:paraId="2EA5D6D8"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internal rate of return for Option C is approximately 8.57%. This is above the 5% cost of capital, so it supports the same accept decision as NPV. The percentage return is useful because directors can understand it quickly and compare it with hurdle rates or bank borrowing costs. Nevertheless, IRR should remain a supporting measure rather than the main decision rule. It does not show the absolute amount of wealth created, and it can become misleading where projects differ in scale or where the cash-flow pattern is non-conventional (Pike, Neale and Akbar, 2018; Watson and Head, 2019).</w:t>
          </w:r>
        </w:p>
        <w:p w14:paraId="2B2FF749"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For Beard Plc, this limitation is important because the three options require different initial investments. A smaller project can show a high rate of return but add less total value. The board should therefore use IRR to confirm that Option C clears the required return, while using NPV to decide which project contributes most to shareholder wealth.</w:t>
          </w:r>
        </w:p>
        <w:p w14:paraId="6A2E64B0" w14:textId="77777777" w:rsidR="002924BD" w:rsidRPr="002924BD" w:rsidRDefault="002924BD" w:rsidP="002924BD">
          <w:pPr>
            <w:pStyle w:val="Heading3"/>
            <w:spacing w:before="160" w:after="80"/>
            <w:rPr>
              <w:rFonts w:ascii="Times New Roman" w:hAnsi="Times New Roman" w:cs="Times New Roman"/>
              <w:sz w:val="28"/>
              <w:szCs w:val="28"/>
            </w:rPr>
          </w:pPr>
          <w:bookmarkStart w:id="30" w:name="_Toc227528922"/>
          <w:bookmarkStart w:id="31" w:name="_Toc227530767"/>
          <w:r w:rsidRPr="002924BD">
            <w:rPr>
              <w:rFonts w:ascii="Times New Roman" w:hAnsi="Times New Roman" w:cs="Times New Roman"/>
              <w:sz w:val="28"/>
              <w:szCs w:val="28"/>
            </w:rPr>
            <w:t>2.2.4 Why NPV should lead the decision</w:t>
          </w:r>
          <w:bookmarkEnd w:id="30"/>
          <w:bookmarkEnd w:id="31"/>
        </w:p>
        <w:p w14:paraId="10D9A47C"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NPV is the most appropriate primary technique because it is based on cash flow, incorporates the time value of money and links directly to shareholder wealth. A positive NPV means that the project is expected to earn more than investors require for the risk of the cash flows. It also forces management to make assumptions explicit: expected revenue, relevant costs, tax, capital allowances, timing and the discount rate all become visible in the appraisal. This makes the decision more transparent than relying only on accounting profit or a simple payback target.</w:t>
          </w:r>
        </w:p>
        <w:p w14:paraId="0887D5C8"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This does not mean the NPV result is certain. It is only as reliable as the forecast inputs. If demand is overestimated or production costs rise, Option C's NPV could fall quickly. For that reason, the board should request sensitivity testing before approval. The key tests should include lower sales volumes, lower selling prices, higher leather and labour costs, delayed launch, and a higher discount rate if the project is judged riskier than the existing business.</w:t>
          </w:r>
        </w:p>
        <w:p w14:paraId="5E211DFD" w14:textId="77777777" w:rsidR="002924BD" w:rsidRPr="002924BD" w:rsidRDefault="002924BD" w:rsidP="002924BD">
          <w:pPr>
            <w:pStyle w:val="Heading3"/>
            <w:spacing w:before="160" w:after="80"/>
            <w:rPr>
              <w:rFonts w:ascii="Times New Roman" w:hAnsi="Times New Roman" w:cs="Times New Roman"/>
              <w:sz w:val="28"/>
              <w:szCs w:val="28"/>
            </w:rPr>
          </w:pPr>
          <w:bookmarkStart w:id="32" w:name="_Toc227528923"/>
          <w:bookmarkStart w:id="33" w:name="_Toc227530768"/>
          <w:r w:rsidRPr="002924BD">
            <w:rPr>
              <w:rFonts w:ascii="Times New Roman" w:hAnsi="Times New Roman" w:cs="Times New Roman"/>
              <w:sz w:val="28"/>
              <w:szCs w:val="28"/>
            </w:rPr>
            <w:t>2.2.5 Role of payback and ARR</w:t>
          </w:r>
          <w:bookmarkEnd w:id="32"/>
          <w:bookmarkEnd w:id="33"/>
        </w:p>
        <w:p w14:paraId="378865ED"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Payback and accounting rate of return remain popular because they are simple, quick and easy to explain to non-finance managers. Payback is especially useful for liquidity control because it asks how quickly cash is recovered. This is relevant for a medium-sized manufacturer that cannot afford to lock too much cash into one project. ARR is also familiar because it uses accounting profit, which managers often see in budgets and performance reports.</w:t>
          </w:r>
        </w:p>
        <w:p w14:paraId="06BB07F9"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However, these methods should not override NPV. Payback ignores cash flows after the cut-off date and normally ignores the time value of money unless a discounted payback version is used. ARR depends on accounting profit rather than cash and can be affected by depreciation policy. For Beard Plc, these methods may help management monitor risk and communicate the project internally, but they should be treated as supplementary controls rather than final selection rules (Drury, 2020; CIMA, 2023).</w:t>
          </w:r>
        </w:p>
        <w:p w14:paraId="502D8AE3" w14:textId="77777777" w:rsidR="002924BD" w:rsidRPr="002924BD" w:rsidRDefault="002924BD" w:rsidP="002924BD">
          <w:pPr>
            <w:pStyle w:val="Heading3"/>
            <w:spacing w:before="160" w:after="80"/>
            <w:rPr>
              <w:rFonts w:ascii="Times New Roman" w:hAnsi="Times New Roman" w:cs="Times New Roman"/>
              <w:sz w:val="28"/>
              <w:szCs w:val="28"/>
            </w:rPr>
          </w:pPr>
          <w:bookmarkStart w:id="34" w:name="_Toc227528924"/>
          <w:bookmarkStart w:id="35" w:name="_Toc227530769"/>
          <w:r w:rsidRPr="002924BD">
            <w:rPr>
              <w:rFonts w:ascii="Times New Roman" w:hAnsi="Times New Roman" w:cs="Times New Roman"/>
              <w:sz w:val="28"/>
              <w:szCs w:val="28"/>
            </w:rPr>
            <w:lastRenderedPageBreak/>
            <w:t>2.2.6 Capital rationing decision</w:t>
          </w:r>
          <w:bookmarkEnd w:id="34"/>
          <w:bookmarkEnd w:id="35"/>
        </w:p>
        <w:p w14:paraId="7E35FF7A"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If Beard Plc has only £1.5m available and the projects are divisible, the problem changes from choosing the highest individual NPV to allocating scarce capital to the best value-creating combination. The correct approach is to rank positive-NPV projects by profitability index, using NPV divided by initial investment. Option C ranks first, followed by Option B. Option A is excluded because its NPV is negative.</w:t>
          </w:r>
        </w:p>
        <w:tbl>
          <w:tblPr>
            <w:tblStyle w:val="TableGrid"/>
            <w:tblW w:w="0" w:type="auto"/>
            <w:jc w:val="center"/>
            <w:tblLook w:val="04A0" w:firstRow="1" w:lastRow="0" w:firstColumn="1" w:lastColumn="0" w:noHBand="0" w:noVBand="1"/>
          </w:tblPr>
          <w:tblGrid>
            <w:gridCol w:w="1743"/>
            <w:gridCol w:w="1751"/>
            <w:gridCol w:w="1846"/>
            <w:gridCol w:w="1874"/>
            <w:gridCol w:w="1802"/>
          </w:tblGrid>
          <w:tr w:rsidR="002924BD" w:rsidRPr="002924BD" w14:paraId="6FE755BC" w14:textId="77777777" w:rsidTr="000C17B9">
            <w:trPr>
              <w:jc w:val="center"/>
            </w:trPr>
            <w:tc>
              <w:tcPr>
                <w:tcW w:w="2016" w:type="dxa"/>
                <w:vAlign w:val="center"/>
              </w:tcPr>
              <w:p w14:paraId="7896E36D"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b/>
                    <w:sz w:val="24"/>
                    <w:szCs w:val="24"/>
                  </w:rPr>
                  <w:t>Project</w:t>
                </w:r>
              </w:p>
            </w:tc>
            <w:tc>
              <w:tcPr>
                <w:tcW w:w="2016" w:type="dxa"/>
                <w:vAlign w:val="center"/>
              </w:tcPr>
              <w:p w14:paraId="4F9FD365"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b/>
                    <w:sz w:val="24"/>
                    <w:szCs w:val="24"/>
                  </w:rPr>
                  <w:t>NPV</w:t>
                </w:r>
              </w:p>
            </w:tc>
            <w:tc>
              <w:tcPr>
                <w:tcW w:w="2016" w:type="dxa"/>
                <w:vAlign w:val="center"/>
              </w:tcPr>
              <w:p w14:paraId="417D9AD7"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b/>
                    <w:sz w:val="24"/>
                    <w:szCs w:val="24"/>
                  </w:rPr>
                  <w:t>Investment required</w:t>
                </w:r>
              </w:p>
            </w:tc>
            <w:tc>
              <w:tcPr>
                <w:tcW w:w="2016" w:type="dxa"/>
                <w:vAlign w:val="center"/>
              </w:tcPr>
              <w:p w14:paraId="0AA9F915"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b/>
                    <w:sz w:val="24"/>
                    <w:szCs w:val="24"/>
                  </w:rPr>
                  <w:t>Profitability index</w:t>
                </w:r>
              </w:p>
            </w:tc>
            <w:tc>
              <w:tcPr>
                <w:tcW w:w="2016" w:type="dxa"/>
                <w:vAlign w:val="center"/>
              </w:tcPr>
              <w:p w14:paraId="35C55F57"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b/>
                    <w:sz w:val="24"/>
                    <w:szCs w:val="24"/>
                  </w:rPr>
                  <w:t>Capital rationing action</w:t>
                </w:r>
              </w:p>
            </w:tc>
          </w:tr>
          <w:tr w:rsidR="002924BD" w:rsidRPr="002924BD" w14:paraId="7D701E4D" w14:textId="77777777" w:rsidTr="000C17B9">
            <w:trPr>
              <w:jc w:val="center"/>
            </w:trPr>
            <w:tc>
              <w:tcPr>
                <w:tcW w:w="2016" w:type="dxa"/>
                <w:vAlign w:val="center"/>
              </w:tcPr>
              <w:p w14:paraId="18D0F1EE"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C</w:t>
                </w:r>
              </w:p>
            </w:tc>
            <w:tc>
              <w:tcPr>
                <w:tcW w:w="2016" w:type="dxa"/>
                <w:vAlign w:val="center"/>
              </w:tcPr>
              <w:p w14:paraId="22DDE8D7"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£91,226</w:t>
                </w:r>
              </w:p>
            </w:tc>
            <w:tc>
              <w:tcPr>
                <w:tcW w:w="2016" w:type="dxa"/>
                <w:vAlign w:val="center"/>
              </w:tcPr>
              <w:p w14:paraId="363A4E7B"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£1,000,000</w:t>
                </w:r>
              </w:p>
            </w:tc>
            <w:tc>
              <w:tcPr>
                <w:tcW w:w="2016" w:type="dxa"/>
                <w:vAlign w:val="center"/>
              </w:tcPr>
              <w:p w14:paraId="75E19E5F"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0.0912</w:t>
                </w:r>
              </w:p>
            </w:tc>
            <w:tc>
              <w:tcPr>
                <w:tcW w:w="2016" w:type="dxa"/>
                <w:vAlign w:val="center"/>
              </w:tcPr>
              <w:p w14:paraId="6B858C9C"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Fund 100% first</w:t>
                </w:r>
              </w:p>
            </w:tc>
          </w:tr>
          <w:tr w:rsidR="002924BD" w:rsidRPr="002924BD" w14:paraId="6393D560" w14:textId="77777777" w:rsidTr="000C17B9">
            <w:trPr>
              <w:jc w:val="center"/>
            </w:trPr>
            <w:tc>
              <w:tcPr>
                <w:tcW w:w="2016" w:type="dxa"/>
                <w:vAlign w:val="center"/>
              </w:tcPr>
              <w:p w14:paraId="514763E3"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B</w:t>
                </w:r>
              </w:p>
            </w:tc>
            <w:tc>
              <w:tcPr>
                <w:tcW w:w="2016" w:type="dxa"/>
                <w:vAlign w:val="center"/>
              </w:tcPr>
              <w:p w14:paraId="3ACFD54E"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£73,952</w:t>
                </w:r>
              </w:p>
            </w:tc>
            <w:tc>
              <w:tcPr>
                <w:tcW w:w="2016" w:type="dxa"/>
                <w:vAlign w:val="center"/>
              </w:tcPr>
              <w:p w14:paraId="5236E302"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£900,000</w:t>
                </w:r>
              </w:p>
            </w:tc>
            <w:tc>
              <w:tcPr>
                <w:tcW w:w="2016" w:type="dxa"/>
                <w:vAlign w:val="center"/>
              </w:tcPr>
              <w:p w14:paraId="1EAF9D1E"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0.0822</w:t>
                </w:r>
              </w:p>
            </w:tc>
            <w:tc>
              <w:tcPr>
                <w:tcW w:w="2016" w:type="dxa"/>
                <w:vAlign w:val="center"/>
              </w:tcPr>
              <w:p w14:paraId="522B561F"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Use remaining £500,000, equal to 55.56%</w:t>
                </w:r>
              </w:p>
            </w:tc>
          </w:tr>
          <w:tr w:rsidR="002924BD" w:rsidRPr="002924BD" w14:paraId="2BADB1B3" w14:textId="77777777" w:rsidTr="000C17B9">
            <w:trPr>
              <w:jc w:val="center"/>
            </w:trPr>
            <w:tc>
              <w:tcPr>
                <w:tcW w:w="2016" w:type="dxa"/>
                <w:vAlign w:val="center"/>
              </w:tcPr>
              <w:p w14:paraId="396DB637" w14:textId="77777777" w:rsidR="002924BD" w:rsidRPr="002924BD" w:rsidRDefault="002924BD" w:rsidP="000C17B9">
                <w:pPr>
                  <w:rPr>
                    <w:rFonts w:ascii="Times New Roman" w:hAnsi="Times New Roman" w:cs="Times New Roman"/>
                    <w:sz w:val="24"/>
                    <w:szCs w:val="24"/>
                  </w:rPr>
                </w:pPr>
                <w:r w:rsidRPr="002924BD">
                  <w:rPr>
                    <w:rFonts w:ascii="Times New Roman" w:hAnsi="Times New Roman" w:cs="Times New Roman"/>
                    <w:sz w:val="24"/>
                    <w:szCs w:val="24"/>
                  </w:rPr>
                  <w:t>A</w:t>
                </w:r>
              </w:p>
            </w:tc>
            <w:tc>
              <w:tcPr>
                <w:tcW w:w="2016" w:type="dxa"/>
                <w:vAlign w:val="center"/>
              </w:tcPr>
              <w:p w14:paraId="40F43CDD"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-£3,263</w:t>
                </w:r>
              </w:p>
            </w:tc>
            <w:tc>
              <w:tcPr>
                <w:tcW w:w="2016" w:type="dxa"/>
                <w:vAlign w:val="center"/>
              </w:tcPr>
              <w:p w14:paraId="74CFBECD"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£600,000</w:t>
                </w:r>
              </w:p>
            </w:tc>
            <w:tc>
              <w:tcPr>
                <w:tcW w:w="2016" w:type="dxa"/>
                <w:vAlign w:val="center"/>
              </w:tcPr>
              <w:p w14:paraId="60D7BA7A"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Negative</w:t>
                </w:r>
              </w:p>
            </w:tc>
            <w:tc>
              <w:tcPr>
                <w:tcW w:w="2016" w:type="dxa"/>
                <w:vAlign w:val="center"/>
              </w:tcPr>
              <w:p w14:paraId="4F19CBD6" w14:textId="77777777" w:rsidR="002924BD" w:rsidRPr="002924BD" w:rsidRDefault="002924BD" w:rsidP="000C17B9">
                <w:pPr>
                  <w:jc w:val="center"/>
                  <w:rPr>
                    <w:rFonts w:ascii="Times New Roman" w:hAnsi="Times New Roman" w:cs="Times New Roman"/>
                    <w:sz w:val="24"/>
                    <w:szCs w:val="24"/>
                  </w:rPr>
                </w:pPr>
                <w:r w:rsidRPr="002924BD">
                  <w:rPr>
                    <w:rFonts w:ascii="Times New Roman" w:hAnsi="Times New Roman" w:cs="Times New Roman"/>
                    <w:sz w:val="24"/>
                    <w:szCs w:val="24"/>
                  </w:rPr>
                  <w:t>Reject</w:t>
                </w:r>
              </w:p>
            </w:tc>
          </w:tr>
        </w:tbl>
        <w:p w14:paraId="4186FB84" w14:textId="77777777" w:rsidR="002924BD" w:rsidRPr="002924BD" w:rsidRDefault="002924BD" w:rsidP="002924BD">
          <w:pPr>
            <w:spacing w:after="60"/>
            <w:rPr>
              <w:rFonts w:ascii="Times New Roman" w:hAnsi="Times New Roman" w:cs="Times New Roman"/>
              <w:sz w:val="24"/>
              <w:szCs w:val="24"/>
            </w:rPr>
          </w:pPr>
        </w:p>
        <w:p w14:paraId="726BC879"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recommended constrained programme is therefore 100% of Option C plus 55.56% of Option B. This creates total NPV of approximately £132,310, made up of £91,226 from Option C and about £41,084 from the funded proportion of Option B. This is higher than accepting Option C alone and uses the available capital more efficiently.</w:t>
          </w:r>
        </w:p>
        <w:p w14:paraId="2BF6BBC6" w14:textId="77777777" w:rsidR="002924BD" w:rsidRPr="002924BD" w:rsidRDefault="002924BD" w:rsidP="002924BD">
          <w:pPr>
            <w:pStyle w:val="Heading3"/>
            <w:spacing w:before="160" w:after="80"/>
            <w:rPr>
              <w:rFonts w:ascii="Times New Roman" w:hAnsi="Times New Roman" w:cs="Times New Roman"/>
            </w:rPr>
          </w:pPr>
          <w:bookmarkStart w:id="36" w:name="_Toc227528925"/>
          <w:bookmarkStart w:id="37" w:name="_Toc227530770"/>
          <w:r w:rsidRPr="002924BD">
            <w:rPr>
              <w:rFonts w:ascii="Times New Roman" w:hAnsi="Times New Roman" w:cs="Times New Roman"/>
            </w:rPr>
            <w:t>2.2.7 Wider risks and financing recommendation</w:t>
          </w:r>
          <w:bookmarkEnd w:id="36"/>
          <w:bookmarkEnd w:id="37"/>
        </w:p>
        <w:p w14:paraId="338E7179"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Before committing, Beard Plc should check whether the projects are genuinely divisible. Digital sales may be scalable in stages, but production of purses and wallets may require minimum equipment, supplier agreements or marketing spend. The company should also consider brand fit, quality control, staff capability, supply-chain reliability and the risk that new smaller leather goods cannibalise handbag demand. A positive NPV is valuable evidence, but it does not remove operational judgement.</w:t>
          </w:r>
        </w:p>
        <w:p w14:paraId="7AA400ED"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most sensible financing policy is a balanced mix of retained earnings and medium-term borrowing. Retained earnings avoid dilution and interest commitments, but using too much internal cash may weaken working-capital flexibility. Bank borrowing preserves ownership and may provide tax-deductible interest, but it increases fixed obligations and refinancing risk. Equity finance would reduce financial pressure but is likely to be slower, more expensive and dilutive for existing owners. Leasing may be useful for identifiable equipment, although lease payments still create long-term commitments. On balance, Beard Plc should use internal funds where available and add a controlled level of debt, keeping enough liquidity to support stock, marketing and early trading losses.</w:t>
          </w:r>
        </w:p>
        <w:p w14:paraId="00C4795D"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final recommendation is to accept Option C as the preferred single project, reject Option A, and, under the £1.5m divisible capital constraint, invest in all of Option C and 55.56% of Option B. The board should approve this only after sensitivity analysis and a post-completion review plan have been prepared.</w:t>
          </w:r>
        </w:p>
        <w:p w14:paraId="0C70A29B" w14:textId="77777777" w:rsidR="002924BD" w:rsidRPr="002924BD" w:rsidRDefault="002924BD" w:rsidP="002924BD">
          <w:pPr>
            <w:rPr>
              <w:rFonts w:ascii="Times New Roman" w:hAnsi="Times New Roman" w:cs="Times New Roman"/>
              <w:sz w:val="24"/>
              <w:szCs w:val="24"/>
            </w:rPr>
          </w:pPr>
        </w:p>
        <w:p w14:paraId="581AC22A" w14:textId="77777777" w:rsidR="002924BD" w:rsidRPr="002924BD" w:rsidRDefault="002924BD" w:rsidP="002924BD">
          <w:pPr>
            <w:rPr>
              <w:rFonts w:ascii="Times New Roman" w:hAnsi="Times New Roman" w:cs="Times New Roman"/>
              <w:sz w:val="24"/>
              <w:szCs w:val="24"/>
            </w:rPr>
          </w:pPr>
        </w:p>
        <w:p w14:paraId="13F33070" w14:textId="77777777" w:rsidR="002924BD" w:rsidRPr="002924BD" w:rsidRDefault="002924BD" w:rsidP="002924BD">
          <w:pPr>
            <w:rPr>
              <w:rFonts w:ascii="Times New Roman" w:hAnsi="Times New Roman" w:cs="Times New Roman"/>
              <w:sz w:val="24"/>
              <w:szCs w:val="24"/>
            </w:rPr>
          </w:pPr>
        </w:p>
        <w:p w14:paraId="18CE81B4" w14:textId="77777777" w:rsidR="002924BD" w:rsidRDefault="002924BD" w:rsidP="002924BD">
          <w:pPr>
            <w:pStyle w:val="Heading1"/>
            <w:spacing w:after="120"/>
            <w:rPr>
              <w:rFonts w:ascii="Times New Roman" w:hAnsi="Times New Roman" w:cs="Times New Roman"/>
            </w:rPr>
          </w:pPr>
          <w:bookmarkStart w:id="38" w:name="_Toc227530771"/>
          <w:r w:rsidRPr="002924BD">
            <w:rPr>
              <w:rFonts w:ascii="Times New Roman" w:hAnsi="Times New Roman" w:cs="Times New Roman"/>
            </w:rPr>
            <w:lastRenderedPageBreak/>
            <w:t>3. Conclusion</w:t>
          </w:r>
          <w:bookmarkEnd w:id="38"/>
        </w:p>
        <w:p w14:paraId="1ADBBFF1" w14:textId="77777777" w:rsidR="006A39A2" w:rsidRPr="006A39A2" w:rsidRDefault="006A39A2" w:rsidP="006A39A2"/>
        <w:p w14:paraId="45529EC5"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 xml:space="preserve">The analysis shows that Barclays PLC performed more strongly in 2025 than in 2024. Profit before tax, </w:t>
          </w:r>
          <w:proofErr w:type="spellStart"/>
          <w:r w:rsidRPr="002924BD">
            <w:rPr>
              <w:rFonts w:ascii="Times New Roman" w:hAnsi="Times New Roman" w:cs="Times New Roman"/>
              <w:sz w:val="24"/>
              <w:szCs w:val="24"/>
            </w:rPr>
            <w:t>RoTE</w:t>
          </w:r>
          <w:proofErr w:type="spellEnd"/>
          <w:r w:rsidRPr="002924BD">
            <w:rPr>
              <w:rFonts w:ascii="Times New Roman" w:hAnsi="Times New Roman" w:cs="Times New Roman"/>
              <w:sz w:val="24"/>
              <w:szCs w:val="24"/>
            </w:rPr>
            <w:t>, EPS, tangible net asset value per share and the CET1 ratio all improved. Liquidity remained strong, with LCR and NSFR comfortably above regulatory expectations, and accounting leverage reduced modestly. These results suggest progress in profitability, capital strength and shareholder value. However, the improvement should not be interpreted uncritically. The cost: income ratio remained high, impairment charges increased, and group-level ratios can hide differences between Barclays’ divisions. The main recommendation for Barclays is therefore to protect the quality of earnings through cost transformation, prudent capital distributions, stronger credit-risk monitoring and clearer disclosure of recurring performance drivers.</w:t>
          </w:r>
        </w:p>
        <w:p w14:paraId="0DA1D73E"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For Beard Plc, the NPV analysis indicates that Option C, producing purses and wallets, is the strongest stand-alone investment. It produces the highest NPV, approximately £91,226, and an approximate IRR of 8.57%, which exceeds the 5% cost of capital. Option A should be rejected because it has a negative NPV, while Option B is financially acceptable but creates less value than Option C. Under capital rationing of £1.5m, the optimal policy is to invest fully in Option C and undertake 55.56% of Option B, generating an estimated total NPV of £132,310.</w:t>
          </w:r>
        </w:p>
        <w:p w14:paraId="14CB19AD"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final decision should still include managerial judgement. NPV is theoretically superior because it uses cash flows, discounts for the time value of money and measures value creation directly. However, forecasts are uncertain and qualitative factors may change the decision. Beard Plc should therefore test demand, margin, operational capacity, working capital, brand fit and financing risk before committing funds. A balanced financing mix using internal funds and medium-term debt or leasing would be preferable to over-reliance on either equity or short-term borrowing. In both parts of the report, the central lesson is that financial techniques are decision aids. They become valuable only when the calculations are interpreted critically and connected to strategic, operational and risk considerations.</w:t>
          </w:r>
        </w:p>
        <w:p w14:paraId="4EA4C582"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recommendations are therefore conditional rather than absolute. Barclays should pursue financial improvement without weakening resilience, while Beard Plc should accept value-creating investment only after testing whether the forecast assumptions are operationally credible. This balanced approach is consistent with the module requirement to apply techniques, evaluate their limitations and advise directors using reasoned judgement.</w:t>
          </w:r>
        </w:p>
        <w:p w14:paraId="2239E6E4"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br w:type="page"/>
          </w:r>
        </w:p>
        <w:p w14:paraId="3F8D8409" w14:textId="77777777" w:rsidR="002924BD" w:rsidRDefault="002924BD" w:rsidP="002924BD">
          <w:pPr>
            <w:pStyle w:val="Heading1"/>
            <w:rPr>
              <w:rFonts w:ascii="Times New Roman" w:hAnsi="Times New Roman" w:cs="Times New Roman"/>
            </w:rPr>
          </w:pPr>
          <w:bookmarkStart w:id="39" w:name="_Toc227528926"/>
          <w:bookmarkStart w:id="40" w:name="_Toc227530772"/>
          <w:r w:rsidRPr="002924BD">
            <w:rPr>
              <w:rFonts w:ascii="Times New Roman" w:hAnsi="Times New Roman" w:cs="Times New Roman"/>
            </w:rPr>
            <w:lastRenderedPageBreak/>
            <w:t>Bibliography</w:t>
          </w:r>
          <w:bookmarkEnd w:id="39"/>
          <w:bookmarkEnd w:id="40"/>
        </w:p>
        <w:p w14:paraId="126C5367" w14:textId="77777777" w:rsidR="006A39A2" w:rsidRPr="006A39A2" w:rsidRDefault="006A39A2" w:rsidP="006A39A2"/>
        <w:p w14:paraId="330F2AEE"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Altman, E.I. (1968) ‘Financial ratios, discriminant analysis and the prediction of corporate bankruptcy’, Journal of Finance, 23(4), pp. 589-609.</w:t>
          </w:r>
        </w:p>
        <w:p w14:paraId="67EEC83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Arnold, G. and Lewis, D. (2019) Corporate Financial Management. 6th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4E850648" w14:textId="77777777" w:rsidR="002924BD" w:rsidRPr="002924BD" w:rsidRDefault="002924BD" w:rsidP="002924BD">
          <w:pPr>
            <w:ind w:left="360" w:hanging="360"/>
            <w:rPr>
              <w:rFonts w:ascii="Times New Roman" w:hAnsi="Times New Roman" w:cs="Times New Roman"/>
              <w:sz w:val="24"/>
              <w:szCs w:val="24"/>
            </w:rPr>
          </w:pPr>
          <w:proofErr w:type="spellStart"/>
          <w:r w:rsidRPr="002924BD">
            <w:rPr>
              <w:rFonts w:ascii="Times New Roman" w:hAnsi="Times New Roman" w:cs="Times New Roman"/>
              <w:sz w:val="24"/>
              <w:szCs w:val="24"/>
            </w:rPr>
            <w:t>Atrill</w:t>
          </w:r>
          <w:proofErr w:type="spellEnd"/>
          <w:r w:rsidRPr="002924BD">
            <w:rPr>
              <w:rFonts w:ascii="Times New Roman" w:hAnsi="Times New Roman" w:cs="Times New Roman"/>
              <w:sz w:val="24"/>
              <w:szCs w:val="24"/>
            </w:rPr>
            <w:t xml:space="preserve">, P. (2019) Financial Management for Decision Makers. 9th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604ED97D"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Baker, M. and Wurgler, J. (2002) ‘Market timing and capital structure’, Journal of Finance, 57(1), pp. 1-32.</w:t>
          </w:r>
        </w:p>
        <w:p w14:paraId="4BFA6860"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Bank of England (2025) Financial Stability Report. London: Bank of England.</w:t>
          </w:r>
        </w:p>
        <w:p w14:paraId="60830E27"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Barclays PLC (2025) Annual Report 2024. London: Barclays PLC. Available at: https://home.barclays/investor-relations/reports-and-events/annual-reports/</w:t>
          </w:r>
        </w:p>
        <w:p w14:paraId="1EC2E1DC"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Barclays PLC (2026a) Annual Report 2025. London: Barclays PLC. Available at: https://home.barclays/investor-relations/reports-and-events/annual-reports/</w:t>
          </w:r>
        </w:p>
        <w:p w14:paraId="355F79C8"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Barclays PLC (2026b) 2025 Results Announcement. London: Barclays PLC. Available at: https://home.barclays/investor-relations/results-and-reports/results-announcements/</w:t>
          </w:r>
        </w:p>
        <w:p w14:paraId="2ACFC4B9"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Barney, J. (1991) ‘Firm resources and sustained competitive advantage’, Journal of Management, 17(1), pp. 99-120.</w:t>
          </w:r>
        </w:p>
        <w:p w14:paraId="7FBAC997"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Barth, J.R., Caprio, G. and Levine, R. (2006) Rethinking Bank Regulation: Till Angels Govern. Cambridge: Cambridge University Press.</w:t>
          </w:r>
        </w:p>
        <w:p w14:paraId="3BD4A4A2"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Basel Committee on Banking Supervision (2013) Basel III: The Liquidity Coverage Ratio and Liquidity Risk Monitoring Tools. Basel: Bank for International Settlements.</w:t>
          </w:r>
        </w:p>
        <w:p w14:paraId="67BCC193"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Basel Committee on Banking Supervision (2014) Basel III: The Net Stable Funding Ratio. Basel: Bank for International Settlements.</w:t>
          </w:r>
        </w:p>
        <w:p w14:paraId="4F5B25BA"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Basel Committee on Banking Supervision (2017) Basel III: Finalising Post-crisis Reforms. Basel: Bank for International Settlements.</w:t>
          </w:r>
        </w:p>
        <w:p w14:paraId="76C33E0A"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Beaver, W.H. (1966) ‘Financial ratios as predictors of failure’, Journal of Accounting Research, 4, pp. 71-111.</w:t>
          </w:r>
        </w:p>
        <w:p w14:paraId="3B2FEDE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Berger, A.N. and Udell, G.F. (1998) ‘The economics of small business finance’, Journal of Banking and Finance, 22(6-8), pp. 613-673.</w:t>
          </w:r>
        </w:p>
        <w:p w14:paraId="38C7BDAB"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Berk, J. and DeMarzo, P. (2020) Corporate Finance. 5th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61C42CC6"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Brealey, R.A., Myers, S.C. and Allen, F. (2020) Principles of Corporate Finance. 13th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New York: McGraw-Hill.</w:t>
          </w:r>
        </w:p>
        <w:p w14:paraId="3DF69819"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Brigham, E.F. and Ehrhardt, M.C. (2020) Financial Management: Theory and Practice. 16th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Boston: Cengage.</w:t>
          </w:r>
        </w:p>
        <w:p w14:paraId="3835CDB3" w14:textId="77777777" w:rsidR="002924BD" w:rsidRPr="002924BD" w:rsidRDefault="002924BD" w:rsidP="002924BD">
          <w:pPr>
            <w:ind w:left="360" w:hanging="360"/>
            <w:rPr>
              <w:rFonts w:ascii="Times New Roman" w:hAnsi="Times New Roman" w:cs="Times New Roman"/>
              <w:sz w:val="24"/>
              <w:szCs w:val="24"/>
            </w:rPr>
          </w:pPr>
          <w:proofErr w:type="spellStart"/>
          <w:r w:rsidRPr="002924BD">
            <w:rPr>
              <w:rFonts w:ascii="Times New Roman" w:hAnsi="Times New Roman" w:cs="Times New Roman"/>
              <w:sz w:val="24"/>
              <w:szCs w:val="24"/>
            </w:rPr>
            <w:lastRenderedPageBreak/>
            <w:t>Brounen</w:t>
          </w:r>
          <w:proofErr w:type="spellEnd"/>
          <w:r w:rsidRPr="002924BD">
            <w:rPr>
              <w:rFonts w:ascii="Times New Roman" w:hAnsi="Times New Roman" w:cs="Times New Roman"/>
              <w:sz w:val="24"/>
              <w:szCs w:val="24"/>
            </w:rPr>
            <w:t xml:space="preserve">, D., de Jong, A. and </w:t>
          </w:r>
          <w:proofErr w:type="spellStart"/>
          <w:r w:rsidRPr="002924BD">
            <w:rPr>
              <w:rFonts w:ascii="Times New Roman" w:hAnsi="Times New Roman" w:cs="Times New Roman"/>
              <w:sz w:val="24"/>
              <w:szCs w:val="24"/>
            </w:rPr>
            <w:t>Koedijk</w:t>
          </w:r>
          <w:proofErr w:type="spellEnd"/>
          <w:r w:rsidRPr="002924BD">
            <w:rPr>
              <w:rFonts w:ascii="Times New Roman" w:hAnsi="Times New Roman" w:cs="Times New Roman"/>
              <w:sz w:val="24"/>
              <w:szCs w:val="24"/>
            </w:rPr>
            <w:t>, K. (2004) ‘Corporate finance in Europe: confronting theory with practice’, Financial Management, 33(4), pp. 71-101.</w:t>
          </w:r>
        </w:p>
        <w:p w14:paraId="032124F9"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CIMA (2023) Fundamentals of Financial Management. London: Chartered Institute of Management Accountants.</w:t>
          </w:r>
        </w:p>
        <w:p w14:paraId="299408E0"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Copeland, T., Koller, T. and Murrin, J. (2000) Valuation: Measuring and Managing the Value of Companies. 3rd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New York: Wiley.</w:t>
          </w:r>
        </w:p>
        <w:p w14:paraId="2F25377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Damodaran, A. (2012) Investment Valuation. 3rd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Hoboken: Wiley.</w:t>
          </w:r>
        </w:p>
        <w:p w14:paraId="41CEBD82"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Danielson, M.G. and Scott, J.A. (2006) ‘The capital budgeting decisions of small businesses’, Journal of Applied Finance, 16(2), pp. 45-56.</w:t>
          </w:r>
        </w:p>
        <w:p w14:paraId="3348EAC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Drury, C. (2020) Management and Cost Accounting. 11th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Andover: Cengage.</w:t>
          </w:r>
        </w:p>
        <w:p w14:paraId="0F64E516"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Eccles, R.G., Ioannou, I. and Serafeim, G. (2014) ‘The impact of corporate sustainability on organisational processes and performance’, Management Science, 60(11), pp. 2835-2857.</w:t>
          </w:r>
        </w:p>
        <w:p w14:paraId="2CB54753"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European Banking Authority (2025) Risk Assessment Report of the European Banking System. Paris: EBA.</w:t>
          </w:r>
        </w:p>
        <w:p w14:paraId="417DF5D2"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Fama, E.F. and French, K.R. (2002) ‘Testing trade-off and pecking order predictions about dividends and debt’, Review of Financial Studies, 15(1), pp. 1-33.</w:t>
          </w:r>
        </w:p>
        <w:p w14:paraId="184C5BB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Fisher, I. (1930) The Theory of Interest. New York: Macmillan.</w:t>
          </w:r>
        </w:p>
        <w:p w14:paraId="44687BCA"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Frank, M.Z. and Goyal, V.K. (2003) ‘Testing the pecking order theory of capital structure’, Journal of Financial Economics, 67(2), pp. 217-248.</w:t>
          </w:r>
        </w:p>
        <w:p w14:paraId="7761C035"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Fridson, M.S. and Alvarez, F. (2022) Financial Statement Analysis: A Practitioner’s Guide. 5th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Hoboken: Wiley.</w:t>
          </w:r>
        </w:p>
        <w:p w14:paraId="7C17AA8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Graham, B. and Dodd, D.L. (2009) Security Analysis. 6th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New York: McGraw-Hill.</w:t>
          </w:r>
        </w:p>
        <w:p w14:paraId="32F73326"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Graham, J.R. and Harvey, C.R. (2001) ‘The theory and practice of corporate finance: evidence from the field’, Journal of Financial Economics, 60(2-3), pp. 187-243.</w:t>
          </w:r>
        </w:p>
        <w:p w14:paraId="507214BE"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Heffernan, S. (2005) Modern Banking. Chichester: Wiley.</w:t>
          </w:r>
        </w:p>
        <w:p w14:paraId="439291FE"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Hull, J.C. (2018) Risk Management and Financial Institutions. 5th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Hoboken: Wiley.</w:t>
          </w:r>
        </w:p>
        <w:p w14:paraId="68F7965C"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International Monetary Fund (2025) Global Financial Stability Report. Washington, DC: IMF.</w:t>
          </w:r>
        </w:p>
        <w:p w14:paraId="7D50467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Jensen, M.C. (1986) ‘Agency costs of free cash flow, corporate finance, and takeovers’, American Economic Review, 76(2), pp. 323-329.</w:t>
          </w:r>
        </w:p>
        <w:p w14:paraId="0BAD78BE"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Kahneman, D. and Tversky, A. (1979) ‘Prospect theory: an analysis of decision under risk’, </w:t>
          </w:r>
          <w:proofErr w:type="spellStart"/>
          <w:r w:rsidRPr="002924BD">
            <w:rPr>
              <w:rFonts w:ascii="Times New Roman" w:hAnsi="Times New Roman" w:cs="Times New Roman"/>
              <w:sz w:val="24"/>
              <w:szCs w:val="24"/>
            </w:rPr>
            <w:t>Econometrica</w:t>
          </w:r>
          <w:proofErr w:type="spellEnd"/>
          <w:r w:rsidRPr="002924BD">
            <w:rPr>
              <w:rFonts w:ascii="Times New Roman" w:hAnsi="Times New Roman" w:cs="Times New Roman"/>
              <w:sz w:val="24"/>
              <w:szCs w:val="24"/>
            </w:rPr>
            <w:t>, 47(2), pp. 263-291.</w:t>
          </w:r>
        </w:p>
        <w:p w14:paraId="18FDB537"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Kaplan, R.S. and Norton, D.P. (1996) The Balanced Scorecard. Boston: Harvard Business School Press.</w:t>
          </w:r>
        </w:p>
        <w:p w14:paraId="581DCE8E"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Kersten, R., Harms, J., Liket, K. and Maas, K. (2017) ‘Small firms, large impact? A systematic review of the SME finance literature’, World Development, 97, pp. 330-348.</w:t>
          </w:r>
        </w:p>
        <w:p w14:paraId="0A89F3AF"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lastRenderedPageBreak/>
            <w:t xml:space="preserve">Kotler, P., Keller, K.L. and Chernev, A. (2021) Marketing Management. 16th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695628BC"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London Stock Exchange (2026) Barclays PLC company page. London: London Stock Exchange. Available at: https://www.londonstockexchange.com/stock/BARC/barclays-plc/company-page</w:t>
          </w:r>
        </w:p>
        <w:p w14:paraId="29659BED"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Lovallo, D. and Kahneman, D. (2003) ‘Delusions of success: how optimism undermines executives’ decisions’, Harvard Business Review, 81(7), pp. 56-63.</w:t>
          </w:r>
        </w:p>
        <w:p w14:paraId="3A1B8E97"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McLaney, E. and </w:t>
          </w:r>
          <w:proofErr w:type="spellStart"/>
          <w:r w:rsidRPr="002924BD">
            <w:rPr>
              <w:rFonts w:ascii="Times New Roman" w:hAnsi="Times New Roman" w:cs="Times New Roman"/>
              <w:sz w:val="24"/>
              <w:szCs w:val="24"/>
            </w:rPr>
            <w:t>Atrill</w:t>
          </w:r>
          <w:proofErr w:type="spellEnd"/>
          <w:r w:rsidRPr="002924BD">
            <w:rPr>
              <w:rFonts w:ascii="Times New Roman" w:hAnsi="Times New Roman" w:cs="Times New Roman"/>
              <w:sz w:val="24"/>
              <w:szCs w:val="24"/>
            </w:rPr>
            <w:t xml:space="preserve">, P. (2020) Accounting and Finance: An Introduction. 10th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4E3A193C"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Mishkin, F.S. (2019) The Economics of Money, Banking and Financial Markets. 12th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25E6FF98"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Modigliani, F. and Miller, M.H. (1963) ‘Corporate income taxes and the cost of capital: a correction’, American Economic Review, 53(3), pp. 433-443.</w:t>
          </w:r>
        </w:p>
        <w:p w14:paraId="29E83A2B"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Myers, S.C. (1984) ‘The capital structure puzzle’, Journal of Finance, 39(3), pp. 575-592.</w:t>
          </w:r>
        </w:p>
        <w:p w14:paraId="4D0C5631"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Myers, S.C. and Majluf, N.S. (1984) ‘Corporate financing and investment decisions when firms have information that investors do not have’, Journal of Financial Economics, 13(2), pp. 187-221.</w:t>
          </w:r>
        </w:p>
        <w:p w14:paraId="6D537615"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Palepu, K.G., Healy, P.M. and Peek, E. (2019) Business Analysis and Valuation: IFRS Standards Edition. 5th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Andover: Cengage.</w:t>
          </w:r>
        </w:p>
        <w:p w14:paraId="35E5ED21"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Penman, S.H. (2013) Financial Statement Analysis and Security Valuation. 5th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New York: McGraw-Hill.</w:t>
          </w:r>
        </w:p>
        <w:p w14:paraId="50C6DB3C"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Pike, R., Neale, B. and Akbar, S. (2018) Corporate Finance and Investment: Decisions and Strategies. 9th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77D57B3D"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Porter, M.E. (1985) Competitive Advantage. New York: Free Press.</w:t>
          </w:r>
        </w:p>
        <w:p w14:paraId="53E5C952"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Porter, M.E. and Kramer, M.R. (2011) ‘Creating shared value’, Harvard Business Review, 89(1/2), pp. 62-77.</w:t>
          </w:r>
        </w:p>
        <w:p w14:paraId="316939DD"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Prudential Regulation Authority (2025) The PRA Rulebook and regulatory capital requirements. London: Bank of England.</w:t>
          </w:r>
        </w:p>
        <w:p w14:paraId="2CDD9C6B"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Ross, S.A., Westerfield, R.W. and Jordan, B.D. (2022) Fundamentals of Corporate Finance. 13th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New York: McGraw-Hill.</w:t>
          </w:r>
        </w:p>
        <w:p w14:paraId="4CC67323"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Saunders, A. and Cornett, M.M. (2019) Financial Institutions Management: A Risk Management Approach. 10th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New York: McGraw-Hill.</w:t>
          </w:r>
        </w:p>
        <w:p w14:paraId="743BDD61"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Titman, S. and Wessels, R. (1988) ‘The determinants of capital structure choice’, Journal of Finance, 43(1), pp. 1-19.</w:t>
          </w:r>
        </w:p>
        <w:p w14:paraId="37A8C002"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UK Finance (2025) UK Banking and Finance Industry Overview. London: UK Finance.</w:t>
          </w:r>
        </w:p>
        <w:p w14:paraId="5FDAEA9C"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t xml:space="preserve">Watson, D. and Head, A. (2019) Corporate Finance: Principles and Practice. 8th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Harlow: Pearson.</w:t>
          </w:r>
        </w:p>
        <w:p w14:paraId="6C67535D" w14:textId="77777777" w:rsidR="002924BD" w:rsidRPr="002924BD" w:rsidRDefault="002924BD" w:rsidP="002924BD">
          <w:pPr>
            <w:ind w:left="360" w:hanging="360"/>
            <w:rPr>
              <w:rFonts w:ascii="Times New Roman" w:hAnsi="Times New Roman" w:cs="Times New Roman"/>
              <w:sz w:val="24"/>
              <w:szCs w:val="24"/>
            </w:rPr>
          </w:pPr>
          <w:r w:rsidRPr="002924BD">
            <w:rPr>
              <w:rFonts w:ascii="Times New Roman" w:hAnsi="Times New Roman" w:cs="Times New Roman"/>
              <w:sz w:val="24"/>
              <w:szCs w:val="24"/>
            </w:rPr>
            <w:lastRenderedPageBreak/>
            <w:t xml:space="preserve">White, G.I., Sondhi, A.C. and Fried, D. (2003) The Analysis and Use of Financial Statements. 3rd </w:t>
          </w:r>
          <w:proofErr w:type="spellStart"/>
          <w:r w:rsidRPr="002924BD">
            <w:rPr>
              <w:rFonts w:ascii="Times New Roman" w:hAnsi="Times New Roman" w:cs="Times New Roman"/>
              <w:sz w:val="24"/>
              <w:szCs w:val="24"/>
            </w:rPr>
            <w:t>edn</w:t>
          </w:r>
          <w:proofErr w:type="spellEnd"/>
          <w:r w:rsidRPr="002924BD">
            <w:rPr>
              <w:rFonts w:ascii="Times New Roman" w:hAnsi="Times New Roman" w:cs="Times New Roman"/>
              <w:sz w:val="24"/>
              <w:szCs w:val="24"/>
            </w:rPr>
            <w:t>. Hoboken: Wiley.</w:t>
          </w:r>
        </w:p>
        <w:p w14:paraId="52F5F7D1" w14:textId="77777777" w:rsidR="002924BD" w:rsidRPr="002924BD" w:rsidRDefault="002924BD" w:rsidP="002924BD">
          <w:pPr>
            <w:pStyle w:val="Heading1"/>
            <w:rPr>
              <w:rFonts w:ascii="Times New Roman" w:hAnsi="Times New Roman" w:cs="Times New Roman"/>
            </w:rPr>
          </w:pPr>
          <w:bookmarkStart w:id="41" w:name="_Toc227528927"/>
          <w:bookmarkStart w:id="42" w:name="_Toc227530773"/>
          <w:r w:rsidRPr="002924BD">
            <w:rPr>
              <w:rFonts w:ascii="Times New Roman" w:hAnsi="Times New Roman" w:cs="Times New Roman"/>
            </w:rPr>
            <w:t>Appendix</w:t>
          </w:r>
          <w:bookmarkEnd w:id="41"/>
          <w:bookmarkEnd w:id="42"/>
        </w:p>
        <w:p w14:paraId="4130EF75" w14:textId="77777777" w:rsidR="002924BD" w:rsidRPr="002924BD" w:rsidRDefault="002924BD" w:rsidP="002924BD">
          <w:pPr>
            <w:pStyle w:val="Heading1"/>
            <w:spacing w:after="120"/>
            <w:rPr>
              <w:rFonts w:ascii="Times New Roman" w:hAnsi="Times New Roman" w:cs="Times New Roman"/>
              <w:sz w:val="28"/>
              <w:szCs w:val="28"/>
            </w:rPr>
          </w:pPr>
          <w:bookmarkStart w:id="43" w:name="_Toc227528928"/>
          <w:bookmarkStart w:id="44" w:name="_Toc227530774"/>
          <w:r w:rsidRPr="002924BD">
            <w:rPr>
              <w:rFonts w:ascii="Times New Roman" w:hAnsi="Times New Roman" w:cs="Times New Roman"/>
              <w:sz w:val="28"/>
              <w:szCs w:val="28"/>
            </w:rPr>
            <w:t>Appendix A: Extracted Barclays Financial Statement Data</w:t>
          </w:r>
          <w:bookmarkEnd w:id="43"/>
          <w:bookmarkEnd w:id="44"/>
        </w:p>
        <w:p w14:paraId="0D5F2FE0"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The handbook requires copies of the chosen company’s financial statements in the appendix. The table below extracts the key published financial statement and performance data used in the ratio analysis. The full Barclays annual reports should be attached or cross-referenced if the submission platform allows multiple files.</w:t>
          </w:r>
        </w:p>
        <w:tbl>
          <w:tblPr>
            <w:tblW w:w="0" w:type="auto"/>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A0" w:firstRow="1" w:lastRow="0" w:firstColumn="1" w:lastColumn="0" w:noHBand="0" w:noVBand="1"/>
          </w:tblPr>
          <w:tblGrid>
            <w:gridCol w:w="2231"/>
            <w:gridCol w:w="2262"/>
            <w:gridCol w:w="2262"/>
            <w:gridCol w:w="2255"/>
          </w:tblGrid>
          <w:tr w:rsidR="002924BD" w:rsidRPr="002924BD" w14:paraId="1E53E34E" w14:textId="77777777" w:rsidTr="000C17B9">
            <w:trPr>
              <w:tblHeader/>
              <w:jc w:val="center"/>
            </w:trPr>
            <w:tc>
              <w:tcPr>
                <w:tcW w:w="2520" w:type="dxa"/>
                <w:shd w:val="clear" w:color="auto" w:fill="1F4E79"/>
                <w:tcMar>
                  <w:top w:w="80" w:type="dxa"/>
                  <w:left w:w="80" w:type="dxa"/>
                  <w:bottom w:w="80" w:type="dxa"/>
                  <w:right w:w="80" w:type="dxa"/>
                </w:tcMar>
                <w:vAlign w:val="center"/>
              </w:tcPr>
              <w:p w14:paraId="17BC6C1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Item</w:t>
                </w:r>
              </w:p>
            </w:tc>
            <w:tc>
              <w:tcPr>
                <w:tcW w:w="2520" w:type="dxa"/>
                <w:shd w:val="clear" w:color="auto" w:fill="1F4E79"/>
                <w:tcMar>
                  <w:top w:w="80" w:type="dxa"/>
                  <w:left w:w="80" w:type="dxa"/>
                  <w:bottom w:w="80" w:type="dxa"/>
                  <w:right w:w="80" w:type="dxa"/>
                </w:tcMar>
                <w:vAlign w:val="center"/>
              </w:tcPr>
              <w:p w14:paraId="328B34F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2024</w:t>
                </w:r>
              </w:p>
            </w:tc>
            <w:tc>
              <w:tcPr>
                <w:tcW w:w="2520" w:type="dxa"/>
                <w:shd w:val="clear" w:color="auto" w:fill="1F4E79"/>
                <w:tcMar>
                  <w:top w:w="80" w:type="dxa"/>
                  <w:left w:w="80" w:type="dxa"/>
                  <w:bottom w:w="80" w:type="dxa"/>
                  <w:right w:w="80" w:type="dxa"/>
                </w:tcMar>
                <w:vAlign w:val="center"/>
              </w:tcPr>
              <w:p w14:paraId="217B278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2025</w:t>
                </w:r>
              </w:p>
            </w:tc>
            <w:tc>
              <w:tcPr>
                <w:tcW w:w="2520" w:type="dxa"/>
                <w:shd w:val="clear" w:color="auto" w:fill="1F4E79"/>
                <w:tcMar>
                  <w:top w:w="80" w:type="dxa"/>
                  <w:left w:w="80" w:type="dxa"/>
                  <w:bottom w:w="80" w:type="dxa"/>
                  <w:right w:w="80" w:type="dxa"/>
                </w:tcMar>
                <w:vAlign w:val="center"/>
              </w:tcPr>
              <w:p w14:paraId="0CA7D99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Use in analysis</w:t>
                </w:r>
              </w:p>
            </w:tc>
          </w:tr>
          <w:tr w:rsidR="002924BD" w:rsidRPr="002924BD" w14:paraId="1EEE528F" w14:textId="77777777" w:rsidTr="000C17B9">
            <w:trPr>
              <w:jc w:val="center"/>
            </w:trPr>
            <w:tc>
              <w:tcPr>
                <w:tcW w:w="2520" w:type="dxa"/>
                <w:tcMar>
                  <w:top w:w="80" w:type="dxa"/>
                  <w:left w:w="80" w:type="dxa"/>
                  <w:bottom w:w="80" w:type="dxa"/>
                  <w:right w:w="80" w:type="dxa"/>
                </w:tcMar>
                <w:vAlign w:val="center"/>
              </w:tcPr>
              <w:p w14:paraId="1343F291"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Total income</w:t>
                </w:r>
              </w:p>
            </w:tc>
            <w:tc>
              <w:tcPr>
                <w:tcW w:w="2520" w:type="dxa"/>
                <w:tcMar>
                  <w:top w:w="80" w:type="dxa"/>
                  <w:left w:w="80" w:type="dxa"/>
                  <w:bottom w:w="80" w:type="dxa"/>
                  <w:right w:w="80" w:type="dxa"/>
                </w:tcMar>
                <w:vAlign w:val="center"/>
              </w:tcPr>
              <w:p w14:paraId="30BD663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£26.788bn</w:t>
                </w:r>
              </w:p>
            </w:tc>
            <w:tc>
              <w:tcPr>
                <w:tcW w:w="2520" w:type="dxa"/>
                <w:tcMar>
                  <w:top w:w="80" w:type="dxa"/>
                  <w:left w:w="80" w:type="dxa"/>
                  <w:bottom w:w="80" w:type="dxa"/>
                  <w:right w:w="80" w:type="dxa"/>
                </w:tcMar>
                <w:vAlign w:val="center"/>
              </w:tcPr>
              <w:p w14:paraId="6D08098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£29.100bn</w:t>
                </w:r>
              </w:p>
            </w:tc>
            <w:tc>
              <w:tcPr>
                <w:tcW w:w="2520" w:type="dxa"/>
                <w:tcMar>
                  <w:top w:w="80" w:type="dxa"/>
                  <w:left w:w="80" w:type="dxa"/>
                  <w:bottom w:w="80" w:type="dxa"/>
                  <w:right w:w="80" w:type="dxa"/>
                </w:tcMar>
                <w:vAlign w:val="center"/>
              </w:tcPr>
              <w:p w14:paraId="686251F0"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Profitability and cost: income interpretation</w:t>
                </w:r>
              </w:p>
            </w:tc>
          </w:tr>
          <w:tr w:rsidR="002924BD" w:rsidRPr="002924BD" w14:paraId="62AE21D9" w14:textId="77777777" w:rsidTr="000C17B9">
            <w:trPr>
              <w:jc w:val="center"/>
            </w:trPr>
            <w:tc>
              <w:tcPr>
                <w:tcW w:w="2520" w:type="dxa"/>
                <w:tcMar>
                  <w:top w:w="80" w:type="dxa"/>
                  <w:left w:w="80" w:type="dxa"/>
                  <w:bottom w:w="80" w:type="dxa"/>
                  <w:right w:w="80" w:type="dxa"/>
                </w:tcMar>
                <w:vAlign w:val="center"/>
              </w:tcPr>
              <w:p w14:paraId="37E200C8"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Profit before tax</w:t>
                </w:r>
              </w:p>
            </w:tc>
            <w:tc>
              <w:tcPr>
                <w:tcW w:w="2520" w:type="dxa"/>
                <w:tcMar>
                  <w:top w:w="80" w:type="dxa"/>
                  <w:left w:w="80" w:type="dxa"/>
                  <w:bottom w:w="80" w:type="dxa"/>
                  <w:right w:w="80" w:type="dxa"/>
                </w:tcMar>
                <w:vAlign w:val="center"/>
              </w:tcPr>
              <w:p w14:paraId="7444C16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£8.108bn</w:t>
                </w:r>
              </w:p>
            </w:tc>
            <w:tc>
              <w:tcPr>
                <w:tcW w:w="2520" w:type="dxa"/>
                <w:tcMar>
                  <w:top w:w="80" w:type="dxa"/>
                  <w:left w:w="80" w:type="dxa"/>
                  <w:bottom w:w="80" w:type="dxa"/>
                  <w:right w:w="80" w:type="dxa"/>
                </w:tcMar>
                <w:vAlign w:val="center"/>
              </w:tcPr>
              <w:p w14:paraId="0CBCC14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£9.139bn</w:t>
                </w:r>
              </w:p>
            </w:tc>
            <w:tc>
              <w:tcPr>
                <w:tcW w:w="2520" w:type="dxa"/>
                <w:tcMar>
                  <w:top w:w="80" w:type="dxa"/>
                  <w:left w:w="80" w:type="dxa"/>
                  <w:bottom w:w="80" w:type="dxa"/>
                  <w:right w:w="80" w:type="dxa"/>
                </w:tcMar>
                <w:vAlign w:val="center"/>
              </w:tcPr>
              <w:p w14:paraId="4050468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Profitability trend</w:t>
                </w:r>
              </w:p>
            </w:tc>
          </w:tr>
          <w:tr w:rsidR="002924BD" w:rsidRPr="002924BD" w14:paraId="7B58A463" w14:textId="77777777" w:rsidTr="000C17B9">
            <w:trPr>
              <w:jc w:val="center"/>
            </w:trPr>
            <w:tc>
              <w:tcPr>
                <w:tcW w:w="2520" w:type="dxa"/>
                <w:tcMar>
                  <w:top w:w="80" w:type="dxa"/>
                  <w:left w:w="80" w:type="dxa"/>
                  <w:bottom w:w="80" w:type="dxa"/>
                  <w:right w:w="80" w:type="dxa"/>
                </w:tcMar>
                <w:vAlign w:val="center"/>
              </w:tcPr>
              <w:p w14:paraId="4D557140"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Attributable profit</w:t>
                </w:r>
              </w:p>
            </w:tc>
            <w:tc>
              <w:tcPr>
                <w:tcW w:w="2520" w:type="dxa"/>
                <w:tcMar>
                  <w:top w:w="80" w:type="dxa"/>
                  <w:left w:w="80" w:type="dxa"/>
                  <w:bottom w:w="80" w:type="dxa"/>
                  <w:right w:w="80" w:type="dxa"/>
                </w:tcMar>
                <w:vAlign w:val="center"/>
              </w:tcPr>
              <w:p w14:paraId="61E681E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£5.316bn</w:t>
                </w:r>
              </w:p>
            </w:tc>
            <w:tc>
              <w:tcPr>
                <w:tcW w:w="2520" w:type="dxa"/>
                <w:tcMar>
                  <w:top w:w="80" w:type="dxa"/>
                  <w:left w:w="80" w:type="dxa"/>
                  <w:bottom w:w="80" w:type="dxa"/>
                  <w:right w:w="80" w:type="dxa"/>
                </w:tcMar>
                <w:vAlign w:val="center"/>
              </w:tcPr>
              <w:p w14:paraId="6312A36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£6.175bn</w:t>
                </w:r>
              </w:p>
            </w:tc>
            <w:tc>
              <w:tcPr>
                <w:tcW w:w="2520" w:type="dxa"/>
                <w:tcMar>
                  <w:top w:w="80" w:type="dxa"/>
                  <w:left w:w="80" w:type="dxa"/>
                  <w:bottom w:w="80" w:type="dxa"/>
                  <w:right w:w="80" w:type="dxa"/>
                </w:tcMar>
                <w:vAlign w:val="center"/>
              </w:tcPr>
              <w:p w14:paraId="5D14A05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ROA and shareholder earnings</w:t>
                </w:r>
              </w:p>
            </w:tc>
          </w:tr>
          <w:tr w:rsidR="002924BD" w:rsidRPr="002924BD" w14:paraId="73E44093" w14:textId="77777777" w:rsidTr="000C17B9">
            <w:trPr>
              <w:jc w:val="center"/>
            </w:trPr>
            <w:tc>
              <w:tcPr>
                <w:tcW w:w="2520" w:type="dxa"/>
                <w:tcMar>
                  <w:top w:w="80" w:type="dxa"/>
                  <w:left w:w="80" w:type="dxa"/>
                  <w:bottom w:w="80" w:type="dxa"/>
                  <w:right w:w="80" w:type="dxa"/>
                </w:tcMar>
                <w:vAlign w:val="center"/>
              </w:tcPr>
              <w:p w14:paraId="12A7684C"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Credit impairment charges</w:t>
                </w:r>
              </w:p>
            </w:tc>
            <w:tc>
              <w:tcPr>
                <w:tcW w:w="2520" w:type="dxa"/>
                <w:tcMar>
                  <w:top w:w="80" w:type="dxa"/>
                  <w:left w:w="80" w:type="dxa"/>
                  <w:bottom w:w="80" w:type="dxa"/>
                  <w:right w:w="80" w:type="dxa"/>
                </w:tcMar>
                <w:vAlign w:val="center"/>
              </w:tcPr>
              <w:p w14:paraId="3B58E88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£2.0bn</w:t>
                </w:r>
              </w:p>
            </w:tc>
            <w:tc>
              <w:tcPr>
                <w:tcW w:w="2520" w:type="dxa"/>
                <w:tcMar>
                  <w:top w:w="80" w:type="dxa"/>
                  <w:left w:w="80" w:type="dxa"/>
                  <w:bottom w:w="80" w:type="dxa"/>
                  <w:right w:w="80" w:type="dxa"/>
                </w:tcMar>
                <w:vAlign w:val="center"/>
              </w:tcPr>
              <w:p w14:paraId="5CDD505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£2.3bn</w:t>
                </w:r>
              </w:p>
            </w:tc>
            <w:tc>
              <w:tcPr>
                <w:tcW w:w="2520" w:type="dxa"/>
                <w:tcMar>
                  <w:top w:w="80" w:type="dxa"/>
                  <w:left w:w="80" w:type="dxa"/>
                  <w:bottom w:w="80" w:type="dxa"/>
                  <w:right w:w="80" w:type="dxa"/>
                </w:tcMar>
                <w:vAlign w:val="center"/>
              </w:tcPr>
              <w:p w14:paraId="3161115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Credit risk and earnings quality</w:t>
                </w:r>
              </w:p>
            </w:tc>
          </w:tr>
          <w:tr w:rsidR="002924BD" w:rsidRPr="002924BD" w14:paraId="76D50BFD" w14:textId="77777777" w:rsidTr="000C17B9">
            <w:trPr>
              <w:jc w:val="center"/>
            </w:trPr>
            <w:tc>
              <w:tcPr>
                <w:tcW w:w="2520" w:type="dxa"/>
                <w:tcMar>
                  <w:top w:w="80" w:type="dxa"/>
                  <w:left w:w="80" w:type="dxa"/>
                  <w:bottom w:w="80" w:type="dxa"/>
                  <w:right w:w="80" w:type="dxa"/>
                </w:tcMar>
                <w:vAlign w:val="center"/>
              </w:tcPr>
              <w:p w14:paraId="168E4A28"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Total assets</w:t>
                </w:r>
              </w:p>
            </w:tc>
            <w:tc>
              <w:tcPr>
                <w:tcW w:w="2520" w:type="dxa"/>
                <w:tcMar>
                  <w:top w:w="80" w:type="dxa"/>
                  <w:left w:w="80" w:type="dxa"/>
                  <w:bottom w:w="80" w:type="dxa"/>
                  <w:right w:w="80" w:type="dxa"/>
                </w:tcMar>
                <w:vAlign w:val="center"/>
              </w:tcPr>
              <w:p w14:paraId="6BBF92A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£1,518.202bn</w:t>
                </w:r>
              </w:p>
            </w:tc>
            <w:tc>
              <w:tcPr>
                <w:tcW w:w="2520" w:type="dxa"/>
                <w:tcMar>
                  <w:top w:w="80" w:type="dxa"/>
                  <w:left w:w="80" w:type="dxa"/>
                  <w:bottom w:w="80" w:type="dxa"/>
                  <w:right w:w="80" w:type="dxa"/>
                </w:tcMar>
                <w:vAlign w:val="center"/>
              </w:tcPr>
              <w:p w14:paraId="2F6A24B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£1,544.165bn</w:t>
                </w:r>
              </w:p>
            </w:tc>
            <w:tc>
              <w:tcPr>
                <w:tcW w:w="2520" w:type="dxa"/>
                <w:tcMar>
                  <w:top w:w="80" w:type="dxa"/>
                  <w:left w:w="80" w:type="dxa"/>
                  <w:bottom w:w="80" w:type="dxa"/>
                  <w:right w:w="80" w:type="dxa"/>
                </w:tcMar>
                <w:vAlign w:val="center"/>
              </w:tcPr>
              <w:p w14:paraId="160FCA6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ROA and leverage</w:t>
                </w:r>
              </w:p>
            </w:tc>
          </w:tr>
          <w:tr w:rsidR="002924BD" w:rsidRPr="002924BD" w14:paraId="55DEB186" w14:textId="77777777" w:rsidTr="000C17B9">
            <w:trPr>
              <w:jc w:val="center"/>
            </w:trPr>
            <w:tc>
              <w:tcPr>
                <w:tcW w:w="2520" w:type="dxa"/>
                <w:tcMar>
                  <w:top w:w="80" w:type="dxa"/>
                  <w:left w:w="80" w:type="dxa"/>
                  <w:bottom w:w="80" w:type="dxa"/>
                  <w:right w:w="80" w:type="dxa"/>
                </w:tcMar>
                <w:vAlign w:val="center"/>
              </w:tcPr>
              <w:p w14:paraId="6639CDB0"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Total equity</w:t>
                </w:r>
              </w:p>
            </w:tc>
            <w:tc>
              <w:tcPr>
                <w:tcW w:w="2520" w:type="dxa"/>
                <w:tcMar>
                  <w:top w:w="80" w:type="dxa"/>
                  <w:left w:w="80" w:type="dxa"/>
                  <w:bottom w:w="80" w:type="dxa"/>
                  <w:right w:w="80" w:type="dxa"/>
                </w:tcMar>
                <w:vAlign w:val="center"/>
              </w:tcPr>
              <w:p w14:paraId="5294BE9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£72.481bn</w:t>
                </w:r>
              </w:p>
            </w:tc>
            <w:tc>
              <w:tcPr>
                <w:tcW w:w="2520" w:type="dxa"/>
                <w:tcMar>
                  <w:top w:w="80" w:type="dxa"/>
                  <w:left w:w="80" w:type="dxa"/>
                  <w:bottom w:w="80" w:type="dxa"/>
                  <w:right w:w="80" w:type="dxa"/>
                </w:tcMar>
                <w:vAlign w:val="center"/>
              </w:tcPr>
              <w:p w14:paraId="2F61798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£78.236bn</w:t>
                </w:r>
              </w:p>
            </w:tc>
            <w:tc>
              <w:tcPr>
                <w:tcW w:w="2520" w:type="dxa"/>
                <w:tcMar>
                  <w:top w:w="80" w:type="dxa"/>
                  <w:left w:w="80" w:type="dxa"/>
                  <w:bottom w:w="80" w:type="dxa"/>
                  <w:right w:w="80" w:type="dxa"/>
                </w:tcMar>
                <w:vAlign w:val="center"/>
              </w:tcPr>
              <w:p w14:paraId="498030D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Assets/equity leverage</w:t>
                </w:r>
              </w:p>
            </w:tc>
          </w:tr>
          <w:tr w:rsidR="002924BD" w:rsidRPr="002924BD" w14:paraId="1DEBEFA3" w14:textId="77777777" w:rsidTr="000C17B9">
            <w:trPr>
              <w:jc w:val="center"/>
            </w:trPr>
            <w:tc>
              <w:tcPr>
                <w:tcW w:w="2520" w:type="dxa"/>
                <w:tcMar>
                  <w:top w:w="80" w:type="dxa"/>
                  <w:left w:w="80" w:type="dxa"/>
                  <w:bottom w:w="80" w:type="dxa"/>
                  <w:right w:w="80" w:type="dxa"/>
                </w:tcMar>
                <w:vAlign w:val="center"/>
              </w:tcPr>
              <w:p w14:paraId="5B4D4076" w14:textId="77777777" w:rsidR="002924BD" w:rsidRPr="002924BD" w:rsidRDefault="002924BD" w:rsidP="000C17B9">
                <w:pPr>
                  <w:spacing w:after="0" w:line="240" w:lineRule="auto"/>
                  <w:rPr>
                    <w:rFonts w:ascii="Times New Roman" w:hAnsi="Times New Roman" w:cs="Times New Roman"/>
                    <w:sz w:val="24"/>
                    <w:szCs w:val="24"/>
                  </w:rPr>
                </w:pPr>
                <w:proofErr w:type="spellStart"/>
                <w:r w:rsidRPr="002924BD">
                  <w:rPr>
                    <w:rFonts w:ascii="Times New Roman" w:hAnsi="Times New Roman" w:cs="Times New Roman"/>
                    <w:sz w:val="24"/>
                    <w:szCs w:val="24"/>
                  </w:rPr>
                  <w:t>RoTE</w:t>
                </w:r>
                <w:proofErr w:type="spellEnd"/>
              </w:p>
            </w:tc>
            <w:tc>
              <w:tcPr>
                <w:tcW w:w="2520" w:type="dxa"/>
                <w:tcMar>
                  <w:top w:w="80" w:type="dxa"/>
                  <w:left w:w="80" w:type="dxa"/>
                  <w:bottom w:w="80" w:type="dxa"/>
                  <w:right w:w="80" w:type="dxa"/>
                </w:tcMar>
                <w:vAlign w:val="center"/>
              </w:tcPr>
              <w:p w14:paraId="3DAEE67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10.5%</w:t>
                </w:r>
              </w:p>
            </w:tc>
            <w:tc>
              <w:tcPr>
                <w:tcW w:w="2520" w:type="dxa"/>
                <w:tcMar>
                  <w:top w:w="80" w:type="dxa"/>
                  <w:left w:w="80" w:type="dxa"/>
                  <w:bottom w:w="80" w:type="dxa"/>
                  <w:right w:w="80" w:type="dxa"/>
                </w:tcMar>
                <w:vAlign w:val="center"/>
              </w:tcPr>
              <w:p w14:paraId="79CBC61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11.3%</w:t>
                </w:r>
              </w:p>
            </w:tc>
            <w:tc>
              <w:tcPr>
                <w:tcW w:w="2520" w:type="dxa"/>
                <w:tcMar>
                  <w:top w:w="80" w:type="dxa"/>
                  <w:left w:w="80" w:type="dxa"/>
                  <w:bottom w:w="80" w:type="dxa"/>
                  <w:right w:w="80" w:type="dxa"/>
                </w:tcMar>
                <w:vAlign w:val="center"/>
              </w:tcPr>
              <w:p w14:paraId="197AFA9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Bank-specific shareholder return</w:t>
                </w:r>
              </w:p>
            </w:tc>
          </w:tr>
          <w:tr w:rsidR="002924BD" w:rsidRPr="002924BD" w14:paraId="1A965DC2" w14:textId="77777777" w:rsidTr="000C17B9">
            <w:trPr>
              <w:jc w:val="center"/>
            </w:trPr>
            <w:tc>
              <w:tcPr>
                <w:tcW w:w="2520" w:type="dxa"/>
                <w:tcMar>
                  <w:top w:w="80" w:type="dxa"/>
                  <w:left w:w="80" w:type="dxa"/>
                  <w:bottom w:w="80" w:type="dxa"/>
                  <w:right w:w="80" w:type="dxa"/>
                </w:tcMar>
                <w:vAlign w:val="center"/>
              </w:tcPr>
              <w:p w14:paraId="7F54FAF5"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CET1 ratio</w:t>
                </w:r>
              </w:p>
            </w:tc>
            <w:tc>
              <w:tcPr>
                <w:tcW w:w="2520" w:type="dxa"/>
                <w:tcMar>
                  <w:top w:w="80" w:type="dxa"/>
                  <w:left w:w="80" w:type="dxa"/>
                  <w:bottom w:w="80" w:type="dxa"/>
                  <w:right w:w="80" w:type="dxa"/>
                </w:tcMar>
                <w:vAlign w:val="center"/>
              </w:tcPr>
              <w:p w14:paraId="7A2C726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13.6%</w:t>
                </w:r>
              </w:p>
            </w:tc>
            <w:tc>
              <w:tcPr>
                <w:tcW w:w="2520" w:type="dxa"/>
                <w:tcMar>
                  <w:top w:w="80" w:type="dxa"/>
                  <w:left w:w="80" w:type="dxa"/>
                  <w:bottom w:w="80" w:type="dxa"/>
                  <w:right w:w="80" w:type="dxa"/>
                </w:tcMar>
                <w:vAlign w:val="center"/>
              </w:tcPr>
              <w:p w14:paraId="162EAF5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14.3%</w:t>
                </w:r>
              </w:p>
            </w:tc>
            <w:tc>
              <w:tcPr>
                <w:tcW w:w="2520" w:type="dxa"/>
                <w:tcMar>
                  <w:top w:w="80" w:type="dxa"/>
                  <w:left w:w="80" w:type="dxa"/>
                  <w:bottom w:w="80" w:type="dxa"/>
                  <w:right w:w="80" w:type="dxa"/>
                </w:tcMar>
                <w:vAlign w:val="center"/>
              </w:tcPr>
              <w:p w14:paraId="180889A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Regulatory capital strength</w:t>
                </w:r>
              </w:p>
            </w:tc>
          </w:tr>
          <w:tr w:rsidR="002924BD" w:rsidRPr="002924BD" w14:paraId="4E15313D" w14:textId="77777777" w:rsidTr="000C17B9">
            <w:trPr>
              <w:jc w:val="center"/>
            </w:trPr>
            <w:tc>
              <w:tcPr>
                <w:tcW w:w="2520" w:type="dxa"/>
                <w:tcMar>
                  <w:top w:w="80" w:type="dxa"/>
                  <w:left w:w="80" w:type="dxa"/>
                  <w:bottom w:w="80" w:type="dxa"/>
                  <w:right w:w="80" w:type="dxa"/>
                </w:tcMar>
                <w:vAlign w:val="center"/>
              </w:tcPr>
              <w:p w14:paraId="15979FE4"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LCR</w:t>
                </w:r>
              </w:p>
            </w:tc>
            <w:tc>
              <w:tcPr>
                <w:tcW w:w="2520" w:type="dxa"/>
                <w:tcMar>
                  <w:top w:w="80" w:type="dxa"/>
                  <w:left w:w="80" w:type="dxa"/>
                  <w:bottom w:w="80" w:type="dxa"/>
                  <w:right w:w="80" w:type="dxa"/>
                </w:tcMar>
                <w:vAlign w:val="center"/>
              </w:tcPr>
              <w:p w14:paraId="74DD9B1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172.4%</w:t>
                </w:r>
              </w:p>
            </w:tc>
            <w:tc>
              <w:tcPr>
                <w:tcW w:w="2520" w:type="dxa"/>
                <w:tcMar>
                  <w:top w:w="80" w:type="dxa"/>
                  <w:left w:w="80" w:type="dxa"/>
                  <w:bottom w:w="80" w:type="dxa"/>
                  <w:right w:w="80" w:type="dxa"/>
                </w:tcMar>
                <w:vAlign w:val="center"/>
              </w:tcPr>
              <w:p w14:paraId="749369B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170.0%</w:t>
                </w:r>
              </w:p>
            </w:tc>
            <w:tc>
              <w:tcPr>
                <w:tcW w:w="2520" w:type="dxa"/>
                <w:tcMar>
                  <w:top w:w="80" w:type="dxa"/>
                  <w:left w:w="80" w:type="dxa"/>
                  <w:bottom w:w="80" w:type="dxa"/>
                  <w:right w:w="80" w:type="dxa"/>
                </w:tcMar>
                <w:vAlign w:val="center"/>
              </w:tcPr>
              <w:p w14:paraId="564C744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Liquidity resilience</w:t>
                </w:r>
              </w:p>
            </w:tc>
          </w:tr>
          <w:tr w:rsidR="002924BD" w:rsidRPr="002924BD" w14:paraId="51018852" w14:textId="77777777" w:rsidTr="000C17B9">
            <w:trPr>
              <w:jc w:val="center"/>
            </w:trPr>
            <w:tc>
              <w:tcPr>
                <w:tcW w:w="2520" w:type="dxa"/>
                <w:tcMar>
                  <w:top w:w="80" w:type="dxa"/>
                  <w:left w:w="80" w:type="dxa"/>
                  <w:bottom w:w="80" w:type="dxa"/>
                  <w:right w:w="80" w:type="dxa"/>
                </w:tcMar>
                <w:vAlign w:val="center"/>
              </w:tcPr>
              <w:p w14:paraId="1E0ED784"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NSFR</w:t>
                </w:r>
              </w:p>
            </w:tc>
            <w:tc>
              <w:tcPr>
                <w:tcW w:w="2520" w:type="dxa"/>
                <w:tcMar>
                  <w:top w:w="80" w:type="dxa"/>
                  <w:left w:w="80" w:type="dxa"/>
                  <w:bottom w:w="80" w:type="dxa"/>
                  <w:right w:w="80" w:type="dxa"/>
                </w:tcMar>
                <w:vAlign w:val="center"/>
              </w:tcPr>
              <w:p w14:paraId="3A6E9B1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134.9%</w:t>
                </w:r>
              </w:p>
            </w:tc>
            <w:tc>
              <w:tcPr>
                <w:tcW w:w="2520" w:type="dxa"/>
                <w:tcMar>
                  <w:top w:w="80" w:type="dxa"/>
                  <w:left w:w="80" w:type="dxa"/>
                  <w:bottom w:w="80" w:type="dxa"/>
                  <w:right w:w="80" w:type="dxa"/>
                </w:tcMar>
                <w:vAlign w:val="center"/>
              </w:tcPr>
              <w:p w14:paraId="4040039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135.2%</w:t>
                </w:r>
              </w:p>
            </w:tc>
            <w:tc>
              <w:tcPr>
                <w:tcW w:w="2520" w:type="dxa"/>
                <w:tcMar>
                  <w:top w:w="80" w:type="dxa"/>
                  <w:left w:w="80" w:type="dxa"/>
                  <w:bottom w:w="80" w:type="dxa"/>
                  <w:right w:w="80" w:type="dxa"/>
                </w:tcMar>
                <w:vAlign w:val="center"/>
              </w:tcPr>
              <w:p w14:paraId="72D7847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Funding stability</w:t>
                </w:r>
              </w:p>
            </w:tc>
          </w:tr>
          <w:tr w:rsidR="002924BD" w:rsidRPr="002924BD" w14:paraId="0141D713" w14:textId="77777777" w:rsidTr="000C17B9">
            <w:trPr>
              <w:jc w:val="center"/>
            </w:trPr>
            <w:tc>
              <w:tcPr>
                <w:tcW w:w="2520" w:type="dxa"/>
                <w:tcMar>
                  <w:top w:w="80" w:type="dxa"/>
                  <w:left w:w="80" w:type="dxa"/>
                  <w:bottom w:w="80" w:type="dxa"/>
                  <w:right w:w="80" w:type="dxa"/>
                </w:tcMar>
                <w:vAlign w:val="center"/>
              </w:tcPr>
              <w:p w14:paraId="42D78961"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Cost: income ratio</w:t>
                </w:r>
              </w:p>
            </w:tc>
            <w:tc>
              <w:tcPr>
                <w:tcW w:w="2520" w:type="dxa"/>
                <w:tcMar>
                  <w:top w:w="80" w:type="dxa"/>
                  <w:left w:w="80" w:type="dxa"/>
                  <w:bottom w:w="80" w:type="dxa"/>
                  <w:right w:w="80" w:type="dxa"/>
                </w:tcMar>
                <w:vAlign w:val="center"/>
              </w:tcPr>
              <w:p w14:paraId="61BE350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62%</w:t>
                </w:r>
              </w:p>
            </w:tc>
            <w:tc>
              <w:tcPr>
                <w:tcW w:w="2520" w:type="dxa"/>
                <w:tcMar>
                  <w:top w:w="80" w:type="dxa"/>
                  <w:left w:w="80" w:type="dxa"/>
                  <w:bottom w:w="80" w:type="dxa"/>
                  <w:right w:w="80" w:type="dxa"/>
                </w:tcMar>
                <w:vAlign w:val="center"/>
              </w:tcPr>
              <w:p w14:paraId="5905A29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61%</w:t>
                </w:r>
              </w:p>
            </w:tc>
            <w:tc>
              <w:tcPr>
                <w:tcW w:w="2520" w:type="dxa"/>
                <w:tcMar>
                  <w:top w:w="80" w:type="dxa"/>
                  <w:left w:w="80" w:type="dxa"/>
                  <w:bottom w:w="80" w:type="dxa"/>
                  <w:right w:w="80" w:type="dxa"/>
                </w:tcMar>
                <w:vAlign w:val="center"/>
              </w:tcPr>
              <w:p w14:paraId="483A57A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Efficiency</w:t>
                </w:r>
              </w:p>
            </w:tc>
          </w:tr>
          <w:tr w:rsidR="002924BD" w:rsidRPr="002924BD" w14:paraId="12436D4D" w14:textId="77777777" w:rsidTr="000C17B9">
            <w:trPr>
              <w:jc w:val="center"/>
            </w:trPr>
            <w:tc>
              <w:tcPr>
                <w:tcW w:w="2520" w:type="dxa"/>
                <w:tcMar>
                  <w:top w:w="80" w:type="dxa"/>
                  <w:left w:w="80" w:type="dxa"/>
                  <w:bottom w:w="80" w:type="dxa"/>
                  <w:right w:w="80" w:type="dxa"/>
                </w:tcMar>
                <w:vAlign w:val="center"/>
              </w:tcPr>
              <w:p w14:paraId="55E49DDC"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EPS</w:t>
                </w:r>
              </w:p>
            </w:tc>
            <w:tc>
              <w:tcPr>
                <w:tcW w:w="2520" w:type="dxa"/>
                <w:tcMar>
                  <w:top w:w="80" w:type="dxa"/>
                  <w:left w:w="80" w:type="dxa"/>
                  <w:bottom w:w="80" w:type="dxa"/>
                  <w:right w:w="80" w:type="dxa"/>
                </w:tcMar>
                <w:vAlign w:val="center"/>
              </w:tcPr>
              <w:p w14:paraId="3E88F65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36.0p</w:t>
                </w:r>
              </w:p>
            </w:tc>
            <w:tc>
              <w:tcPr>
                <w:tcW w:w="2520" w:type="dxa"/>
                <w:tcMar>
                  <w:top w:w="80" w:type="dxa"/>
                  <w:left w:w="80" w:type="dxa"/>
                  <w:bottom w:w="80" w:type="dxa"/>
                  <w:right w:w="80" w:type="dxa"/>
                </w:tcMar>
                <w:vAlign w:val="center"/>
              </w:tcPr>
              <w:p w14:paraId="275F186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43.8p</w:t>
                </w:r>
              </w:p>
            </w:tc>
            <w:tc>
              <w:tcPr>
                <w:tcW w:w="2520" w:type="dxa"/>
                <w:tcMar>
                  <w:top w:w="80" w:type="dxa"/>
                  <w:left w:w="80" w:type="dxa"/>
                  <w:bottom w:w="80" w:type="dxa"/>
                  <w:right w:w="80" w:type="dxa"/>
                </w:tcMar>
                <w:vAlign w:val="center"/>
              </w:tcPr>
              <w:p w14:paraId="06374AF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Investor ratio</w:t>
                </w:r>
              </w:p>
            </w:tc>
          </w:tr>
          <w:tr w:rsidR="002924BD" w:rsidRPr="002924BD" w14:paraId="47648FE6" w14:textId="77777777" w:rsidTr="000C17B9">
            <w:trPr>
              <w:jc w:val="center"/>
            </w:trPr>
            <w:tc>
              <w:tcPr>
                <w:tcW w:w="2520" w:type="dxa"/>
                <w:tcMar>
                  <w:top w:w="80" w:type="dxa"/>
                  <w:left w:w="80" w:type="dxa"/>
                  <w:bottom w:w="80" w:type="dxa"/>
                  <w:right w:w="80" w:type="dxa"/>
                </w:tcMar>
                <w:vAlign w:val="center"/>
              </w:tcPr>
              <w:p w14:paraId="3FC4E3B6"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TNAV per share</w:t>
                </w:r>
              </w:p>
            </w:tc>
            <w:tc>
              <w:tcPr>
                <w:tcW w:w="2520" w:type="dxa"/>
                <w:tcMar>
                  <w:top w:w="80" w:type="dxa"/>
                  <w:left w:w="80" w:type="dxa"/>
                  <w:bottom w:w="80" w:type="dxa"/>
                  <w:right w:w="80" w:type="dxa"/>
                </w:tcMar>
                <w:vAlign w:val="center"/>
              </w:tcPr>
              <w:p w14:paraId="7F60948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357p</w:t>
                </w:r>
              </w:p>
            </w:tc>
            <w:tc>
              <w:tcPr>
                <w:tcW w:w="2520" w:type="dxa"/>
                <w:tcMar>
                  <w:top w:w="80" w:type="dxa"/>
                  <w:left w:w="80" w:type="dxa"/>
                  <w:bottom w:w="80" w:type="dxa"/>
                  <w:right w:w="80" w:type="dxa"/>
                </w:tcMar>
                <w:vAlign w:val="center"/>
              </w:tcPr>
              <w:p w14:paraId="37300AD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409p</w:t>
                </w:r>
              </w:p>
            </w:tc>
            <w:tc>
              <w:tcPr>
                <w:tcW w:w="2520" w:type="dxa"/>
                <w:tcMar>
                  <w:top w:w="80" w:type="dxa"/>
                  <w:left w:w="80" w:type="dxa"/>
                  <w:bottom w:w="80" w:type="dxa"/>
                  <w:right w:w="80" w:type="dxa"/>
                </w:tcMar>
                <w:vAlign w:val="center"/>
              </w:tcPr>
              <w:p w14:paraId="491BB7B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Investor ratio</w:t>
                </w:r>
              </w:p>
            </w:tc>
          </w:tr>
          <w:tr w:rsidR="002924BD" w:rsidRPr="002924BD" w14:paraId="23BB92D9" w14:textId="77777777" w:rsidTr="000C17B9">
            <w:trPr>
              <w:jc w:val="center"/>
            </w:trPr>
            <w:tc>
              <w:tcPr>
                <w:tcW w:w="2520" w:type="dxa"/>
                <w:tcMar>
                  <w:top w:w="80" w:type="dxa"/>
                  <w:left w:w="80" w:type="dxa"/>
                  <w:bottom w:w="80" w:type="dxa"/>
                  <w:right w:w="80" w:type="dxa"/>
                </w:tcMar>
                <w:vAlign w:val="center"/>
              </w:tcPr>
              <w:p w14:paraId="77F133E8"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Capital distributions</w:t>
                </w:r>
              </w:p>
            </w:tc>
            <w:tc>
              <w:tcPr>
                <w:tcW w:w="2520" w:type="dxa"/>
                <w:tcMar>
                  <w:top w:w="80" w:type="dxa"/>
                  <w:left w:w="80" w:type="dxa"/>
                  <w:bottom w:w="80" w:type="dxa"/>
                  <w:right w:w="80" w:type="dxa"/>
                </w:tcMar>
                <w:vAlign w:val="center"/>
              </w:tcPr>
              <w:p w14:paraId="7B6144D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£3.0bn</w:t>
                </w:r>
              </w:p>
            </w:tc>
            <w:tc>
              <w:tcPr>
                <w:tcW w:w="2520" w:type="dxa"/>
                <w:tcMar>
                  <w:top w:w="80" w:type="dxa"/>
                  <w:left w:w="80" w:type="dxa"/>
                  <w:bottom w:w="80" w:type="dxa"/>
                  <w:right w:w="80" w:type="dxa"/>
                </w:tcMar>
                <w:vAlign w:val="center"/>
              </w:tcPr>
              <w:p w14:paraId="5D99D13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£3.7bn</w:t>
                </w:r>
              </w:p>
            </w:tc>
            <w:tc>
              <w:tcPr>
                <w:tcW w:w="2520" w:type="dxa"/>
                <w:tcMar>
                  <w:top w:w="80" w:type="dxa"/>
                  <w:left w:w="80" w:type="dxa"/>
                  <w:bottom w:w="80" w:type="dxa"/>
                  <w:right w:w="80" w:type="dxa"/>
                </w:tcMar>
                <w:vAlign w:val="center"/>
              </w:tcPr>
              <w:p w14:paraId="70FC8D0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Shareholder returns and capital policy</w:t>
                </w:r>
              </w:p>
            </w:tc>
          </w:tr>
        </w:tbl>
        <w:p w14:paraId="6DFD5CFB" w14:textId="77777777" w:rsidR="002924BD" w:rsidRPr="002924BD" w:rsidRDefault="002924BD" w:rsidP="002924BD">
          <w:pPr>
            <w:pStyle w:val="Heading1"/>
            <w:spacing w:after="120"/>
            <w:rPr>
              <w:rFonts w:ascii="Times New Roman" w:hAnsi="Times New Roman" w:cs="Times New Roman"/>
              <w:sz w:val="28"/>
              <w:szCs w:val="28"/>
            </w:rPr>
          </w:pPr>
          <w:bookmarkStart w:id="45" w:name="_Toc227528929"/>
          <w:bookmarkStart w:id="46" w:name="_Toc227530775"/>
          <w:r w:rsidRPr="002924BD">
            <w:rPr>
              <w:rFonts w:ascii="Times New Roman" w:hAnsi="Times New Roman" w:cs="Times New Roman"/>
              <w:sz w:val="28"/>
              <w:szCs w:val="28"/>
            </w:rPr>
            <w:t>Appendix B: Barclays Ratio Calculations</w:t>
          </w:r>
          <w:bookmarkEnd w:id="45"/>
          <w:bookmarkEnd w:id="46"/>
        </w:p>
        <w:tbl>
          <w:tblPr>
            <w:tblW w:w="0" w:type="auto"/>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A0" w:firstRow="1" w:lastRow="0" w:firstColumn="1" w:lastColumn="0" w:noHBand="0" w:noVBand="1"/>
          </w:tblPr>
          <w:tblGrid>
            <w:gridCol w:w="2278"/>
            <w:gridCol w:w="2258"/>
            <w:gridCol w:w="2237"/>
            <w:gridCol w:w="2237"/>
          </w:tblGrid>
          <w:tr w:rsidR="002924BD" w:rsidRPr="002924BD" w14:paraId="7C6B66D5" w14:textId="77777777" w:rsidTr="000C17B9">
            <w:trPr>
              <w:tblHeader/>
              <w:jc w:val="center"/>
            </w:trPr>
            <w:tc>
              <w:tcPr>
                <w:tcW w:w="2520" w:type="dxa"/>
                <w:shd w:val="clear" w:color="auto" w:fill="1F4E79"/>
                <w:tcMar>
                  <w:top w:w="80" w:type="dxa"/>
                  <w:left w:w="80" w:type="dxa"/>
                  <w:bottom w:w="80" w:type="dxa"/>
                  <w:right w:w="80" w:type="dxa"/>
                </w:tcMar>
                <w:vAlign w:val="center"/>
              </w:tcPr>
              <w:p w14:paraId="2BE4F45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Ratio</w:t>
                </w:r>
              </w:p>
            </w:tc>
            <w:tc>
              <w:tcPr>
                <w:tcW w:w="2520" w:type="dxa"/>
                <w:shd w:val="clear" w:color="auto" w:fill="1F4E79"/>
                <w:tcMar>
                  <w:top w:w="80" w:type="dxa"/>
                  <w:left w:w="80" w:type="dxa"/>
                  <w:bottom w:w="80" w:type="dxa"/>
                  <w:right w:w="80" w:type="dxa"/>
                </w:tcMar>
                <w:vAlign w:val="center"/>
              </w:tcPr>
              <w:p w14:paraId="097E30F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Formula</w:t>
                </w:r>
              </w:p>
            </w:tc>
            <w:tc>
              <w:tcPr>
                <w:tcW w:w="2520" w:type="dxa"/>
                <w:shd w:val="clear" w:color="auto" w:fill="1F4E79"/>
                <w:tcMar>
                  <w:top w:w="80" w:type="dxa"/>
                  <w:left w:w="80" w:type="dxa"/>
                  <w:bottom w:w="80" w:type="dxa"/>
                  <w:right w:w="80" w:type="dxa"/>
                </w:tcMar>
                <w:vAlign w:val="center"/>
              </w:tcPr>
              <w:p w14:paraId="4929C75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2024 calculation</w:t>
                </w:r>
              </w:p>
            </w:tc>
            <w:tc>
              <w:tcPr>
                <w:tcW w:w="2520" w:type="dxa"/>
                <w:shd w:val="clear" w:color="auto" w:fill="1F4E79"/>
                <w:tcMar>
                  <w:top w:w="80" w:type="dxa"/>
                  <w:left w:w="80" w:type="dxa"/>
                  <w:bottom w:w="80" w:type="dxa"/>
                  <w:right w:w="80" w:type="dxa"/>
                </w:tcMar>
                <w:vAlign w:val="center"/>
              </w:tcPr>
              <w:p w14:paraId="62D0B98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2025 calculation</w:t>
                </w:r>
              </w:p>
            </w:tc>
          </w:tr>
          <w:tr w:rsidR="002924BD" w:rsidRPr="002924BD" w14:paraId="3E1090A1" w14:textId="77777777" w:rsidTr="000C17B9">
            <w:trPr>
              <w:jc w:val="center"/>
            </w:trPr>
            <w:tc>
              <w:tcPr>
                <w:tcW w:w="2520" w:type="dxa"/>
                <w:tcMar>
                  <w:top w:w="80" w:type="dxa"/>
                  <w:left w:w="80" w:type="dxa"/>
                  <w:bottom w:w="80" w:type="dxa"/>
                  <w:right w:w="80" w:type="dxa"/>
                </w:tcMar>
                <w:vAlign w:val="center"/>
              </w:tcPr>
              <w:p w14:paraId="3F54E8F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PBT margin</w:t>
                </w:r>
              </w:p>
            </w:tc>
            <w:tc>
              <w:tcPr>
                <w:tcW w:w="2520" w:type="dxa"/>
                <w:tcMar>
                  <w:top w:w="80" w:type="dxa"/>
                  <w:left w:w="80" w:type="dxa"/>
                  <w:bottom w:w="80" w:type="dxa"/>
                  <w:right w:w="80" w:type="dxa"/>
                </w:tcMar>
                <w:vAlign w:val="center"/>
              </w:tcPr>
              <w:p w14:paraId="3779779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PBT / total income x 100</w:t>
                </w:r>
              </w:p>
            </w:tc>
            <w:tc>
              <w:tcPr>
                <w:tcW w:w="2520" w:type="dxa"/>
                <w:tcMar>
                  <w:top w:w="80" w:type="dxa"/>
                  <w:left w:w="80" w:type="dxa"/>
                  <w:bottom w:w="80" w:type="dxa"/>
                  <w:right w:w="80" w:type="dxa"/>
                </w:tcMar>
                <w:vAlign w:val="center"/>
              </w:tcPr>
              <w:p w14:paraId="49ED900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8.108 / 26.788 x 100 = 30.27%</w:t>
                </w:r>
              </w:p>
            </w:tc>
            <w:tc>
              <w:tcPr>
                <w:tcW w:w="2520" w:type="dxa"/>
                <w:tcMar>
                  <w:top w:w="80" w:type="dxa"/>
                  <w:left w:w="80" w:type="dxa"/>
                  <w:bottom w:w="80" w:type="dxa"/>
                  <w:right w:w="80" w:type="dxa"/>
                </w:tcMar>
                <w:vAlign w:val="center"/>
              </w:tcPr>
              <w:p w14:paraId="39BA606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9.139 / 29.100 x 100 = 31.41%</w:t>
                </w:r>
              </w:p>
            </w:tc>
          </w:tr>
          <w:tr w:rsidR="002924BD" w:rsidRPr="002924BD" w14:paraId="24B53EB0" w14:textId="77777777" w:rsidTr="000C17B9">
            <w:trPr>
              <w:jc w:val="center"/>
            </w:trPr>
            <w:tc>
              <w:tcPr>
                <w:tcW w:w="2520" w:type="dxa"/>
                <w:tcMar>
                  <w:top w:w="80" w:type="dxa"/>
                  <w:left w:w="80" w:type="dxa"/>
                  <w:bottom w:w="80" w:type="dxa"/>
                  <w:right w:w="80" w:type="dxa"/>
                </w:tcMar>
                <w:vAlign w:val="center"/>
              </w:tcPr>
              <w:p w14:paraId="1C894216"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lastRenderedPageBreak/>
                  <w:t>ROA</w:t>
                </w:r>
              </w:p>
            </w:tc>
            <w:tc>
              <w:tcPr>
                <w:tcW w:w="2520" w:type="dxa"/>
                <w:tcMar>
                  <w:top w:w="80" w:type="dxa"/>
                  <w:left w:w="80" w:type="dxa"/>
                  <w:bottom w:w="80" w:type="dxa"/>
                  <w:right w:w="80" w:type="dxa"/>
                </w:tcMar>
                <w:vAlign w:val="center"/>
              </w:tcPr>
              <w:p w14:paraId="58B9186A"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Attributable profit / total assets x 100</w:t>
                </w:r>
              </w:p>
            </w:tc>
            <w:tc>
              <w:tcPr>
                <w:tcW w:w="2520" w:type="dxa"/>
                <w:tcMar>
                  <w:top w:w="80" w:type="dxa"/>
                  <w:left w:w="80" w:type="dxa"/>
                  <w:bottom w:w="80" w:type="dxa"/>
                  <w:right w:w="80" w:type="dxa"/>
                </w:tcMar>
                <w:vAlign w:val="center"/>
              </w:tcPr>
              <w:p w14:paraId="4FEA6CD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5.316 / 1,518.202 x 100 = 0.35%</w:t>
                </w:r>
              </w:p>
            </w:tc>
            <w:tc>
              <w:tcPr>
                <w:tcW w:w="2520" w:type="dxa"/>
                <w:tcMar>
                  <w:top w:w="80" w:type="dxa"/>
                  <w:left w:w="80" w:type="dxa"/>
                  <w:bottom w:w="80" w:type="dxa"/>
                  <w:right w:w="80" w:type="dxa"/>
                </w:tcMar>
                <w:vAlign w:val="center"/>
              </w:tcPr>
              <w:p w14:paraId="6F5ED8E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6.175 / 1,544.165 x 100 = 0.40%</w:t>
                </w:r>
              </w:p>
            </w:tc>
          </w:tr>
          <w:tr w:rsidR="002924BD" w:rsidRPr="002924BD" w14:paraId="64147AC3" w14:textId="77777777" w:rsidTr="000C17B9">
            <w:trPr>
              <w:jc w:val="center"/>
            </w:trPr>
            <w:tc>
              <w:tcPr>
                <w:tcW w:w="2520" w:type="dxa"/>
                <w:tcMar>
                  <w:top w:w="80" w:type="dxa"/>
                  <w:left w:w="80" w:type="dxa"/>
                  <w:bottom w:w="80" w:type="dxa"/>
                  <w:right w:w="80" w:type="dxa"/>
                </w:tcMar>
                <w:vAlign w:val="center"/>
              </w:tcPr>
              <w:p w14:paraId="5832B52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Assets/equity</w:t>
                </w:r>
              </w:p>
            </w:tc>
            <w:tc>
              <w:tcPr>
                <w:tcW w:w="2520" w:type="dxa"/>
                <w:tcMar>
                  <w:top w:w="80" w:type="dxa"/>
                  <w:left w:w="80" w:type="dxa"/>
                  <w:bottom w:w="80" w:type="dxa"/>
                  <w:right w:w="80" w:type="dxa"/>
                </w:tcMar>
                <w:vAlign w:val="center"/>
              </w:tcPr>
              <w:p w14:paraId="2C5BD95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Total assets / total equity</w:t>
                </w:r>
              </w:p>
            </w:tc>
            <w:tc>
              <w:tcPr>
                <w:tcW w:w="2520" w:type="dxa"/>
                <w:tcMar>
                  <w:top w:w="80" w:type="dxa"/>
                  <w:left w:w="80" w:type="dxa"/>
                  <w:bottom w:w="80" w:type="dxa"/>
                  <w:right w:w="80" w:type="dxa"/>
                </w:tcMar>
                <w:vAlign w:val="center"/>
              </w:tcPr>
              <w:p w14:paraId="5AAD4EA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1,518.202 / 72.481 = 20.95x</w:t>
                </w:r>
              </w:p>
            </w:tc>
            <w:tc>
              <w:tcPr>
                <w:tcW w:w="2520" w:type="dxa"/>
                <w:tcMar>
                  <w:top w:w="80" w:type="dxa"/>
                  <w:left w:w="80" w:type="dxa"/>
                  <w:bottom w:w="80" w:type="dxa"/>
                  <w:right w:w="80" w:type="dxa"/>
                </w:tcMar>
                <w:vAlign w:val="center"/>
              </w:tcPr>
              <w:p w14:paraId="45AEF5B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1,544.165 / 78.236 = 19.74x</w:t>
                </w:r>
              </w:p>
            </w:tc>
          </w:tr>
          <w:tr w:rsidR="002924BD" w:rsidRPr="002924BD" w14:paraId="6060616B" w14:textId="77777777" w:rsidTr="000C17B9">
            <w:trPr>
              <w:jc w:val="center"/>
            </w:trPr>
            <w:tc>
              <w:tcPr>
                <w:tcW w:w="2520" w:type="dxa"/>
                <w:tcMar>
                  <w:top w:w="80" w:type="dxa"/>
                  <w:left w:w="80" w:type="dxa"/>
                  <w:bottom w:w="80" w:type="dxa"/>
                  <w:right w:w="80" w:type="dxa"/>
                </w:tcMar>
                <w:vAlign w:val="center"/>
              </w:tcPr>
              <w:p w14:paraId="00B68786"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LCR</w:t>
                </w:r>
              </w:p>
            </w:tc>
            <w:tc>
              <w:tcPr>
                <w:tcW w:w="2520" w:type="dxa"/>
                <w:tcMar>
                  <w:top w:w="80" w:type="dxa"/>
                  <w:left w:w="80" w:type="dxa"/>
                  <w:bottom w:w="80" w:type="dxa"/>
                  <w:right w:w="80" w:type="dxa"/>
                </w:tcMar>
                <w:vAlign w:val="center"/>
              </w:tcPr>
              <w:p w14:paraId="7579DCB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Average LCR reported by Barclays</w:t>
                </w:r>
              </w:p>
            </w:tc>
            <w:tc>
              <w:tcPr>
                <w:tcW w:w="2520" w:type="dxa"/>
                <w:tcMar>
                  <w:top w:w="80" w:type="dxa"/>
                  <w:left w:w="80" w:type="dxa"/>
                  <w:bottom w:w="80" w:type="dxa"/>
                  <w:right w:w="80" w:type="dxa"/>
                </w:tcMar>
                <w:vAlign w:val="center"/>
              </w:tcPr>
              <w:p w14:paraId="5F1666A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172.4%</w:t>
                </w:r>
              </w:p>
            </w:tc>
            <w:tc>
              <w:tcPr>
                <w:tcW w:w="2520" w:type="dxa"/>
                <w:tcMar>
                  <w:top w:w="80" w:type="dxa"/>
                  <w:left w:w="80" w:type="dxa"/>
                  <w:bottom w:w="80" w:type="dxa"/>
                  <w:right w:w="80" w:type="dxa"/>
                </w:tcMar>
                <w:vAlign w:val="center"/>
              </w:tcPr>
              <w:p w14:paraId="796CDCD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170.0%</w:t>
                </w:r>
              </w:p>
            </w:tc>
          </w:tr>
          <w:tr w:rsidR="002924BD" w:rsidRPr="002924BD" w14:paraId="13ABAE5D" w14:textId="77777777" w:rsidTr="000C17B9">
            <w:trPr>
              <w:jc w:val="center"/>
            </w:trPr>
            <w:tc>
              <w:tcPr>
                <w:tcW w:w="2520" w:type="dxa"/>
                <w:tcMar>
                  <w:top w:w="80" w:type="dxa"/>
                  <w:left w:w="80" w:type="dxa"/>
                  <w:bottom w:w="80" w:type="dxa"/>
                  <w:right w:w="80" w:type="dxa"/>
                </w:tcMar>
                <w:vAlign w:val="center"/>
              </w:tcPr>
              <w:p w14:paraId="6C862CBF"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NSFR</w:t>
                </w:r>
              </w:p>
            </w:tc>
            <w:tc>
              <w:tcPr>
                <w:tcW w:w="2520" w:type="dxa"/>
                <w:tcMar>
                  <w:top w:w="80" w:type="dxa"/>
                  <w:left w:w="80" w:type="dxa"/>
                  <w:bottom w:w="80" w:type="dxa"/>
                  <w:right w:w="80" w:type="dxa"/>
                </w:tcMar>
                <w:vAlign w:val="center"/>
              </w:tcPr>
              <w:p w14:paraId="726F844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Reported NSFR</w:t>
                </w:r>
              </w:p>
            </w:tc>
            <w:tc>
              <w:tcPr>
                <w:tcW w:w="2520" w:type="dxa"/>
                <w:tcMar>
                  <w:top w:w="80" w:type="dxa"/>
                  <w:left w:w="80" w:type="dxa"/>
                  <w:bottom w:w="80" w:type="dxa"/>
                  <w:right w:w="80" w:type="dxa"/>
                </w:tcMar>
                <w:vAlign w:val="center"/>
              </w:tcPr>
              <w:p w14:paraId="3B32C9C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134.9%</w:t>
                </w:r>
              </w:p>
            </w:tc>
            <w:tc>
              <w:tcPr>
                <w:tcW w:w="2520" w:type="dxa"/>
                <w:tcMar>
                  <w:top w:w="80" w:type="dxa"/>
                  <w:left w:w="80" w:type="dxa"/>
                  <w:bottom w:w="80" w:type="dxa"/>
                  <w:right w:w="80" w:type="dxa"/>
                </w:tcMar>
                <w:vAlign w:val="center"/>
              </w:tcPr>
              <w:p w14:paraId="26728D8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135.2%</w:t>
                </w:r>
              </w:p>
            </w:tc>
          </w:tr>
          <w:tr w:rsidR="002924BD" w:rsidRPr="002924BD" w14:paraId="543E7B4A" w14:textId="77777777" w:rsidTr="000C17B9">
            <w:trPr>
              <w:jc w:val="center"/>
            </w:trPr>
            <w:tc>
              <w:tcPr>
                <w:tcW w:w="2520" w:type="dxa"/>
                <w:tcMar>
                  <w:top w:w="80" w:type="dxa"/>
                  <w:left w:w="80" w:type="dxa"/>
                  <w:bottom w:w="80" w:type="dxa"/>
                  <w:right w:w="80" w:type="dxa"/>
                </w:tcMar>
                <w:vAlign w:val="center"/>
              </w:tcPr>
              <w:p w14:paraId="3C4CDC1C"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CET1 ratio</w:t>
                </w:r>
              </w:p>
            </w:tc>
            <w:tc>
              <w:tcPr>
                <w:tcW w:w="2520" w:type="dxa"/>
                <w:tcMar>
                  <w:top w:w="80" w:type="dxa"/>
                  <w:left w:w="80" w:type="dxa"/>
                  <w:bottom w:w="80" w:type="dxa"/>
                  <w:right w:w="80" w:type="dxa"/>
                </w:tcMar>
                <w:vAlign w:val="center"/>
              </w:tcPr>
              <w:p w14:paraId="6BA4EC1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Reported CET1 capital / RWAs</w:t>
                </w:r>
              </w:p>
            </w:tc>
            <w:tc>
              <w:tcPr>
                <w:tcW w:w="2520" w:type="dxa"/>
                <w:tcMar>
                  <w:top w:w="80" w:type="dxa"/>
                  <w:left w:w="80" w:type="dxa"/>
                  <w:bottom w:w="80" w:type="dxa"/>
                  <w:right w:w="80" w:type="dxa"/>
                </w:tcMar>
                <w:vAlign w:val="center"/>
              </w:tcPr>
              <w:p w14:paraId="3102515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13.6%</w:t>
                </w:r>
              </w:p>
            </w:tc>
            <w:tc>
              <w:tcPr>
                <w:tcW w:w="2520" w:type="dxa"/>
                <w:tcMar>
                  <w:top w:w="80" w:type="dxa"/>
                  <w:left w:w="80" w:type="dxa"/>
                  <w:bottom w:w="80" w:type="dxa"/>
                  <w:right w:w="80" w:type="dxa"/>
                </w:tcMar>
                <w:vAlign w:val="center"/>
              </w:tcPr>
              <w:p w14:paraId="40F6B9B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14.3%</w:t>
                </w:r>
              </w:p>
            </w:tc>
          </w:tr>
          <w:tr w:rsidR="002924BD" w:rsidRPr="002924BD" w14:paraId="417A4C9C" w14:textId="77777777" w:rsidTr="000C17B9">
            <w:trPr>
              <w:jc w:val="center"/>
            </w:trPr>
            <w:tc>
              <w:tcPr>
                <w:tcW w:w="2520" w:type="dxa"/>
                <w:tcMar>
                  <w:top w:w="80" w:type="dxa"/>
                  <w:left w:w="80" w:type="dxa"/>
                  <w:bottom w:w="80" w:type="dxa"/>
                  <w:right w:w="80" w:type="dxa"/>
                </w:tcMar>
                <w:vAlign w:val="center"/>
              </w:tcPr>
              <w:p w14:paraId="7C0CA45D"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Cost: income ratio</w:t>
                </w:r>
              </w:p>
            </w:tc>
            <w:tc>
              <w:tcPr>
                <w:tcW w:w="2520" w:type="dxa"/>
                <w:tcMar>
                  <w:top w:w="80" w:type="dxa"/>
                  <w:left w:w="80" w:type="dxa"/>
                  <w:bottom w:w="80" w:type="dxa"/>
                  <w:right w:w="80" w:type="dxa"/>
                </w:tcMar>
                <w:vAlign w:val="center"/>
              </w:tcPr>
              <w:p w14:paraId="0C0A85D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Operating costs / income</w:t>
                </w:r>
              </w:p>
            </w:tc>
            <w:tc>
              <w:tcPr>
                <w:tcW w:w="2520" w:type="dxa"/>
                <w:tcMar>
                  <w:top w:w="80" w:type="dxa"/>
                  <w:left w:w="80" w:type="dxa"/>
                  <w:bottom w:w="80" w:type="dxa"/>
                  <w:right w:w="80" w:type="dxa"/>
                </w:tcMar>
                <w:vAlign w:val="center"/>
              </w:tcPr>
              <w:p w14:paraId="0ABE2F5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62%</w:t>
                </w:r>
              </w:p>
            </w:tc>
            <w:tc>
              <w:tcPr>
                <w:tcW w:w="2520" w:type="dxa"/>
                <w:tcMar>
                  <w:top w:w="80" w:type="dxa"/>
                  <w:left w:w="80" w:type="dxa"/>
                  <w:bottom w:w="80" w:type="dxa"/>
                  <w:right w:w="80" w:type="dxa"/>
                </w:tcMar>
                <w:vAlign w:val="center"/>
              </w:tcPr>
              <w:p w14:paraId="3D2B4EC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61%</w:t>
                </w:r>
              </w:p>
            </w:tc>
          </w:tr>
          <w:tr w:rsidR="002924BD" w:rsidRPr="002924BD" w14:paraId="470CAF7C" w14:textId="77777777" w:rsidTr="000C17B9">
            <w:trPr>
              <w:jc w:val="center"/>
            </w:trPr>
            <w:tc>
              <w:tcPr>
                <w:tcW w:w="2520" w:type="dxa"/>
                <w:tcMar>
                  <w:top w:w="80" w:type="dxa"/>
                  <w:left w:w="80" w:type="dxa"/>
                  <w:bottom w:w="80" w:type="dxa"/>
                  <w:right w:w="80" w:type="dxa"/>
                </w:tcMar>
                <w:vAlign w:val="center"/>
              </w:tcPr>
              <w:p w14:paraId="0BD9E37A"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EPS</w:t>
                </w:r>
              </w:p>
            </w:tc>
            <w:tc>
              <w:tcPr>
                <w:tcW w:w="2520" w:type="dxa"/>
                <w:tcMar>
                  <w:top w:w="80" w:type="dxa"/>
                  <w:left w:w="80" w:type="dxa"/>
                  <w:bottom w:w="80" w:type="dxa"/>
                  <w:right w:w="80" w:type="dxa"/>
                </w:tcMar>
                <w:vAlign w:val="center"/>
              </w:tcPr>
              <w:p w14:paraId="40F87AE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Earnings attributable to ordinary shareholders / weighted average shares</w:t>
                </w:r>
              </w:p>
            </w:tc>
            <w:tc>
              <w:tcPr>
                <w:tcW w:w="2520" w:type="dxa"/>
                <w:tcMar>
                  <w:top w:w="80" w:type="dxa"/>
                  <w:left w:w="80" w:type="dxa"/>
                  <w:bottom w:w="80" w:type="dxa"/>
                  <w:right w:w="80" w:type="dxa"/>
                </w:tcMar>
                <w:vAlign w:val="center"/>
              </w:tcPr>
              <w:p w14:paraId="178F3FD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36.0p</w:t>
                </w:r>
              </w:p>
            </w:tc>
            <w:tc>
              <w:tcPr>
                <w:tcW w:w="2520" w:type="dxa"/>
                <w:tcMar>
                  <w:top w:w="80" w:type="dxa"/>
                  <w:left w:w="80" w:type="dxa"/>
                  <w:bottom w:w="80" w:type="dxa"/>
                  <w:right w:w="80" w:type="dxa"/>
                </w:tcMar>
                <w:vAlign w:val="center"/>
              </w:tcPr>
              <w:p w14:paraId="6D8FF73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43.8p</w:t>
                </w:r>
              </w:p>
            </w:tc>
          </w:tr>
          <w:tr w:rsidR="002924BD" w:rsidRPr="002924BD" w14:paraId="4F4408E3" w14:textId="77777777" w:rsidTr="000C17B9">
            <w:trPr>
              <w:jc w:val="center"/>
            </w:trPr>
            <w:tc>
              <w:tcPr>
                <w:tcW w:w="2520" w:type="dxa"/>
                <w:tcMar>
                  <w:top w:w="80" w:type="dxa"/>
                  <w:left w:w="80" w:type="dxa"/>
                  <w:bottom w:w="80" w:type="dxa"/>
                  <w:right w:w="80" w:type="dxa"/>
                </w:tcMar>
                <w:vAlign w:val="center"/>
              </w:tcPr>
              <w:p w14:paraId="4CB4F719"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TNAV per share</w:t>
                </w:r>
              </w:p>
            </w:tc>
            <w:tc>
              <w:tcPr>
                <w:tcW w:w="2520" w:type="dxa"/>
                <w:tcMar>
                  <w:top w:w="80" w:type="dxa"/>
                  <w:left w:w="80" w:type="dxa"/>
                  <w:bottom w:w="80" w:type="dxa"/>
                  <w:right w:w="80" w:type="dxa"/>
                </w:tcMar>
                <w:vAlign w:val="center"/>
              </w:tcPr>
              <w:p w14:paraId="557845C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Tangible net asset value / shares</w:t>
                </w:r>
              </w:p>
            </w:tc>
            <w:tc>
              <w:tcPr>
                <w:tcW w:w="2520" w:type="dxa"/>
                <w:tcMar>
                  <w:top w:w="80" w:type="dxa"/>
                  <w:left w:w="80" w:type="dxa"/>
                  <w:bottom w:w="80" w:type="dxa"/>
                  <w:right w:w="80" w:type="dxa"/>
                </w:tcMar>
                <w:vAlign w:val="center"/>
              </w:tcPr>
              <w:p w14:paraId="02190ED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357p</w:t>
                </w:r>
              </w:p>
            </w:tc>
            <w:tc>
              <w:tcPr>
                <w:tcW w:w="2520" w:type="dxa"/>
                <w:tcMar>
                  <w:top w:w="80" w:type="dxa"/>
                  <w:left w:w="80" w:type="dxa"/>
                  <w:bottom w:w="80" w:type="dxa"/>
                  <w:right w:w="80" w:type="dxa"/>
                </w:tcMar>
                <w:vAlign w:val="center"/>
              </w:tcPr>
              <w:p w14:paraId="165B7FD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409p</w:t>
                </w:r>
              </w:p>
            </w:tc>
          </w:tr>
        </w:tbl>
        <w:p w14:paraId="0015DCA3" w14:textId="77777777" w:rsidR="002924BD" w:rsidRPr="002924BD" w:rsidRDefault="002924BD" w:rsidP="002924BD">
          <w:pPr>
            <w:pStyle w:val="Heading1"/>
            <w:spacing w:after="120"/>
            <w:rPr>
              <w:rFonts w:ascii="Times New Roman" w:hAnsi="Times New Roman" w:cs="Times New Roman"/>
              <w:sz w:val="28"/>
              <w:szCs w:val="28"/>
            </w:rPr>
          </w:pPr>
          <w:bookmarkStart w:id="47" w:name="_Toc227528930"/>
          <w:bookmarkStart w:id="48" w:name="_Toc227530776"/>
          <w:r w:rsidRPr="002924BD">
            <w:rPr>
              <w:rFonts w:ascii="Times New Roman" w:hAnsi="Times New Roman" w:cs="Times New Roman"/>
              <w:sz w:val="28"/>
              <w:szCs w:val="28"/>
            </w:rPr>
            <w:t>Appendix C: Beard Plc Investment Appraisal Calculations</w:t>
          </w:r>
          <w:bookmarkEnd w:id="47"/>
          <w:bookmarkEnd w:id="48"/>
        </w:p>
        <w:p w14:paraId="61BE0978"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All monetary figures in the following tables are shown in £000 unless otherwise stated.</w:t>
          </w:r>
        </w:p>
        <w:p w14:paraId="527E1989" w14:textId="77777777" w:rsidR="002924BD" w:rsidRPr="002924BD" w:rsidRDefault="002924BD" w:rsidP="002924BD">
          <w:pPr>
            <w:pStyle w:val="Heading2"/>
            <w:spacing w:before="160" w:after="120"/>
            <w:rPr>
              <w:rFonts w:ascii="Times New Roman" w:hAnsi="Times New Roman" w:cs="Times New Roman"/>
              <w:sz w:val="28"/>
              <w:szCs w:val="28"/>
            </w:rPr>
          </w:pPr>
          <w:bookmarkStart w:id="49" w:name="_Toc227528931"/>
          <w:bookmarkStart w:id="50" w:name="_Toc227530777"/>
          <w:r w:rsidRPr="002924BD">
            <w:rPr>
              <w:rFonts w:ascii="Times New Roman" w:hAnsi="Times New Roman" w:cs="Times New Roman"/>
              <w:sz w:val="28"/>
              <w:szCs w:val="28"/>
            </w:rPr>
            <w:t>A: Retail expansion</w:t>
          </w:r>
          <w:bookmarkEnd w:id="49"/>
          <w:bookmarkEnd w:id="50"/>
        </w:p>
        <w:tbl>
          <w:tblPr>
            <w:tblW w:w="0" w:type="auto"/>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A0" w:firstRow="1" w:lastRow="0" w:firstColumn="1" w:lastColumn="0" w:noHBand="0" w:noVBand="1"/>
          </w:tblPr>
          <w:tblGrid>
            <w:gridCol w:w="1048"/>
            <w:gridCol w:w="1095"/>
            <w:gridCol w:w="1229"/>
            <w:gridCol w:w="1162"/>
            <w:gridCol w:w="1095"/>
            <w:gridCol w:w="1095"/>
            <w:gridCol w:w="1191"/>
            <w:gridCol w:w="1095"/>
          </w:tblGrid>
          <w:tr w:rsidR="002924BD" w:rsidRPr="002924BD" w14:paraId="2625EE61" w14:textId="77777777" w:rsidTr="000C17B9">
            <w:trPr>
              <w:tblHeader/>
              <w:jc w:val="center"/>
            </w:trPr>
            <w:tc>
              <w:tcPr>
                <w:tcW w:w="1260" w:type="dxa"/>
                <w:shd w:val="clear" w:color="auto" w:fill="1F4E79"/>
                <w:tcMar>
                  <w:top w:w="80" w:type="dxa"/>
                  <w:left w:w="80" w:type="dxa"/>
                  <w:bottom w:w="80" w:type="dxa"/>
                  <w:right w:w="80" w:type="dxa"/>
                </w:tcMar>
                <w:vAlign w:val="center"/>
              </w:tcPr>
              <w:p w14:paraId="4AA6752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Year</w:t>
                </w:r>
              </w:p>
            </w:tc>
            <w:tc>
              <w:tcPr>
                <w:tcW w:w="1260" w:type="dxa"/>
                <w:shd w:val="clear" w:color="auto" w:fill="1F4E79"/>
                <w:tcMar>
                  <w:top w:w="80" w:type="dxa"/>
                  <w:left w:w="80" w:type="dxa"/>
                  <w:bottom w:w="80" w:type="dxa"/>
                  <w:right w:w="80" w:type="dxa"/>
                </w:tcMar>
                <w:vAlign w:val="center"/>
              </w:tcPr>
              <w:p w14:paraId="6EEA72C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Cash flow (£000)</w:t>
                </w:r>
              </w:p>
            </w:tc>
            <w:tc>
              <w:tcPr>
                <w:tcW w:w="1260" w:type="dxa"/>
                <w:shd w:val="clear" w:color="auto" w:fill="1F4E79"/>
                <w:tcMar>
                  <w:top w:w="80" w:type="dxa"/>
                  <w:left w:w="80" w:type="dxa"/>
                  <w:bottom w:w="80" w:type="dxa"/>
                  <w:right w:w="80" w:type="dxa"/>
                </w:tcMar>
                <w:vAlign w:val="center"/>
              </w:tcPr>
              <w:p w14:paraId="3342FD7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Capital allowance (£000)</w:t>
                </w:r>
              </w:p>
            </w:tc>
            <w:tc>
              <w:tcPr>
                <w:tcW w:w="1260" w:type="dxa"/>
                <w:shd w:val="clear" w:color="auto" w:fill="1F4E79"/>
                <w:tcMar>
                  <w:top w:w="80" w:type="dxa"/>
                  <w:left w:w="80" w:type="dxa"/>
                  <w:bottom w:w="80" w:type="dxa"/>
                  <w:right w:w="80" w:type="dxa"/>
                </w:tcMar>
                <w:vAlign w:val="center"/>
              </w:tcPr>
              <w:p w14:paraId="2C0178C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Taxable profit (£000)</w:t>
                </w:r>
              </w:p>
            </w:tc>
            <w:tc>
              <w:tcPr>
                <w:tcW w:w="1260" w:type="dxa"/>
                <w:shd w:val="clear" w:color="auto" w:fill="1F4E79"/>
                <w:tcMar>
                  <w:top w:w="80" w:type="dxa"/>
                  <w:left w:w="80" w:type="dxa"/>
                  <w:bottom w:w="80" w:type="dxa"/>
                  <w:right w:w="80" w:type="dxa"/>
                </w:tcMar>
                <w:vAlign w:val="center"/>
              </w:tcPr>
              <w:p w14:paraId="4F83EC0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Tax at 25% (£000)</w:t>
                </w:r>
              </w:p>
            </w:tc>
            <w:tc>
              <w:tcPr>
                <w:tcW w:w="1260" w:type="dxa"/>
                <w:shd w:val="clear" w:color="auto" w:fill="1F4E79"/>
                <w:tcMar>
                  <w:top w:w="80" w:type="dxa"/>
                  <w:left w:w="80" w:type="dxa"/>
                  <w:bottom w:w="80" w:type="dxa"/>
                  <w:right w:w="80" w:type="dxa"/>
                </w:tcMar>
                <w:vAlign w:val="center"/>
              </w:tcPr>
              <w:p w14:paraId="13035C3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After-tax cash flow (£000)</w:t>
                </w:r>
              </w:p>
            </w:tc>
            <w:tc>
              <w:tcPr>
                <w:tcW w:w="1260" w:type="dxa"/>
                <w:shd w:val="clear" w:color="auto" w:fill="1F4E79"/>
                <w:tcMar>
                  <w:top w:w="80" w:type="dxa"/>
                  <w:left w:w="80" w:type="dxa"/>
                  <w:bottom w:w="80" w:type="dxa"/>
                  <w:right w:w="80" w:type="dxa"/>
                </w:tcMar>
                <w:vAlign w:val="center"/>
              </w:tcPr>
              <w:p w14:paraId="02F51A8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Discount factor 5%</w:t>
                </w:r>
              </w:p>
            </w:tc>
            <w:tc>
              <w:tcPr>
                <w:tcW w:w="1260" w:type="dxa"/>
                <w:shd w:val="clear" w:color="auto" w:fill="1F4E79"/>
                <w:tcMar>
                  <w:top w:w="80" w:type="dxa"/>
                  <w:left w:w="80" w:type="dxa"/>
                  <w:bottom w:w="80" w:type="dxa"/>
                  <w:right w:w="80" w:type="dxa"/>
                </w:tcMar>
                <w:vAlign w:val="center"/>
              </w:tcPr>
              <w:p w14:paraId="100836A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PV (£000)</w:t>
                </w:r>
              </w:p>
            </w:tc>
          </w:tr>
          <w:tr w:rsidR="002924BD" w:rsidRPr="002924BD" w14:paraId="2CE75FF3" w14:textId="77777777" w:rsidTr="000C17B9">
            <w:trPr>
              <w:jc w:val="center"/>
            </w:trPr>
            <w:tc>
              <w:tcPr>
                <w:tcW w:w="1260" w:type="dxa"/>
                <w:tcMar>
                  <w:top w:w="80" w:type="dxa"/>
                  <w:left w:w="80" w:type="dxa"/>
                  <w:bottom w:w="80" w:type="dxa"/>
                  <w:right w:w="80" w:type="dxa"/>
                </w:tcMar>
                <w:vAlign w:val="center"/>
              </w:tcPr>
              <w:p w14:paraId="1836C8D2"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1</w:t>
                </w:r>
              </w:p>
            </w:tc>
            <w:tc>
              <w:tcPr>
                <w:tcW w:w="1260" w:type="dxa"/>
                <w:tcMar>
                  <w:top w:w="80" w:type="dxa"/>
                  <w:left w:w="80" w:type="dxa"/>
                  <w:bottom w:w="80" w:type="dxa"/>
                  <w:right w:w="80" w:type="dxa"/>
                </w:tcMar>
                <w:vAlign w:val="center"/>
              </w:tcPr>
              <w:p w14:paraId="08C2E20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100.0</w:t>
                </w:r>
              </w:p>
            </w:tc>
            <w:tc>
              <w:tcPr>
                <w:tcW w:w="1260" w:type="dxa"/>
                <w:tcMar>
                  <w:top w:w="80" w:type="dxa"/>
                  <w:left w:w="80" w:type="dxa"/>
                  <w:bottom w:w="80" w:type="dxa"/>
                  <w:right w:w="80" w:type="dxa"/>
                </w:tcMar>
                <w:vAlign w:val="center"/>
              </w:tcPr>
              <w:p w14:paraId="3764FF4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120.0</w:t>
                </w:r>
              </w:p>
            </w:tc>
            <w:tc>
              <w:tcPr>
                <w:tcW w:w="1260" w:type="dxa"/>
                <w:tcMar>
                  <w:top w:w="80" w:type="dxa"/>
                  <w:left w:w="80" w:type="dxa"/>
                  <w:bottom w:w="80" w:type="dxa"/>
                  <w:right w:w="80" w:type="dxa"/>
                </w:tcMar>
                <w:vAlign w:val="center"/>
              </w:tcPr>
              <w:p w14:paraId="38A31CF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-20.0</w:t>
                </w:r>
              </w:p>
            </w:tc>
            <w:tc>
              <w:tcPr>
                <w:tcW w:w="1260" w:type="dxa"/>
                <w:tcMar>
                  <w:top w:w="80" w:type="dxa"/>
                  <w:left w:w="80" w:type="dxa"/>
                  <w:bottom w:w="80" w:type="dxa"/>
                  <w:right w:w="80" w:type="dxa"/>
                </w:tcMar>
                <w:vAlign w:val="center"/>
              </w:tcPr>
              <w:p w14:paraId="649C04F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-5.0</w:t>
                </w:r>
              </w:p>
            </w:tc>
            <w:tc>
              <w:tcPr>
                <w:tcW w:w="1260" w:type="dxa"/>
                <w:tcMar>
                  <w:top w:w="80" w:type="dxa"/>
                  <w:left w:w="80" w:type="dxa"/>
                  <w:bottom w:w="80" w:type="dxa"/>
                  <w:right w:w="80" w:type="dxa"/>
                </w:tcMar>
                <w:vAlign w:val="center"/>
              </w:tcPr>
              <w:p w14:paraId="5076E5D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105.0</w:t>
                </w:r>
              </w:p>
            </w:tc>
            <w:tc>
              <w:tcPr>
                <w:tcW w:w="1260" w:type="dxa"/>
                <w:tcMar>
                  <w:top w:w="80" w:type="dxa"/>
                  <w:left w:w="80" w:type="dxa"/>
                  <w:bottom w:w="80" w:type="dxa"/>
                  <w:right w:w="80" w:type="dxa"/>
                </w:tcMar>
                <w:vAlign w:val="center"/>
              </w:tcPr>
              <w:p w14:paraId="7C5B99A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0.9524</w:t>
                </w:r>
              </w:p>
            </w:tc>
            <w:tc>
              <w:tcPr>
                <w:tcW w:w="1260" w:type="dxa"/>
                <w:tcMar>
                  <w:top w:w="80" w:type="dxa"/>
                  <w:left w:w="80" w:type="dxa"/>
                  <w:bottom w:w="80" w:type="dxa"/>
                  <w:right w:w="80" w:type="dxa"/>
                </w:tcMar>
                <w:vAlign w:val="center"/>
              </w:tcPr>
              <w:p w14:paraId="612393B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100.0</w:t>
                </w:r>
              </w:p>
            </w:tc>
          </w:tr>
          <w:tr w:rsidR="002924BD" w:rsidRPr="002924BD" w14:paraId="328FD318" w14:textId="77777777" w:rsidTr="000C17B9">
            <w:trPr>
              <w:jc w:val="center"/>
            </w:trPr>
            <w:tc>
              <w:tcPr>
                <w:tcW w:w="1260" w:type="dxa"/>
                <w:tcMar>
                  <w:top w:w="80" w:type="dxa"/>
                  <w:left w:w="80" w:type="dxa"/>
                  <w:bottom w:w="80" w:type="dxa"/>
                  <w:right w:w="80" w:type="dxa"/>
                </w:tcMar>
                <w:vAlign w:val="center"/>
              </w:tcPr>
              <w:p w14:paraId="4358C026"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2</w:t>
                </w:r>
              </w:p>
            </w:tc>
            <w:tc>
              <w:tcPr>
                <w:tcW w:w="1260" w:type="dxa"/>
                <w:tcMar>
                  <w:top w:w="80" w:type="dxa"/>
                  <w:left w:w="80" w:type="dxa"/>
                  <w:bottom w:w="80" w:type="dxa"/>
                  <w:right w:w="80" w:type="dxa"/>
                </w:tcMar>
                <w:vAlign w:val="center"/>
              </w:tcPr>
              <w:p w14:paraId="3ED0479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180.0</w:t>
                </w:r>
              </w:p>
            </w:tc>
            <w:tc>
              <w:tcPr>
                <w:tcW w:w="1260" w:type="dxa"/>
                <w:tcMar>
                  <w:top w:w="80" w:type="dxa"/>
                  <w:left w:w="80" w:type="dxa"/>
                  <w:bottom w:w="80" w:type="dxa"/>
                  <w:right w:w="80" w:type="dxa"/>
                </w:tcMar>
                <w:vAlign w:val="center"/>
              </w:tcPr>
              <w:p w14:paraId="5757919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120.0</w:t>
                </w:r>
              </w:p>
            </w:tc>
            <w:tc>
              <w:tcPr>
                <w:tcW w:w="1260" w:type="dxa"/>
                <w:tcMar>
                  <w:top w:w="80" w:type="dxa"/>
                  <w:left w:w="80" w:type="dxa"/>
                  <w:bottom w:w="80" w:type="dxa"/>
                  <w:right w:w="80" w:type="dxa"/>
                </w:tcMar>
                <w:vAlign w:val="center"/>
              </w:tcPr>
              <w:p w14:paraId="55796C5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60.0</w:t>
                </w:r>
              </w:p>
            </w:tc>
            <w:tc>
              <w:tcPr>
                <w:tcW w:w="1260" w:type="dxa"/>
                <w:tcMar>
                  <w:top w:w="80" w:type="dxa"/>
                  <w:left w:w="80" w:type="dxa"/>
                  <w:bottom w:w="80" w:type="dxa"/>
                  <w:right w:w="80" w:type="dxa"/>
                </w:tcMar>
                <w:vAlign w:val="center"/>
              </w:tcPr>
              <w:p w14:paraId="2E3DB2E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15.0</w:t>
                </w:r>
              </w:p>
            </w:tc>
            <w:tc>
              <w:tcPr>
                <w:tcW w:w="1260" w:type="dxa"/>
                <w:tcMar>
                  <w:top w:w="80" w:type="dxa"/>
                  <w:left w:w="80" w:type="dxa"/>
                  <w:bottom w:w="80" w:type="dxa"/>
                  <w:right w:w="80" w:type="dxa"/>
                </w:tcMar>
                <w:vAlign w:val="center"/>
              </w:tcPr>
              <w:p w14:paraId="1004057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165.0</w:t>
                </w:r>
              </w:p>
            </w:tc>
            <w:tc>
              <w:tcPr>
                <w:tcW w:w="1260" w:type="dxa"/>
                <w:tcMar>
                  <w:top w:w="80" w:type="dxa"/>
                  <w:left w:w="80" w:type="dxa"/>
                  <w:bottom w:w="80" w:type="dxa"/>
                  <w:right w:w="80" w:type="dxa"/>
                </w:tcMar>
                <w:vAlign w:val="center"/>
              </w:tcPr>
              <w:p w14:paraId="05530BD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0.9070</w:t>
                </w:r>
              </w:p>
            </w:tc>
            <w:tc>
              <w:tcPr>
                <w:tcW w:w="1260" w:type="dxa"/>
                <w:tcMar>
                  <w:top w:w="80" w:type="dxa"/>
                  <w:left w:w="80" w:type="dxa"/>
                  <w:bottom w:w="80" w:type="dxa"/>
                  <w:right w:w="80" w:type="dxa"/>
                </w:tcMar>
                <w:vAlign w:val="center"/>
              </w:tcPr>
              <w:p w14:paraId="5DF8F30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149.7</w:t>
                </w:r>
              </w:p>
            </w:tc>
          </w:tr>
          <w:tr w:rsidR="002924BD" w:rsidRPr="002924BD" w14:paraId="7E9334A7" w14:textId="77777777" w:rsidTr="000C17B9">
            <w:trPr>
              <w:jc w:val="center"/>
            </w:trPr>
            <w:tc>
              <w:tcPr>
                <w:tcW w:w="1260" w:type="dxa"/>
                <w:tcMar>
                  <w:top w:w="80" w:type="dxa"/>
                  <w:left w:w="80" w:type="dxa"/>
                  <w:bottom w:w="80" w:type="dxa"/>
                  <w:right w:w="80" w:type="dxa"/>
                </w:tcMar>
                <w:vAlign w:val="center"/>
              </w:tcPr>
              <w:p w14:paraId="52A2161C"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3</w:t>
                </w:r>
              </w:p>
            </w:tc>
            <w:tc>
              <w:tcPr>
                <w:tcW w:w="1260" w:type="dxa"/>
                <w:tcMar>
                  <w:top w:w="80" w:type="dxa"/>
                  <w:left w:w="80" w:type="dxa"/>
                  <w:bottom w:w="80" w:type="dxa"/>
                  <w:right w:w="80" w:type="dxa"/>
                </w:tcMar>
                <w:vAlign w:val="center"/>
              </w:tcPr>
              <w:p w14:paraId="2F371A9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210.0</w:t>
                </w:r>
              </w:p>
            </w:tc>
            <w:tc>
              <w:tcPr>
                <w:tcW w:w="1260" w:type="dxa"/>
                <w:tcMar>
                  <w:top w:w="80" w:type="dxa"/>
                  <w:left w:w="80" w:type="dxa"/>
                  <w:bottom w:w="80" w:type="dxa"/>
                  <w:right w:w="80" w:type="dxa"/>
                </w:tcMar>
                <w:vAlign w:val="center"/>
              </w:tcPr>
              <w:p w14:paraId="70032A2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120.0</w:t>
                </w:r>
              </w:p>
            </w:tc>
            <w:tc>
              <w:tcPr>
                <w:tcW w:w="1260" w:type="dxa"/>
                <w:tcMar>
                  <w:top w:w="80" w:type="dxa"/>
                  <w:left w:w="80" w:type="dxa"/>
                  <w:bottom w:w="80" w:type="dxa"/>
                  <w:right w:w="80" w:type="dxa"/>
                </w:tcMar>
                <w:vAlign w:val="center"/>
              </w:tcPr>
              <w:p w14:paraId="44760A1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90.0</w:t>
                </w:r>
              </w:p>
            </w:tc>
            <w:tc>
              <w:tcPr>
                <w:tcW w:w="1260" w:type="dxa"/>
                <w:tcMar>
                  <w:top w:w="80" w:type="dxa"/>
                  <w:left w:w="80" w:type="dxa"/>
                  <w:bottom w:w="80" w:type="dxa"/>
                  <w:right w:w="80" w:type="dxa"/>
                </w:tcMar>
                <w:vAlign w:val="center"/>
              </w:tcPr>
              <w:p w14:paraId="7F6D027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22.5</w:t>
                </w:r>
              </w:p>
            </w:tc>
            <w:tc>
              <w:tcPr>
                <w:tcW w:w="1260" w:type="dxa"/>
                <w:tcMar>
                  <w:top w:w="80" w:type="dxa"/>
                  <w:left w:w="80" w:type="dxa"/>
                  <w:bottom w:w="80" w:type="dxa"/>
                  <w:right w:w="80" w:type="dxa"/>
                </w:tcMar>
                <w:vAlign w:val="center"/>
              </w:tcPr>
              <w:p w14:paraId="14049CB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187.5</w:t>
                </w:r>
              </w:p>
            </w:tc>
            <w:tc>
              <w:tcPr>
                <w:tcW w:w="1260" w:type="dxa"/>
                <w:tcMar>
                  <w:top w:w="80" w:type="dxa"/>
                  <w:left w:w="80" w:type="dxa"/>
                  <w:bottom w:w="80" w:type="dxa"/>
                  <w:right w:w="80" w:type="dxa"/>
                </w:tcMar>
                <w:vAlign w:val="center"/>
              </w:tcPr>
              <w:p w14:paraId="0FFC301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0.8638</w:t>
                </w:r>
              </w:p>
            </w:tc>
            <w:tc>
              <w:tcPr>
                <w:tcW w:w="1260" w:type="dxa"/>
                <w:tcMar>
                  <w:top w:w="80" w:type="dxa"/>
                  <w:left w:w="80" w:type="dxa"/>
                  <w:bottom w:w="80" w:type="dxa"/>
                  <w:right w:w="80" w:type="dxa"/>
                </w:tcMar>
                <w:vAlign w:val="center"/>
              </w:tcPr>
              <w:p w14:paraId="58CE54A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162.0</w:t>
                </w:r>
              </w:p>
            </w:tc>
          </w:tr>
          <w:tr w:rsidR="002924BD" w:rsidRPr="002924BD" w14:paraId="5D46E5CB" w14:textId="77777777" w:rsidTr="000C17B9">
            <w:trPr>
              <w:jc w:val="center"/>
            </w:trPr>
            <w:tc>
              <w:tcPr>
                <w:tcW w:w="1260" w:type="dxa"/>
                <w:tcMar>
                  <w:top w:w="80" w:type="dxa"/>
                  <w:left w:w="80" w:type="dxa"/>
                  <w:bottom w:w="80" w:type="dxa"/>
                  <w:right w:w="80" w:type="dxa"/>
                </w:tcMar>
                <w:vAlign w:val="center"/>
              </w:tcPr>
              <w:p w14:paraId="7057F9A1"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4</w:t>
                </w:r>
              </w:p>
            </w:tc>
            <w:tc>
              <w:tcPr>
                <w:tcW w:w="1260" w:type="dxa"/>
                <w:tcMar>
                  <w:top w:w="80" w:type="dxa"/>
                  <w:left w:w="80" w:type="dxa"/>
                  <w:bottom w:w="80" w:type="dxa"/>
                  <w:right w:w="80" w:type="dxa"/>
                </w:tcMar>
                <w:vAlign w:val="center"/>
              </w:tcPr>
              <w:p w14:paraId="7A10853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260.0</w:t>
                </w:r>
              </w:p>
            </w:tc>
            <w:tc>
              <w:tcPr>
                <w:tcW w:w="1260" w:type="dxa"/>
                <w:tcMar>
                  <w:top w:w="80" w:type="dxa"/>
                  <w:left w:w="80" w:type="dxa"/>
                  <w:bottom w:w="80" w:type="dxa"/>
                  <w:right w:w="80" w:type="dxa"/>
                </w:tcMar>
                <w:vAlign w:val="center"/>
              </w:tcPr>
              <w:p w14:paraId="66D3157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120.0</w:t>
                </w:r>
              </w:p>
            </w:tc>
            <w:tc>
              <w:tcPr>
                <w:tcW w:w="1260" w:type="dxa"/>
                <w:tcMar>
                  <w:top w:w="80" w:type="dxa"/>
                  <w:left w:w="80" w:type="dxa"/>
                  <w:bottom w:w="80" w:type="dxa"/>
                  <w:right w:w="80" w:type="dxa"/>
                </w:tcMar>
                <w:vAlign w:val="center"/>
              </w:tcPr>
              <w:p w14:paraId="4AECA1D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140.0</w:t>
                </w:r>
              </w:p>
            </w:tc>
            <w:tc>
              <w:tcPr>
                <w:tcW w:w="1260" w:type="dxa"/>
                <w:tcMar>
                  <w:top w:w="80" w:type="dxa"/>
                  <w:left w:w="80" w:type="dxa"/>
                  <w:bottom w:w="80" w:type="dxa"/>
                  <w:right w:w="80" w:type="dxa"/>
                </w:tcMar>
                <w:vAlign w:val="center"/>
              </w:tcPr>
              <w:p w14:paraId="7309CD3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35.0</w:t>
                </w:r>
              </w:p>
            </w:tc>
            <w:tc>
              <w:tcPr>
                <w:tcW w:w="1260" w:type="dxa"/>
                <w:tcMar>
                  <w:top w:w="80" w:type="dxa"/>
                  <w:left w:w="80" w:type="dxa"/>
                  <w:bottom w:w="80" w:type="dxa"/>
                  <w:right w:w="80" w:type="dxa"/>
                </w:tcMar>
                <w:vAlign w:val="center"/>
              </w:tcPr>
              <w:p w14:paraId="5A12601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225.0</w:t>
                </w:r>
              </w:p>
            </w:tc>
            <w:tc>
              <w:tcPr>
                <w:tcW w:w="1260" w:type="dxa"/>
                <w:tcMar>
                  <w:top w:w="80" w:type="dxa"/>
                  <w:left w:w="80" w:type="dxa"/>
                  <w:bottom w:w="80" w:type="dxa"/>
                  <w:right w:w="80" w:type="dxa"/>
                </w:tcMar>
                <w:vAlign w:val="center"/>
              </w:tcPr>
              <w:p w14:paraId="0DFE2E1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0.8227</w:t>
                </w:r>
              </w:p>
            </w:tc>
            <w:tc>
              <w:tcPr>
                <w:tcW w:w="1260" w:type="dxa"/>
                <w:tcMar>
                  <w:top w:w="80" w:type="dxa"/>
                  <w:left w:w="80" w:type="dxa"/>
                  <w:bottom w:w="80" w:type="dxa"/>
                  <w:right w:w="80" w:type="dxa"/>
                </w:tcMar>
                <w:vAlign w:val="center"/>
              </w:tcPr>
              <w:p w14:paraId="6B3B4EB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185.1</w:t>
                </w:r>
              </w:p>
            </w:tc>
          </w:tr>
        </w:tbl>
        <w:p w14:paraId="03EA8294"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PV of after-tax cash flows = £596.8k; less initial investment of £600k; NPV = £-3.2k.</w:t>
          </w:r>
        </w:p>
        <w:p w14:paraId="56A01579" w14:textId="77777777" w:rsidR="002924BD" w:rsidRPr="002924BD" w:rsidRDefault="002924BD" w:rsidP="002924BD">
          <w:pPr>
            <w:pStyle w:val="Heading2"/>
            <w:spacing w:before="160" w:after="120"/>
            <w:rPr>
              <w:rFonts w:ascii="Times New Roman" w:hAnsi="Times New Roman" w:cs="Times New Roman"/>
              <w:sz w:val="28"/>
              <w:szCs w:val="28"/>
            </w:rPr>
          </w:pPr>
          <w:bookmarkStart w:id="51" w:name="_Toc227528932"/>
          <w:bookmarkStart w:id="52" w:name="_Toc227530778"/>
          <w:r w:rsidRPr="002924BD">
            <w:rPr>
              <w:rFonts w:ascii="Times New Roman" w:hAnsi="Times New Roman" w:cs="Times New Roman"/>
              <w:sz w:val="28"/>
              <w:szCs w:val="28"/>
            </w:rPr>
            <w:lastRenderedPageBreak/>
            <w:t>B: Internet sales</w:t>
          </w:r>
          <w:bookmarkEnd w:id="51"/>
          <w:bookmarkEnd w:id="52"/>
        </w:p>
        <w:tbl>
          <w:tblPr>
            <w:tblW w:w="0" w:type="auto"/>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A0" w:firstRow="1" w:lastRow="0" w:firstColumn="1" w:lastColumn="0" w:noHBand="0" w:noVBand="1"/>
          </w:tblPr>
          <w:tblGrid>
            <w:gridCol w:w="1048"/>
            <w:gridCol w:w="1095"/>
            <w:gridCol w:w="1229"/>
            <w:gridCol w:w="1162"/>
            <w:gridCol w:w="1095"/>
            <w:gridCol w:w="1095"/>
            <w:gridCol w:w="1191"/>
            <w:gridCol w:w="1095"/>
          </w:tblGrid>
          <w:tr w:rsidR="002924BD" w:rsidRPr="002924BD" w14:paraId="788D0B9D" w14:textId="77777777" w:rsidTr="000C17B9">
            <w:trPr>
              <w:tblHeader/>
              <w:jc w:val="center"/>
            </w:trPr>
            <w:tc>
              <w:tcPr>
                <w:tcW w:w="1260" w:type="dxa"/>
                <w:shd w:val="clear" w:color="auto" w:fill="1F4E79"/>
                <w:tcMar>
                  <w:top w:w="80" w:type="dxa"/>
                  <w:left w:w="80" w:type="dxa"/>
                  <w:bottom w:w="80" w:type="dxa"/>
                  <w:right w:w="80" w:type="dxa"/>
                </w:tcMar>
                <w:vAlign w:val="center"/>
              </w:tcPr>
              <w:p w14:paraId="5664952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Year</w:t>
                </w:r>
              </w:p>
            </w:tc>
            <w:tc>
              <w:tcPr>
                <w:tcW w:w="1260" w:type="dxa"/>
                <w:shd w:val="clear" w:color="auto" w:fill="1F4E79"/>
                <w:tcMar>
                  <w:top w:w="80" w:type="dxa"/>
                  <w:left w:w="80" w:type="dxa"/>
                  <w:bottom w:w="80" w:type="dxa"/>
                  <w:right w:w="80" w:type="dxa"/>
                </w:tcMar>
                <w:vAlign w:val="center"/>
              </w:tcPr>
              <w:p w14:paraId="6BBADCF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Cash flow (£000)</w:t>
                </w:r>
              </w:p>
            </w:tc>
            <w:tc>
              <w:tcPr>
                <w:tcW w:w="1260" w:type="dxa"/>
                <w:shd w:val="clear" w:color="auto" w:fill="1F4E79"/>
                <w:tcMar>
                  <w:top w:w="80" w:type="dxa"/>
                  <w:left w:w="80" w:type="dxa"/>
                  <w:bottom w:w="80" w:type="dxa"/>
                  <w:right w:w="80" w:type="dxa"/>
                </w:tcMar>
                <w:vAlign w:val="center"/>
              </w:tcPr>
              <w:p w14:paraId="7ABC143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Capital allowance (£000)</w:t>
                </w:r>
              </w:p>
            </w:tc>
            <w:tc>
              <w:tcPr>
                <w:tcW w:w="1260" w:type="dxa"/>
                <w:shd w:val="clear" w:color="auto" w:fill="1F4E79"/>
                <w:tcMar>
                  <w:top w:w="80" w:type="dxa"/>
                  <w:left w:w="80" w:type="dxa"/>
                  <w:bottom w:w="80" w:type="dxa"/>
                  <w:right w:w="80" w:type="dxa"/>
                </w:tcMar>
                <w:vAlign w:val="center"/>
              </w:tcPr>
              <w:p w14:paraId="1C5FB6F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Taxable profit (£000)</w:t>
                </w:r>
              </w:p>
            </w:tc>
            <w:tc>
              <w:tcPr>
                <w:tcW w:w="1260" w:type="dxa"/>
                <w:shd w:val="clear" w:color="auto" w:fill="1F4E79"/>
                <w:tcMar>
                  <w:top w:w="80" w:type="dxa"/>
                  <w:left w:w="80" w:type="dxa"/>
                  <w:bottom w:w="80" w:type="dxa"/>
                  <w:right w:w="80" w:type="dxa"/>
                </w:tcMar>
                <w:vAlign w:val="center"/>
              </w:tcPr>
              <w:p w14:paraId="1EFB758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Tax at 25% (£000)</w:t>
                </w:r>
              </w:p>
            </w:tc>
            <w:tc>
              <w:tcPr>
                <w:tcW w:w="1260" w:type="dxa"/>
                <w:shd w:val="clear" w:color="auto" w:fill="1F4E79"/>
                <w:tcMar>
                  <w:top w:w="80" w:type="dxa"/>
                  <w:left w:w="80" w:type="dxa"/>
                  <w:bottom w:w="80" w:type="dxa"/>
                  <w:right w:w="80" w:type="dxa"/>
                </w:tcMar>
                <w:vAlign w:val="center"/>
              </w:tcPr>
              <w:p w14:paraId="2FD98F2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After-tax cash flow (£000)</w:t>
                </w:r>
              </w:p>
            </w:tc>
            <w:tc>
              <w:tcPr>
                <w:tcW w:w="1260" w:type="dxa"/>
                <w:shd w:val="clear" w:color="auto" w:fill="1F4E79"/>
                <w:tcMar>
                  <w:top w:w="80" w:type="dxa"/>
                  <w:left w:w="80" w:type="dxa"/>
                  <w:bottom w:w="80" w:type="dxa"/>
                  <w:right w:w="80" w:type="dxa"/>
                </w:tcMar>
                <w:vAlign w:val="center"/>
              </w:tcPr>
              <w:p w14:paraId="4856428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Discount factor 5%</w:t>
                </w:r>
              </w:p>
            </w:tc>
            <w:tc>
              <w:tcPr>
                <w:tcW w:w="1260" w:type="dxa"/>
                <w:shd w:val="clear" w:color="auto" w:fill="1F4E79"/>
                <w:tcMar>
                  <w:top w:w="80" w:type="dxa"/>
                  <w:left w:w="80" w:type="dxa"/>
                  <w:bottom w:w="80" w:type="dxa"/>
                  <w:right w:w="80" w:type="dxa"/>
                </w:tcMar>
                <w:vAlign w:val="center"/>
              </w:tcPr>
              <w:p w14:paraId="30423F8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PV (£000)</w:t>
                </w:r>
              </w:p>
            </w:tc>
          </w:tr>
          <w:tr w:rsidR="002924BD" w:rsidRPr="002924BD" w14:paraId="7F75E389" w14:textId="77777777" w:rsidTr="000C17B9">
            <w:trPr>
              <w:jc w:val="center"/>
            </w:trPr>
            <w:tc>
              <w:tcPr>
                <w:tcW w:w="1260" w:type="dxa"/>
                <w:tcMar>
                  <w:top w:w="80" w:type="dxa"/>
                  <w:left w:w="80" w:type="dxa"/>
                  <w:bottom w:w="80" w:type="dxa"/>
                  <w:right w:w="80" w:type="dxa"/>
                </w:tcMar>
                <w:vAlign w:val="center"/>
              </w:tcPr>
              <w:p w14:paraId="56038EDA"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1</w:t>
                </w:r>
              </w:p>
            </w:tc>
            <w:tc>
              <w:tcPr>
                <w:tcW w:w="1260" w:type="dxa"/>
                <w:tcMar>
                  <w:top w:w="80" w:type="dxa"/>
                  <w:left w:w="80" w:type="dxa"/>
                  <w:bottom w:w="80" w:type="dxa"/>
                  <w:right w:w="80" w:type="dxa"/>
                </w:tcMar>
                <w:vAlign w:val="center"/>
              </w:tcPr>
              <w:p w14:paraId="618C34F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220.0</w:t>
                </w:r>
              </w:p>
            </w:tc>
            <w:tc>
              <w:tcPr>
                <w:tcW w:w="1260" w:type="dxa"/>
                <w:tcMar>
                  <w:top w:w="80" w:type="dxa"/>
                  <w:left w:w="80" w:type="dxa"/>
                  <w:bottom w:w="80" w:type="dxa"/>
                  <w:right w:w="80" w:type="dxa"/>
                </w:tcMar>
                <w:vAlign w:val="center"/>
              </w:tcPr>
              <w:p w14:paraId="5AD88D3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180.0</w:t>
                </w:r>
              </w:p>
            </w:tc>
            <w:tc>
              <w:tcPr>
                <w:tcW w:w="1260" w:type="dxa"/>
                <w:tcMar>
                  <w:top w:w="80" w:type="dxa"/>
                  <w:left w:w="80" w:type="dxa"/>
                  <w:bottom w:w="80" w:type="dxa"/>
                  <w:right w:w="80" w:type="dxa"/>
                </w:tcMar>
                <w:vAlign w:val="center"/>
              </w:tcPr>
              <w:p w14:paraId="40AD8A1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40.0</w:t>
                </w:r>
              </w:p>
            </w:tc>
            <w:tc>
              <w:tcPr>
                <w:tcW w:w="1260" w:type="dxa"/>
                <w:tcMar>
                  <w:top w:w="80" w:type="dxa"/>
                  <w:left w:w="80" w:type="dxa"/>
                  <w:bottom w:w="80" w:type="dxa"/>
                  <w:right w:w="80" w:type="dxa"/>
                </w:tcMar>
                <w:vAlign w:val="center"/>
              </w:tcPr>
              <w:p w14:paraId="5C9830E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10.0</w:t>
                </w:r>
              </w:p>
            </w:tc>
            <w:tc>
              <w:tcPr>
                <w:tcW w:w="1260" w:type="dxa"/>
                <w:tcMar>
                  <w:top w:w="80" w:type="dxa"/>
                  <w:left w:w="80" w:type="dxa"/>
                  <w:bottom w:w="80" w:type="dxa"/>
                  <w:right w:w="80" w:type="dxa"/>
                </w:tcMar>
                <w:vAlign w:val="center"/>
              </w:tcPr>
              <w:p w14:paraId="559A15B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210.0</w:t>
                </w:r>
              </w:p>
            </w:tc>
            <w:tc>
              <w:tcPr>
                <w:tcW w:w="1260" w:type="dxa"/>
                <w:tcMar>
                  <w:top w:w="80" w:type="dxa"/>
                  <w:left w:w="80" w:type="dxa"/>
                  <w:bottom w:w="80" w:type="dxa"/>
                  <w:right w:w="80" w:type="dxa"/>
                </w:tcMar>
                <w:vAlign w:val="center"/>
              </w:tcPr>
              <w:p w14:paraId="134005F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0.9524</w:t>
                </w:r>
              </w:p>
            </w:tc>
            <w:tc>
              <w:tcPr>
                <w:tcW w:w="1260" w:type="dxa"/>
                <w:tcMar>
                  <w:top w:w="80" w:type="dxa"/>
                  <w:left w:w="80" w:type="dxa"/>
                  <w:bottom w:w="80" w:type="dxa"/>
                  <w:right w:w="80" w:type="dxa"/>
                </w:tcMar>
                <w:vAlign w:val="center"/>
              </w:tcPr>
              <w:p w14:paraId="1A31B19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200.0</w:t>
                </w:r>
              </w:p>
            </w:tc>
          </w:tr>
          <w:tr w:rsidR="002924BD" w:rsidRPr="002924BD" w14:paraId="337E0FE4" w14:textId="77777777" w:rsidTr="000C17B9">
            <w:trPr>
              <w:jc w:val="center"/>
            </w:trPr>
            <w:tc>
              <w:tcPr>
                <w:tcW w:w="1260" w:type="dxa"/>
                <w:tcMar>
                  <w:top w:w="80" w:type="dxa"/>
                  <w:left w:w="80" w:type="dxa"/>
                  <w:bottom w:w="80" w:type="dxa"/>
                  <w:right w:w="80" w:type="dxa"/>
                </w:tcMar>
                <w:vAlign w:val="center"/>
              </w:tcPr>
              <w:p w14:paraId="68A6F322"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2</w:t>
                </w:r>
              </w:p>
            </w:tc>
            <w:tc>
              <w:tcPr>
                <w:tcW w:w="1260" w:type="dxa"/>
                <w:tcMar>
                  <w:top w:w="80" w:type="dxa"/>
                  <w:left w:w="80" w:type="dxa"/>
                  <w:bottom w:w="80" w:type="dxa"/>
                  <w:right w:w="80" w:type="dxa"/>
                </w:tcMar>
                <w:vAlign w:val="center"/>
              </w:tcPr>
              <w:p w14:paraId="67CA3CA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270.0</w:t>
                </w:r>
              </w:p>
            </w:tc>
            <w:tc>
              <w:tcPr>
                <w:tcW w:w="1260" w:type="dxa"/>
                <w:tcMar>
                  <w:top w:w="80" w:type="dxa"/>
                  <w:left w:w="80" w:type="dxa"/>
                  <w:bottom w:w="80" w:type="dxa"/>
                  <w:right w:w="80" w:type="dxa"/>
                </w:tcMar>
                <w:vAlign w:val="center"/>
              </w:tcPr>
              <w:p w14:paraId="54851886"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180.0</w:t>
                </w:r>
              </w:p>
            </w:tc>
            <w:tc>
              <w:tcPr>
                <w:tcW w:w="1260" w:type="dxa"/>
                <w:tcMar>
                  <w:top w:w="80" w:type="dxa"/>
                  <w:left w:w="80" w:type="dxa"/>
                  <w:bottom w:w="80" w:type="dxa"/>
                  <w:right w:w="80" w:type="dxa"/>
                </w:tcMar>
                <w:vAlign w:val="center"/>
              </w:tcPr>
              <w:p w14:paraId="110AA85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90.0</w:t>
                </w:r>
              </w:p>
            </w:tc>
            <w:tc>
              <w:tcPr>
                <w:tcW w:w="1260" w:type="dxa"/>
                <w:tcMar>
                  <w:top w:w="80" w:type="dxa"/>
                  <w:left w:w="80" w:type="dxa"/>
                  <w:bottom w:w="80" w:type="dxa"/>
                  <w:right w:w="80" w:type="dxa"/>
                </w:tcMar>
                <w:vAlign w:val="center"/>
              </w:tcPr>
              <w:p w14:paraId="60E80AE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22.5</w:t>
                </w:r>
              </w:p>
            </w:tc>
            <w:tc>
              <w:tcPr>
                <w:tcW w:w="1260" w:type="dxa"/>
                <w:tcMar>
                  <w:top w:w="80" w:type="dxa"/>
                  <w:left w:w="80" w:type="dxa"/>
                  <w:bottom w:w="80" w:type="dxa"/>
                  <w:right w:w="80" w:type="dxa"/>
                </w:tcMar>
                <w:vAlign w:val="center"/>
              </w:tcPr>
              <w:p w14:paraId="40F669A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247.5</w:t>
                </w:r>
              </w:p>
            </w:tc>
            <w:tc>
              <w:tcPr>
                <w:tcW w:w="1260" w:type="dxa"/>
                <w:tcMar>
                  <w:top w:w="80" w:type="dxa"/>
                  <w:left w:w="80" w:type="dxa"/>
                  <w:bottom w:w="80" w:type="dxa"/>
                  <w:right w:w="80" w:type="dxa"/>
                </w:tcMar>
                <w:vAlign w:val="center"/>
              </w:tcPr>
              <w:p w14:paraId="4840E91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0.9070</w:t>
                </w:r>
              </w:p>
            </w:tc>
            <w:tc>
              <w:tcPr>
                <w:tcW w:w="1260" w:type="dxa"/>
                <w:tcMar>
                  <w:top w:w="80" w:type="dxa"/>
                  <w:left w:w="80" w:type="dxa"/>
                  <w:bottom w:w="80" w:type="dxa"/>
                  <w:right w:w="80" w:type="dxa"/>
                </w:tcMar>
                <w:vAlign w:val="center"/>
              </w:tcPr>
              <w:p w14:paraId="7D39F52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224.5</w:t>
                </w:r>
              </w:p>
            </w:tc>
          </w:tr>
          <w:tr w:rsidR="002924BD" w:rsidRPr="002924BD" w14:paraId="01B515B0" w14:textId="77777777" w:rsidTr="000C17B9">
            <w:trPr>
              <w:jc w:val="center"/>
            </w:trPr>
            <w:tc>
              <w:tcPr>
                <w:tcW w:w="1260" w:type="dxa"/>
                <w:tcMar>
                  <w:top w:w="80" w:type="dxa"/>
                  <w:left w:w="80" w:type="dxa"/>
                  <w:bottom w:w="80" w:type="dxa"/>
                  <w:right w:w="80" w:type="dxa"/>
                </w:tcMar>
                <w:vAlign w:val="center"/>
              </w:tcPr>
              <w:p w14:paraId="06345EF2"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3</w:t>
                </w:r>
              </w:p>
            </w:tc>
            <w:tc>
              <w:tcPr>
                <w:tcW w:w="1260" w:type="dxa"/>
                <w:tcMar>
                  <w:top w:w="80" w:type="dxa"/>
                  <w:left w:w="80" w:type="dxa"/>
                  <w:bottom w:w="80" w:type="dxa"/>
                  <w:right w:w="80" w:type="dxa"/>
                </w:tcMar>
                <w:vAlign w:val="center"/>
              </w:tcPr>
              <w:p w14:paraId="222B177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350.0</w:t>
                </w:r>
              </w:p>
            </w:tc>
            <w:tc>
              <w:tcPr>
                <w:tcW w:w="1260" w:type="dxa"/>
                <w:tcMar>
                  <w:top w:w="80" w:type="dxa"/>
                  <w:left w:w="80" w:type="dxa"/>
                  <w:bottom w:w="80" w:type="dxa"/>
                  <w:right w:w="80" w:type="dxa"/>
                </w:tcMar>
                <w:vAlign w:val="center"/>
              </w:tcPr>
              <w:p w14:paraId="6A30413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180.0</w:t>
                </w:r>
              </w:p>
            </w:tc>
            <w:tc>
              <w:tcPr>
                <w:tcW w:w="1260" w:type="dxa"/>
                <w:tcMar>
                  <w:top w:w="80" w:type="dxa"/>
                  <w:left w:w="80" w:type="dxa"/>
                  <w:bottom w:w="80" w:type="dxa"/>
                  <w:right w:w="80" w:type="dxa"/>
                </w:tcMar>
                <w:vAlign w:val="center"/>
              </w:tcPr>
              <w:p w14:paraId="5842C70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170.0</w:t>
                </w:r>
              </w:p>
            </w:tc>
            <w:tc>
              <w:tcPr>
                <w:tcW w:w="1260" w:type="dxa"/>
                <w:tcMar>
                  <w:top w:w="80" w:type="dxa"/>
                  <w:left w:w="80" w:type="dxa"/>
                  <w:bottom w:w="80" w:type="dxa"/>
                  <w:right w:w="80" w:type="dxa"/>
                </w:tcMar>
                <w:vAlign w:val="center"/>
              </w:tcPr>
              <w:p w14:paraId="14DA2E8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42.5</w:t>
                </w:r>
              </w:p>
            </w:tc>
            <w:tc>
              <w:tcPr>
                <w:tcW w:w="1260" w:type="dxa"/>
                <w:tcMar>
                  <w:top w:w="80" w:type="dxa"/>
                  <w:left w:w="80" w:type="dxa"/>
                  <w:bottom w:w="80" w:type="dxa"/>
                  <w:right w:w="80" w:type="dxa"/>
                </w:tcMar>
                <w:vAlign w:val="center"/>
              </w:tcPr>
              <w:p w14:paraId="1138133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307.5</w:t>
                </w:r>
              </w:p>
            </w:tc>
            <w:tc>
              <w:tcPr>
                <w:tcW w:w="1260" w:type="dxa"/>
                <w:tcMar>
                  <w:top w:w="80" w:type="dxa"/>
                  <w:left w:w="80" w:type="dxa"/>
                  <w:bottom w:w="80" w:type="dxa"/>
                  <w:right w:w="80" w:type="dxa"/>
                </w:tcMar>
                <w:vAlign w:val="center"/>
              </w:tcPr>
              <w:p w14:paraId="2F44F4F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0.8638</w:t>
                </w:r>
              </w:p>
            </w:tc>
            <w:tc>
              <w:tcPr>
                <w:tcW w:w="1260" w:type="dxa"/>
                <w:tcMar>
                  <w:top w:w="80" w:type="dxa"/>
                  <w:left w:w="80" w:type="dxa"/>
                  <w:bottom w:w="80" w:type="dxa"/>
                  <w:right w:w="80" w:type="dxa"/>
                </w:tcMar>
                <w:vAlign w:val="center"/>
              </w:tcPr>
              <w:p w14:paraId="0376DAD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265.6</w:t>
                </w:r>
              </w:p>
            </w:tc>
          </w:tr>
          <w:tr w:rsidR="002924BD" w:rsidRPr="002924BD" w14:paraId="5417CE5C" w14:textId="77777777" w:rsidTr="000C17B9">
            <w:trPr>
              <w:jc w:val="center"/>
            </w:trPr>
            <w:tc>
              <w:tcPr>
                <w:tcW w:w="1260" w:type="dxa"/>
                <w:tcMar>
                  <w:top w:w="80" w:type="dxa"/>
                  <w:left w:w="80" w:type="dxa"/>
                  <w:bottom w:w="80" w:type="dxa"/>
                  <w:right w:w="80" w:type="dxa"/>
                </w:tcMar>
                <w:vAlign w:val="center"/>
              </w:tcPr>
              <w:p w14:paraId="1B0DB64A"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4</w:t>
                </w:r>
              </w:p>
            </w:tc>
            <w:tc>
              <w:tcPr>
                <w:tcW w:w="1260" w:type="dxa"/>
                <w:tcMar>
                  <w:top w:w="80" w:type="dxa"/>
                  <w:left w:w="80" w:type="dxa"/>
                  <w:bottom w:w="80" w:type="dxa"/>
                  <w:right w:w="80" w:type="dxa"/>
                </w:tcMar>
                <w:vAlign w:val="center"/>
              </w:tcPr>
              <w:p w14:paraId="7816F4F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400.0</w:t>
                </w:r>
              </w:p>
            </w:tc>
            <w:tc>
              <w:tcPr>
                <w:tcW w:w="1260" w:type="dxa"/>
                <w:tcMar>
                  <w:top w:w="80" w:type="dxa"/>
                  <w:left w:w="80" w:type="dxa"/>
                  <w:bottom w:w="80" w:type="dxa"/>
                  <w:right w:w="80" w:type="dxa"/>
                </w:tcMar>
                <w:vAlign w:val="center"/>
              </w:tcPr>
              <w:p w14:paraId="23BFE45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180.0</w:t>
                </w:r>
              </w:p>
            </w:tc>
            <w:tc>
              <w:tcPr>
                <w:tcW w:w="1260" w:type="dxa"/>
                <w:tcMar>
                  <w:top w:w="80" w:type="dxa"/>
                  <w:left w:w="80" w:type="dxa"/>
                  <w:bottom w:w="80" w:type="dxa"/>
                  <w:right w:w="80" w:type="dxa"/>
                </w:tcMar>
                <w:vAlign w:val="center"/>
              </w:tcPr>
              <w:p w14:paraId="13A8DF1D"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220.0</w:t>
                </w:r>
              </w:p>
            </w:tc>
            <w:tc>
              <w:tcPr>
                <w:tcW w:w="1260" w:type="dxa"/>
                <w:tcMar>
                  <w:top w:w="80" w:type="dxa"/>
                  <w:left w:w="80" w:type="dxa"/>
                  <w:bottom w:w="80" w:type="dxa"/>
                  <w:right w:w="80" w:type="dxa"/>
                </w:tcMar>
                <w:vAlign w:val="center"/>
              </w:tcPr>
              <w:p w14:paraId="508423C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55.0</w:t>
                </w:r>
              </w:p>
            </w:tc>
            <w:tc>
              <w:tcPr>
                <w:tcW w:w="1260" w:type="dxa"/>
                <w:tcMar>
                  <w:top w:w="80" w:type="dxa"/>
                  <w:left w:w="80" w:type="dxa"/>
                  <w:bottom w:w="80" w:type="dxa"/>
                  <w:right w:w="80" w:type="dxa"/>
                </w:tcMar>
                <w:vAlign w:val="center"/>
              </w:tcPr>
              <w:p w14:paraId="785CF3E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345.0</w:t>
                </w:r>
              </w:p>
            </w:tc>
            <w:tc>
              <w:tcPr>
                <w:tcW w:w="1260" w:type="dxa"/>
                <w:tcMar>
                  <w:top w:w="80" w:type="dxa"/>
                  <w:left w:w="80" w:type="dxa"/>
                  <w:bottom w:w="80" w:type="dxa"/>
                  <w:right w:w="80" w:type="dxa"/>
                </w:tcMar>
                <w:vAlign w:val="center"/>
              </w:tcPr>
              <w:p w14:paraId="210720F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0.8227</w:t>
                </w:r>
              </w:p>
            </w:tc>
            <w:tc>
              <w:tcPr>
                <w:tcW w:w="1260" w:type="dxa"/>
                <w:tcMar>
                  <w:top w:w="80" w:type="dxa"/>
                  <w:left w:w="80" w:type="dxa"/>
                  <w:bottom w:w="80" w:type="dxa"/>
                  <w:right w:w="80" w:type="dxa"/>
                </w:tcMar>
                <w:vAlign w:val="center"/>
              </w:tcPr>
              <w:p w14:paraId="2987A6D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283.8</w:t>
                </w:r>
              </w:p>
            </w:tc>
          </w:tr>
        </w:tbl>
        <w:p w14:paraId="305473DE"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PV of after-tax cash flows = £973.9k; less initial investment of £900k; NPV = £73.9k.</w:t>
          </w:r>
        </w:p>
        <w:p w14:paraId="32EDDA53" w14:textId="77777777" w:rsidR="002924BD" w:rsidRPr="002924BD" w:rsidRDefault="002924BD" w:rsidP="002924BD">
          <w:pPr>
            <w:pStyle w:val="Heading2"/>
            <w:spacing w:before="160" w:after="120"/>
            <w:rPr>
              <w:rFonts w:ascii="Times New Roman" w:hAnsi="Times New Roman" w:cs="Times New Roman"/>
              <w:sz w:val="28"/>
              <w:szCs w:val="28"/>
            </w:rPr>
          </w:pPr>
          <w:bookmarkStart w:id="53" w:name="_Toc227528933"/>
          <w:bookmarkStart w:id="54" w:name="_Toc227530779"/>
          <w:r w:rsidRPr="002924BD">
            <w:rPr>
              <w:rFonts w:ascii="Times New Roman" w:hAnsi="Times New Roman" w:cs="Times New Roman"/>
              <w:sz w:val="28"/>
              <w:szCs w:val="28"/>
            </w:rPr>
            <w:t>C: Purses and wallets</w:t>
          </w:r>
          <w:bookmarkEnd w:id="53"/>
          <w:bookmarkEnd w:id="54"/>
        </w:p>
        <w:tbl>
          <w:tblPr>
            <w:tblW w:w="0" w:type="auto"/>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A0" w:firstRow="1" w:lastRow="0" w:firstColumn="1" w:lastColumn="0" w:noHBand="0" w:noVBand="1"/>
          </w:tblPr>
          <w:tblGrid>
            <w:gridCol w:w="1048"/>
            <w:gridCol w:w="1095"/>
            <w:gridCol w:w="1229"/>
            <w:gridCol w:w="1162"/>
            <w:gridCol w:w="1095"/>
            <w:gridCol w:w="1095"/>
            <w:gridCol w:w="1191"/>
            <w:gridCol w:w="1095"/>
          </w:tblGrid>
          <w:tr w:rsidR="002924BD" w:rsidRPr="002924BD" w14:paraId="0520DAC9" w14:textId="77777777" w:rsidTr="000C17B9">
            <w:trPr>
              <w:tblHeader/>
              <w:jc w:val="center"/>
            </w:trPr>
            <w:tc>
              <w:tcPr>
                <w:tcW w:w="1260" w:type="dxa"/>
                <w:shd w:val="clear" w:color="auto" w:fill="1F4E79"/>
                <w:tcMar>
                  <w:top w:w="80" w:type="dxa"/>
                  <w:left w:w="80" w:type="dxa"/>
                  <w:bottom w:w="80" w:type="dxa"/>
                  <w:right w:w="80" w:type="dxa"/>
                </w:tcMar>
                <w:vAlign w:val="center"/>
              </w:tcPr>
              <w:p w14:paraId="69DD715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Year</w:t>
                </w:r>
              </w:p>
            </w:tc>
            <w:tc>
              <w:tcPr>
                <w:tcW w:w="1260" w:type="dxa"/>
                <w:shd w:val="clear" w:color="auto" w:fill="1F4E79"/>
                <w:tcMar>
                  <w:top w:w="80" w:type="dxa"/>
                  <w:left w:w="80" w:type="dxa"/>
                  <w:bottom w:w="80" w:type="dxa"/>
                  <w:right w:w="80" w:type="dxa"/>
                </w:tcMar>
                <w:vAlign w:val="center"/>
              </w:tcPr>
              <w:p w14:paraId="6F52634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Cash flow (£000)</w:t>
                </w:r>
              </w:p>
            </w:tc>
            <w:tc>
              <w:tcPr>
                <w:tcW w:w="1260" w:type="dxa"/>
                <w:shd w:val="clear" w:color="auto" w:fill="1F4E79"/>
                <w:tcMar>
                  <w:top w:w="80" w:type="dxa"/>
                  <w:left w:w="80" w:type="dxa"/>
                  <w:bottom w:w="80" w:type="dxa"/>
                  <w:right w:w="80" w:type="dxa"/>
                </w:tcMar>
                <w:vAlign w:val="center"/>
              </w:tcPr>
              <w:p w14:paraId="46B8B0D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Capital allowance (£000)</w:t>
                </w:r>
              </w:p>
            </w:tc>
            <w:tc>
              <w:tcPr>
                <w:tcW w:w="1260" w:type="dxa"/>
                <w:shd w:val="clear" w:color="auto" w:fill="1F4E79"/>
                <w:tcMar>
                  <w:top w:w="80" w:type="dxa"/>
                  <w:left w:w="80" w:type="dxa"/>
                  <w:bottom w:w="80" w:type="dxa"/>
                  <w:right w:w="80" w:type="dxa"/>
                </w:tcMar>
                <w:vAlign w:val="center"/>
              </w:tcPr>
              <w:p w14:paraId="36649AD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Taxable profit (£000)</w:t>
                </w:r>
              </w:p>
            </w:tc>
            <w:tc>
              <w:tcPr>
                <w:tcW w:w="1260" w:type="dxa"/>
                <w:shd w:val="clear" w:color="auto" w:fill="1F4E79"/>
                <w:tcMar>
                  <w:top w:w="80" w:type="dxa"/>
                  <w:left w:w="80" w:type="dxa"/>
                  <w:bottom w:w="80" w:type="dxa"/>
                  <w:right w:w="80" w:type="dxa"/>
                </w:tcMar>
                <w:vAlign w:val="center"/>
              </w:tcPr>
              <w:p w14:paraId="4C95248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Tax at 25% (£000)</w:t>
                </w:r>
              </w:p>
            </w:tc>
            <w:tc>
              <w:tcPr>
                <w:tcW w:w="1260" w:type="dxa"/>
                <w:shd w:val="clear" w:color="auto" w:fill="1F4E79"/>
                <w:tcMar>
                  <w:top w:w="80" w:type="dxa"/>
                  <w:left w:w="80" w:type="dxa"/>
                  <w:bottom w:w="80" w:type="dxa"/>
                  <w:right w:w="80" w:type="dxa"/>
                </w:tcMar>
                <w:vAlign w:val="center"/>
              </w:tcPr>
              <w:p w14:paraId="10A7945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After-tax cash flow (£000)</w:t>
                </w:r>
              </w:p>
            </w:tc>
            <w:tc>
              <w:tcPr>
                <w:tcW w:w="1260" w:type="dxa"/>
                <w:shd w:val="clear" w:color="auto" w:fill="1F4E79"/>
                <w:tcMar>
                  <w:top w:w="80" w:type="dxa"/>
                  <w:left w:w="80" w:type="dxa"/>
                  <w:bottom w:w="80" w:type="dxa"/>
                  <w:right w:w="80" w:type="dxa"/>
                </w:tcMar>
                <w:vAlign w:val="center"/>
              </w:tcPr>
              <w:p w14:paraId="07F23E5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Discount factor 5%</w:t>
                </w:r>
              </w:p>
            </w:tc>
            <w:tc>
              <w:tcPr>
                <w:tcW w:w="1260" w:type="dxa"/>
                <w:shd w:val="clear" w:color="auto" w:fill="1F4E79"/>
                <w:tcMar>
                  <w:top w:w="80" w:type="dxa"/>
                  <w:left w:w="80" w:type="dxa"/>
                  <w:bottom w:w="80" w:type="dxa"/>
                  <w:right w:w="80" w:type="dxa"/>
                </w:tcMar>
                <w:vAlign w:val="center"/>
              </w:tcPr>
              <w:p w14:paraId="734DA78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PV (£000)</w:t>
                </w:r>
              </w:p>
            </w:tc>
          </w:tr>
          <w:tr w:rsidR="002924BD" w:rsidRPr="002924BD" w14:paraId="647BF4B3" w14:textId="77777777" w:rsidTr="000C17B9">
            <w:trPr>
              <w:jc w:val="center"/>
            </w:trPr>
            <w:tc>
              <w:tcPr>
                <w:tcW w:w="1260" w:type="dxa"/>
                <w:tcMar>
                  <w:top w:w="80" w:type="dxa"/>
                  <w:left w:w="80" w:type="dxa"/>
                  <w:bottom w:w="80" w:type="dxa"/>
                  <w:right w:w="80" w:type="dxa"/>
                </w:tcMar>
                <w:vAlign w:val="center"/>
              </w:tcPr>
              <w:p w14:paraId="58760458"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1</w:t>
                </w:r>
              </w:p>
            </w:tc>
            <w:tc>
              <w:tcPr>
                <w:tcW w:w="1260" w:type="dxa"/>
                <w:tcMar>
                  <w:top w:w="80" w:type="dxa"/>
                  <w:left w:w="80" w:type="dxa"/>
                  <w:bottom w:w="80" w:type="dxa"/>
                  <w:right w:w="80" w:type="dxa"/>
                </w:tcMar>
                <w:vAlign w:val="center"/>
              </w:tcPr>
              <w:p w14:paraId="42918E1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250.0</w:t>
                </w:r>
              </w:p>
            </w:tc>
            <w:tc>
              <w:tcPr>
                <w:tcW w:w="1260" w:type="dxa"/>
                <w:tcMar>
                  <w:top w:w="80" w:type="dxa"/>
                  <w:left w:w="80" w:type="dxa"/>
                  <w:bottom w:w="80" w:type="dxa"/>
                  <w:right w:w="80" w:type="dxa"/>
                </w:tcMar>
                <w:vAlign w:val="center"/>
              </w:tcPr>
              <w:p w14:paraId="650403C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200.0</w:t>
                </w:r>
              </w:p>
            </w:tc>
            <w:tc>
              <w:tcPr>
                <w:tcW w:w="1260" w:type="dxa"/>
                <w:tcMar>
                  <w:top w:w="80" w:type="dxa"/>
                  <w:left w:w="80" w:type="dxa"/>
                  <w:bottom w:w="80" w:type="dxa"/>
                  <w:right w:w="80" w:type="dxa"/>
                </w:tcMar>
                <w:vAlign w:val="center"/>
              </w:tcPr>
              <w:p w14:paraId="6612E9A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50.0</w:t>
                </w:r>
              </w:p>
            </w:tc>
            <w:tc>
              <w:tcPr>
                <w:tcW w:w="1260" w:type="dxa"/>
                <w:tcMar>
                  <w:top w:w="80" w:type="dxa"/>
                  <w:left w:w="80" w:type="dxa"/>
                  <w:bottom w:w="80" w:type="dxa"/>
                  <w:right w:w="80" w:type="dxa"/>
                </w:tcMar>
                <w:vAlign w:val="center"/>
              </w:tcPr>
              <w:p w14:paraId="7E9B64A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12.5</w:t>
                </w:r>
              </w:p>
            </w:tc>
            <w:tc>
              <w:tcPr>
                <w:tcW w:w="1260" w:type="dxa"/>
                <w:tcMar>
                  <w:top w:w="80" w:type="dxa"/>
                  <w:left w:w="80" w:type="dxa"/>
                  <w:bottom w:w="80" w:type="dxa"/>
                  <w:right w:w="80" w:type="dxa"/>
                </w:tcMar>
                <w:vAlign w:val="center"/>
              </w:tcPr>
              <w:p w14:paraId="2A70DCC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237.5</w:t>
                </w:r>
              </w:p>
            </w:tc>
            <w:tc>
              <w:tcPr>
                <w:tcW w:w="1260" w:type="dxa"/>
                <w:tcMar>
                  <w:top w:w="80" w:type="dxa"/>
                  <w:left w:w="80" w:type="dxa"/>
                  <w:bottom w:w="80" w:type="dxa"/>
                  <w:right w:w="80" w:type="dxa"/>
                </w:tcMar>
                <w:vAlign w:val="center"/>
              </w:tcPr>
              <w:p w14:paraId="46D22857"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0.9524</w:t>
                </w:r>
              </w:p>
            </w:tc>
            <w:tc>
              <w:tcPr>
                <w:tcW w:w="1260" w:type="dxa"/>
                <w:tcMar>
                  <w:top w:w="80" w:type="dxa"/>
                  <w:left w:w="80" w:type="dxa"/>
                  <w:bottom w:w="80" w:type="dxa"/>
                  <w:right w:w="80" w:type="dxa"/>
                </w:tcMar>
                <w:vAlign w:val="center"/>
              </w:tcPr>
              <w:p w14:paraId="076262F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226.2</w:t>
                </w:r>
              </w:p>
            </w:tc>
          </w:tr>
          <w:tr w:rsidR="002924BD" w:rsidRPr="002924BD" w14:paraId="21F2D575" w14:textId="77777777" w:rsidTr="000C17B9">
            <w:trPr>
              <w:jc w:val="center"/>
            </w:trPr>
            <w:tc>
              <w:tcPr>
                <w:tcW w:w="1260" w:type="dxa"/>
                <w:tcMar>
                  <w:top w:w="80" w:type="dxa"/>
                  <w:left w:w="80" w:type="dxa"/>
                  <w:bottom w:w="80" w:type="dxa"/>
                  <w:right w:w="80" w:type="dxa"/>
                </w:tcMar>
                <w:vAlign w:val="center"/>
              </w:tcPr>
              <w:p w14:paraId="026755BE"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2</w:t>
                </w:r>
              </w:p>
            </w:tc>
            <w:tc>
              <w:tcPr>
                <w:tcW w:w="1260" w:type="dxa"/>
                <w:tcMar>
                  <w:top w:w="80" w:type="dxa"/>
                  <w:left w:w="80" w:type="dxa"/>
                  <w:bottom w:w="80" w:type="dxa"/>
                  <w:right w:w="80" w:type="dxa"/>
                </w:tcMar>
                <w:vAlign w:val="center"/>
              </w:tcPr>
              <w:p w14:paraId="5150FDE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310.0</w:t>
                </w:r>
              </w:p>
            </w:tc>
            <w:tc>
              <w:tcPr>
                <w:tcW w:w="1260" w:type="dxa"/>
                <w:tcMar>
                  <w:top w:w="80" w:type="dxa"/>
                  <w:left w:w="80" w:type="dxa"/>
                  <w:bottom w:w="80" w:type="dxa"/>
                  <w:right w:w="80" w:type="dxa"/>
                </w:tcMar>
                <w:vAlign w:val="center"/>
              </w:tcPr>
              <w:p w14:paraId="2B29D41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200.0</w:t>
                </w:r>
              </w:p>
            </w:tc>
            <w:tc>
              <w:tcPr>
                <w:tcW w:w="1260" w:type="dxa"/>
                <w:tcMar>
                  <w:top w:w="80" w:type="dxa"/>
                  <w:left w:w="80" w:type="dxa"/>
                  <w:bottom w:w="80" w:type="dxa"/>
                  <w:right w:w="80" w:type="dxa"/>
                </w:tcMar>
                <w:vAlign w:val="center"/>
              </w:tcPr>
              <w:p w14:paraId="7EB9B41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110.0</w:t>
                </w:r>
              </w:p>
            </w:tc>
            <w:tc>
              <w:tcPr>
                <w:tcW w:w="1260" w:type="dxa"/>
                <w:tcMar>
                  <w:top w:w="80" w:type="dxa"/>
                  <w:left w:w="80" w:type="dxa"/>
                  <w:bottom w:w="80" w:type="dxa"/>
                  <w:right w:w="80" w:type="dxa"/>
                </w:tcMar>
                <w:vAlign w:val="center"/>
              </w:tcPr>
              <w:p w14:paraId="353FCD39"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27.5</w:t>
                </w:r>
              </w:p>
            </w:tc>
            <w:tc>
              <w:tcPr>
                <w:tcW w:w="1260" w:type="dxa"/>
                <w:tcMar>
                  <w:top w:w="80" w:type="dxa"/>
                  <w:left w:w="80" w:type="dxa"/>
                  <w:bottom w:w="80" w:type="dxa"/>
                  <w:right w:w="80" w:type="dxa"/>
                </w:tcMar>
                <w:vAlign w:val="center"/>
              </w:tcPr>
              <w:p w14:paraId="6BB0D3F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282.5</w:t>
                </w:r>
              </w:p>
            </w:tc>
            <w:tc>
              <w:tcPr>
                <w:tcW w:w="1260" w:type="dxa"/>
                <w:tcMar>
                  <w:top w:w="80" w:type="dxa"/>
                  <w:left w:w="80" w:type="dxa"/>
                  <w:bottom w:w="80" w:type="dxa"/>
                  <w:right w:w="80" w:type="dxa"/>
                </w:tcMar>
                <w:vAlign w:val="center"/>
              </w:tcPr>
              <w:p w14:paraId="79C0261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0.9070</w:t>
                </w:r>
              </w:p>
            </w:tc>
            <w:tc>
              <w:tcPr>
                <w:tcW w:w="1260" w:type="dxa"/>
                <w:tcMar>
                  <w:top w:w="80" w:type="dxa"/>
                  <w:left w:w="80" w:type="dxa"/>
                  <w:bottom w:w="80" w:type="dxa"/>
                  <w:right w:w="80" w:type="dxa"/>
                </w:tcMar>
                <w:vAlign w:val="center"/>
              </w:tcPr>
              <w:p w14:paraId="5B81E9CA"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256.2</w:t>
                </w:r>
              </w:p>
            </w:tc>
          </w:tr>
          <w:tr w:rsidR="002924BD" w:rsidRPr="002924BD" w14:paraId="6637C235" w14:textId="77777777" w:rsidTr="000C17B9">
            <w:trPr>
              <w:jc w:val="center"/>
            </w:trPr>
            <w:tc>
              <w:tcPr>
                <w:tcW w:w="1260" w:type="dxa"/>
                <w:tcMar>
                  <w:top w:w="80" w:type="dxa"/>
                  <w:left w:w="80" w:type="dxa"/>
                  <w:bottom w:w="80" w:type="dxa"/>
                  <w:right w:w="80" w:type="dxa"/>
                </w:tcMar>
                <w:vAlign w:val="center"/>
              </w:tcPr>
              <w:p w14:paraId="7BF3B2A1"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3</w:t>
                </w:r>
              </w:p>
            </w:tc>
            <w:tc>
              <w:tcPr>
                <w:tcW w:w="1260" w:type="dxa"/>
                <w:tcMar>
                  <w:top w:w="80" w:type="dxa"/>
                  <w:left w:w="80" w:type="dxa"/>
                  <w:bottom w:w="80" w:type="dxa"/>
                  <w:right w:w="80" w:type="dxa"/>
                </w:tcMar>
                <w:vAlign w:val="center"/>
              </w:tcPr>
              <w:p w14:paraId="4F18D57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400.0</w:t>
                </w:r>
              </w:p>
            </w:tc>
            <w:tc>
              <w:tcPr>
                <w:tcW w:w="1260" w:type="dxa"/>
                <w:tcMar>
                  <w:top w:w="80" w:type="dxa"/>
                  <w:left w:w="80" w:type="dxa"/>
                  <w:bottom w:w="80" w:type="dxa"/>
                  <w:right w:w="80" w:type="dxa"/>
                </w:tcMar>
                <w:vAlign w:val="center"/>
              </w:tcPr>
              <w:p w14:paraId="06C2A76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200.0</w:t>
                </w:r>
              </w:p>
            </w:tc>
            <w:tc>
              <w:tcPr>
                <w:tcW w:w="1260" w:type="dxa"/>
                <w:tcMar>
                  <w:top w:w="80" w:type="dxa"/>
                  <w:left w:w="80" w:type="dxa"/>
                  <w:bottom w:w="80" w:type="dxa"/>
                  <w:right w:w="80" w:type="dxa"/>
                </w:tcMar>
                <w:vAlign w:val="center"/>
              </w:tcPr>
              <w:p w14:paraId="749DCEF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200.0</w:t>
                </w:r>
              </w:p>
            </w:tc>
            <w:tc>
              <w:tcPr>
                <w:tcW w:w="1260" w:type="dxa"/>
                <w:tcMar>
                  <w:top w:w="80" w:type="dxa"/>
                  <w:left w:w="80" w:type="dxa"/>
                  <w:bottom w:w="80" w:type="dxa"/>
                  <w:right w:w="80" w:type="dxa"/>
                </w:tcMar>
                <w:vAlign w:val="center"/>
              </w:tcPr>
              <w:p w14:paraId="651A002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50.0</w:t>
                </w:r>
              </w:p>
            </w:tc>
            <w:tc>
              <w:tcPr>
                <w:tcW w:w="1260" w:type="dxa"/>
                <w:tcMar>
                  <w:top w:w="80" w:type="dxa"/>
                  <w:left w:w="80" w:type="dxa"/>
                  <w:bottom w:w="80" w:type="dxa"/>
                  <w:right w:w="80" w:type="dxa"/>
                </w:tcMar>
                <w:vAlign w:val="center"/>
              </w:tcPr>
              <w:p w14:paraId="3184759E"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350.0</w:t>
                </w:r>
              </w:p>
            </w:tc>
            <w:tc>
              <w:tcPr>
                <w:tcW w:w="1260" w:type="dxa"/>
                <w:tcMar>
                  <w:top w:w="80" w:type="dxa"/>
                  <w:left w:w="80" w:type="dxa"/>
                  <w:bottom w:w="80" w:type="dxa"/>
                  <w:right w:w="80" w:type="dxa"/>
                </w:tcMar>
                <w:vAlign w:val="center"/>
              </w:tcPr>
              <w:p w14:paraId="41A0F0A3"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0.8638</w:t>
                </w:r>
              </w:p>
            </w:tc>
            <w:tc>
              <w:tcPr>
                <w:tcW w:w="1260" w:type="dxa"/>
                <w:tcMar>
                  <w:top w:w="80" w:type="dxa"/>
                  <w:left w:w="80" w:type="dxa"/>
                  <w:bottom w:w="80" w:type="dxa"/>
                  <w:right w:w="80" w:type="dxa"/>
                </w:tcMar>
                <w:vAlign w:val="center"/>
              </w:tcPr>
              <w:p w14:paraId="563C669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302.3</w:t>
                </w:r>
              </w:p>
            </w:tc>
          </w:tr>
          <w:tr w:rsidR="002924BD" w:rsidRPr="002924BD" w14:paraId="22A1EC3B" w14:textId="77777777" w:rsidTr="000C17B9">
            <w:trPr>
              <w:jc w:val="center"/>
            </w:trPr>
            <w:tc>
              <w:tcPr>
                <w:tcW w:w="1260" w:type="dxa"/>
                <w:tcMar>
                  <w:top w:w="80" w:type="dxa"/>
                  <w:left w:w="80" w:type="dxa"/>
                  <w:bottom w:w="80" w:type="dxa"/>
                  <w:right w:w="80" w:type="dxa"/>
                </w:tcMar>
                <w:vAlign w:val="center"/>
              </w:tcPr>
              <w:p w14:paraId="04225CED"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4</w:t>
                </w:r>
              </w:p>
            </w:tc>
            <w:tc>
              <w:tcPr>
                <w:tcW w:w="1260" w:type="dxa"/>
                <w:tcMar>
                  <w:top w:w="80" w:type="dxa"/>
                  <w:left w:w="80" w:type="dxa"/>
                  <w:bottom w:w="80" w:type="dxa"/>
                  <w:right w:w="80" w:type="dxa"/>
                </w:tcMar>
                <w:vAlign w:val="center"/>
              </w:tcPr>
              <w:p w14:paraId="35539244"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430.0</w:t>
                </w:r>
              </w:p>
            </w:tc>
            <w:tc>
              <w:tcPr>
                <w:tcW w:w="1260" w:type="dxa"/>
                <w:tcMar>
                  <w:top w:w="80" w:type="dxa"/>
                  <w:left w:w="80" w:type="dxa"/>
                  <w:bottom w:w="80" w:type="dxa"/>
                  <w:right w:w="80" w:type="dxa"/>
                </w:tcMar>
                <w:vAlign w:val="center"/>
              </w:tcPr>
              <w:p w14:paraId="621F0DF2"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200.0</w:t>
                </w:r>
              </w:p>
            </w:tc>
            <w:tc>
              <w:tcPr>
                <w:tcW w:w="1260" w:type="dxa"/>
                <w:tcMar>
                  <w:top w:w="80" w:type="dxa"/>
                  <w:left w:w="80" w:type="dxa"/>
                  <w:bottom w:w="80" w:type="dxa"/>
                  <w:right w:w="80" w:type="dxa"/>
                </w:tcMar>
                <w:vAlign w:val="center"/>
              </w:tcPr>
              <w:p w14:paraId="5C66F58C"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230.0</w:t>
                </w:r>
              </w:p>
            </w:tc>
            <w:tc>
              <w:tcPr>
                <w:tcW w:w="1260" w:type="dxa"/>
                <w:tcMar>
                  <w:top w:w="80" w:type="dxa"/>
                  <w:left w:w="80" w:type="dxa"/>
                  <w:bottom w:w="80" w:type="dxa"/>
                  <w:right w:w="80" w:type="dxa"/>
                </w:tcMar>
                <w:vAlign w:val="center"/>
              </w:tcPr>
              <w:p w14:paraId="74E6E6A1"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57.5</w:t>
                </w:r>
              </w:p>
            </w:tc>
            <w:tc>
              <w:tcPr>
                <w:tcW w:w="1260" w:type="dxa"/>
                <w:tcMar>
                  <w:top w:w="80" w:type="dxa"/>
                  <w:left w:w="80" w:type="dxa"/>
                  <w:bottom w:w="80" w:type="dxa"/>
                  <w:right w:w="80" w:type="dxa"/>
                </w:tcMar>
                <w:vAlign w:val="center"/>
              </w:tcPr>
              <w:p w14:paraId="592AA878"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372.5</w:t>
                </w:r>
              </w:p>
            </w:tc>
            <w:tc>
              <w:tcPr>
                <w:tcW w:w="1260" w:type="dxa"/>
                <w:tcMar>
                  <w:top w:w="80" w:type="dxa"/>
                  <w:left w:w="80" w:type="dxa"/>
                  <w:bottom w:w="80" w:type="dxa"/>
                  <w:right w:w="80" w:type="dxa"/>
                </w:tcMar>
                <w:vAlign w:val="center"/>
              </w:tcPr>
              <w:p w14:paraId="548DF8B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0.8227</w:t>
                </w:r>
              </w:p>
            </w:tc>
            <w:tc>
              <w:tcPr>
                <w:tcW w:w="1260" w:type="dxa"/>
                <w:tcMar>
                  <w:top w:w="80" w:type="dxa"/>
                  <w:left w:w="80" w:type="dxa"/>
                  <w:bottom w:w="80" w:type="dxa"/>
                  <w:right w:w="80" w:type="dxa"/>
                </w:tcMar>
                <w:vAlign w:val="center"/>
              </w:tcPr>
              <w:p w14:paraId="658B0DEB"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306.5</w:t>
                </w:r>
              </w:p>
            </w:tc>
          </w:tr>
        </w:tbl>
        <w:p w14:paraId="38F05093"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PV of after-tax cash flows = £1,091.2k; less initial investment of £1,000k; NPV = £91.2k.</w:t>
          </w:r>
        </w:p>
        <w:p w14:paraId="764FF9A1" w14:textId="77777777" w:rsidR="002924BD" w:rsidRPr="002924BD" w:rsidRDefault="002924BD" w:rsidP="002924BD">
          <w:pPr>
            <w:pStyle w:val="Heading2"/>
            <w:spacing w:before="160" w:after="120"/>
            <w:rPr>
              <w:rFonts w:ascii="Times New Roman" w:hAnsi="Times New Roman" w:cs="Times New Roman"/>
              <w:sz w:val="28"/>
              <w:szCs w:val="28"/>
            </w:rPr>
          </w:pPr>
          <w:bookmarkStart w:id="55" w:name="_Toc227528934"/>
          <w:bookmarkStart w:id="56" w:name="_Toc227530780"/>
          <w:r w:rsidRPr="002924BD">
            <w:rPr>
              <w:rFonts w:ascii="Times New Roman" w:hAnsi="Times New Roman" w:cs="Times New Roman"/>
              <w:sz w:val="28"/>
              <w:szCs w:val="28"/>
            </w:rPr>
            <w:t>IRR interpolation for Option C</w:t>
          </w:r>
          <w:bookmarkEnd w:id="55"/>
          <w:bookmarkEnd w:id="56"/>
        </w:p>
        <w:tbl>
          <w:tblPr>
            <w:tblW w:w="0" w:type="auto"/>
            <w:jc w:val="center"/>
            <w:tblBorders>
              <w:top w:val="single" w:sz="6" w:space="0" w:color="D9E2F3"/>
              <w:left w:val="single" w:sz="6" w:space="0" w:color="D9E2F3"/>
              <w:bottom w:val="single" w:sz="6" w:space="0" w:color="D9E2F3"/>
              <w:right w:val="single" w:sz="6" w:space="0" w:color="D9E2F3"/>
              <w:insideH w:val="single" w:sz="6" w:space="0" w:color="D9E2F3"/>
              <w:insideV w:val="single" w:sz="6" w:space="0" w:color="D9E2F3"/>
            </w:tblBorders>
            <w:tblLook w:val="04A0" w:firstRow="1" w:lastRow="0" w:firstColumn="1" w:lastColumn="0" w:noHBand="0" w:noVBand="1"/>
          </w:tblPr>
          <w:tblGrid>
            <w:gridCol w:w="4536"/>
            <w:gridCol w:w="4474"/>
          </w:tblGrid>
          <w:tr w:rsidR="002924BD" w:rsidRPr="002924BD" w14:paraId="49B27898" w14:textId="77777777" w:rsidTr="000C17B9">
            <w:trPr>
              <w:tblHeader/>
              <w:jc w:val="center"/>
            </w:trPr>
            <w:tc>
              <w:tcPr>
                <w:tcW w:w="5040" w:type="dxa"/>
                <w:shd w:val="clear" w:color="auto" w:fill="1F4E79"/>
                <w:tcMar>
                  <w:top w:w="80" w:type="dxa"/>
                  <w:left w:w="80" w:type="dxa"/>
                  <w:bottom w:w="80" w:type="dxa"/>
                  <w:right w:w="80" w:type="dxa"/>
                </w:tcMar>
                <w:vAlign w:val="center"/>
              </w:tcPr>
              <w:p w14:paraId="75289AB5"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Rate</w:t>
                </w:r>
              </w:p>
            </w:tc>
            <w:tc>
              <w:tcPr>
                <w:tcW w:w="5040" w:type="dxa"/>
                <w:shd w:val="clear" w:color="auto" w:fill="1F4E79"/>
                <w:tcMar>
                  <w:top w:w="80" w:type="dxa"/>
                  <w:left w:w="80" w:type="dxa"/>
                  <w:bottom w:w="80" w:type="dxa"/>
                  <w:right w:w="80" w:type="dxa"/>
                </w:tcMar>
                <w:vAlign w:val="center"/>
              </w:tcPr>
              <w:p w14:paraId="31C4104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b/>
                    <w:color w:val="FFFFFF"/>
                    <w:sz w:val="24"/>
                    <w:szCs w:val="24"/>
                  </w:rPr>
                  <w:t>NPV for Option C</w:t>
                </w:r>
              </w:p>
            </w:tc>
          </w:tr>
          <w:tr w:rsidR="002924BD" w:rsidRPr="002924BD" w14:paraId="473A58CD" w14:textId="77777777" w:rsidTr="000C17B9">
            <w:trPr>
              <w:jc w:val="center"/>
            </w:trPr>
            <w:tc>
              <w:tcPr>
                <w:tcW w:w="5040" w:type="dxa"/>
                <w:tcMar>
                  <w:top w:w="80" w:type="dxa"/>
                  <w:left w:w="80" w:type="dxa"/>
                  <w:bottom w:w="80" w:type="dxa"/>
                  <w:right w:w="80" w:type="dxa"/>
                </w:tcMar>
                <w:vAlign w:val="center"/>
              </w:tcPr>
              <w:p w14:paraId="5EC94D83"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8%</w:t>
                </w:r>
              </w:p>
            </w:tc>
            <w:tc>
              <w:tcPr>
                <w:tcW w:w="5040" w:type="dxa"/>
                <w:tcMar>
                  <w:top w:w="80" w:type="dxa"/>
                  <w:left w:w="80" w:type="dxa"/>
                  <w:bottom w:w="80" w:type="dxa"/>
                  <w:right w:w="80" w:type="dxa"/>
                </w:tcMar>
                <w:vAlign w:val="center"/>
              </w:tcPr>
              <w:p w14:paraId="6BAF82D0"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£13,746</w:t>
                </w:r>
              </w:p>
            </w:tc>
          </w:tr>
          <w:tr w:rsidR="002924BD" w:rsidRPr="002924BD" w14:paraId="2FCC255A" w14:textId="77777777" w:rsidTr="000C17B9">
            <w:trPr>
              <w:jc w:val="center"/>
            </w:trPr>
            <w:tc>
              <w:tcPr>
                <w:tcW w:w="5040" w:type="dxa"/>
                <w:tcMar>
                  <w:top w:w="80" w:type="dxa"/>
                  <w:left w:w="80" w:type="dxa"/>
                  <w:bottom w:w="80" w:type="dxa"/>
                  <w:right w:w="80" w:type="dxa"/>
                </w:tcMar>
                <w:vAlign w:val="center"/>
              </w:tcPr>
              <w:p w14:paraId="246D9840"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9%</w:t>
                </w:r>
              </w:p>
            </w:tc>
            <w:tc>
              <w:tcPr>
                <w:tcW w:w="5040" w:type="dxa"/>
                <w:tcMar>
                  <w:top w:w="80" w:type="dxa"/>
                  <w:left w:w="80" w:type="dxa"/>
                  <w:bottom w:w="80" w:type="dxa"/>
                  <w:right w:w="80" w:type="dxa"/>
                </w:tcMar>
                <w:vAlign w:val="center"/>
              </w:tcPr>
              <w:p w14:paraId="1B7698AF" w14:textId="77777777" w:rsidR="002924BD" w:rsidRPr="002924BD" w:rsidRDefault="002924BD" w:rsidP="000C17B9">
                <w:pPr>
                  <w:spacing w:after="0" w:line="240" w:lineRule="auto"/>
                  <w:jc w:val="center"/>
                  <w:rPr>
                    <w:rFonts w:ascii="Times New Roman" w:hAnsi="Times New Roman" w:cs="Times New Roman"/>
                    <w:sz w:val="24"/>
                    <w:szCs w:val="24"/>
                  </w:rPr>
                </w:pPr>
                <w:r w:rsidRPr="002924BD">
                  <w:rPr>
                    <w:rFonts w:ascii="Times New Roman" w:hAnsi="Times New Roman" w:cs="Times New Roman"/>
                    <w:sz w:val="24"/>
                    <w:szCs w:val="24"/>
                  </w:rPr>
                  <w:t>-£10,183</w:t>
                </w:r>
              </w:p>
            </w:tc>
          </w:tr>
          <w:tr w:rsidR="002924BD" w:rsidRPr="002924BD" w14:paraId="75045DAA" w14:textId="77777777" w:rsidTr="000C17B9">
            <w:trPr>
              <w:jc w:val="center"/>
            </w:trPr>
            <w:tc>
              <w:tcPr>
                <w:tcW w:w="5040" w:type="dxa"/>
                <w:tcMar>
                  <w:top w:w="80" w:type="dxa"/>
                  <w:left w:w="80" w:type="dxa"/>
                  <w:bottom w:w="80" w:type="dxa"/>
                  <w:right w:w="80" w:type="dxa"/>
                </w:tcMar>
                <w:vAlign w:val="center"/>
              </w:tcPr>
              <w:p w14:paraId="45C1B4E1"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Approximate IRR</w:t>
                </w:r>
              </w:p>
            </w:tc>
            <w:tc>
              <w:tcPr>
                <w:tcW w:w="5040" w:type="dxa"/>
                <w:tcMar>
                  <w:top w:w="80" w:type="dxa"/>
                  <w:left w:w="80" w:type="dxa"/>
                  <w:bottom w:w="80" w:type="dxa"/>
                  <w:right w:w="80" w:type="dxa"/>
                </w:tcMar>
                <w:vAlign w:val="center"/>
              </w:tcPr>
              <w:p w14:paraId="3344E4A5" w14:textId="77777777" w:rsidR="002924BD" w:rsidRPr="002924BD" w:rsidRDefault="002924BD" w:rsidP="000C17B9">
                <w:pPr>
                  <w:spacing w:after="0" w:line="240" w:lineRule="auto"/>
                  <w:rPr>
                    <w:rFonts w:ascii="Times New Roman" w:hAnsi="Times New Roman" w:cs="Times New Roman"/>
                    <w:sz w:val="24"/>
                    <w:szCs w:val="24"/>
                  </w:rPr>
                </w:pPr>
                <w:r w:rsidRPr="002924BD">
                  <w:rPr>
                    <w:rFonts w:ascii="Times New Roman" w:hAnsi="Times New Roman" w:cs="Times New Roman"/>
                    <w:sz w:val="24"/>
                    <w:szCs w:val="24"/>
                  </w:rPr>
                  <w:t>8% + [13,746 / (13,746 + 10,183)] x 1% = 8.57%</w:t>
                </w:r>
              </w:p>
            </w:tc>
          </w:tr>
        </w:tbl>
        <w:p w14:paraId="438A26CA" w14:textId="77777777" w:rsidR="002924BD" w:rsidRPr="002924BD" w:rsidRDefault="002924BD" w:rsidP="002924BD">
          <w:pPr>
            <w:pStyle w:val="Heading2"/>
            <w:spacing w:before="160" w:after="120"/>
            <w:rPr>
              <w:rFonts w:ascii="Times New Roman" w:hAnsi="Times New Roman" w:cs="Times New Roman"/>
              <w:sz w:val="28"/>
              <w:szCs w:val="28"/>
            </w:rPr>
          </w:pPr>
          <w:bookmarkStart w:id="57" w:name="_Toc227528935"/>
          <w:bookmarkStart w:id="58" w:name="_Toc227530781"/>
          <w:r w:rsidRPr="002924BD">
            <w:rPr>
              <w:rFonts w:ascii="Times New Roman" w:hAnsi="Times New Roman" w:cs="Times New Roman"/>
              <w:sz w:val="28"/>
              <w:szCs w:val="28"/>
            </w:rPr>
            <w:t>Capital rationing calculation</w:t>
          </w:r>
          <w:bookmarkEnd w:id="57"/>
          <w:bookmarkEnd w:id="58"/>
        </w:p>
        <w:p w14:paraId="25FED9BE" w14:textId="77777777" w:rsidR="002924BD" w:rsidRPr="002924BD" w:rsidRDefault="002924BD" w:rsidP="002924BD">
          <w:pPr>
            <w:rPr>
              <w:rFonts w:ascii="Times New Roman" w:hAnsi="Times New Roman" w:cs="Times New Roman"/>
              <w:sz w:val="24"/>
              <w:szCs w:val="24"/>
            </w:rPr>
          </w:pPr>
          <w:r w:rsidRPr="002924BD">
            <w:rPr>
              <w:rFonts w:ascii="Times New Roman" w:hAnsi="Times New Roman" w:cs="Times New Roman"/>
              <w:sz w:val="24"/>
              <w:szCs w:val="24"/>
            </w:rPr>
            <w:t>Available funds = £1,500,000. Invest fully in Option C (£1,000,000). Remaining funds = £500,000. Fraction of Option B = £500,000 / £900,000 = 55.56%. Total NPV = £91,226 + (£73,952 x 55.56%) = approximately £132,310.</w:t>
          </w:r>
        </w:p>
        <w:p w14:paraId="3CF41701" w14:textId="77777777" w:rsidR="002924BD" w:rsidRPr="002924BD" w:rsidRDefault="002924BD" w:rsidP="002924BD">
          <w:pPr>
            <w:rPr>
              <w:rFonts w:ascii="Times New Roman" w:hAnsi="Times New Roman" w:cs="Times New Roman"/>
              <w:sz w:val="24"/>
              <w:szCs w:val="24"/>
            </w:rPr>
          </w:pPr>
        </w:p>
        <w:p w14:paraId="7B23580D" w14:textId="7FF34AF6" w:rsidR="002924BD" w:rsidRPr="002924BD" w:rsidRDefault="006A39A2" w:rsidP="002924BD">
          <w:pPr>
            <w:rPr>
              <w:rFonts w:ascii="Times New Roman" w:hAnsi="Times New Roman" w:cs="Times New Roman"/>
              <w:sz w:val="24"/>
              <w:szCs w:val="24"/>
            </w:rPr>
          </w:pPr>
        </w:p>
      </w:sdtContent>
    </w:sdt>
    <w:sectPr w:rsidR="002924BD" w:rsidRPr="002924BD"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F8FBF" w14:textId="77777777" w:rsidR="00E068BA" w:rsidRDefault="00E068BA" w:rsidP="00F33B24">
      <w:pPr>
        <w:spacing w:after="0" w:line="240" w:lineRule="auto"/>
      </w:pPr>
      <w:r>
        <w:separator/>
      </w:r>
    </w:p>
  </w:endnote>
  <w:endnote w:type="continuationSeparator" w:id="0">
    <w:p w14:paraId="64DF7B36" w14:textId="77777777" w:rsidR="00E068BA" w:rsidRDefault="00E068BA"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9DF50" w14:textId="77777777" w:rsidR="00E068BA" w:rsidRDefault="00E068BA" w:rsidP="00F33B24">
      <w:pPr>
        <w:spacing w:after="0" w:line="240" w:lineRule="auto"/>
      </w:pPr>
      <w:r>
        <w:separator/>
      </w:r>
    </w:p>
  </w:footnote>
  <w:footnote w:type="continuationSeparator" w:id="0">
    <w:p w14:paraId="186A7CC3" w14:textId="77777777" w:rsidR="00E068BA" w:rsidRDefault="00E068BA"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107936"/>
    <w:rsid w:val="00115B96"/>
    <w:rsid w:val="002924BD"/>
    <w:rsid w:val="00324CCD"/>
    <w:rsid w:val="003C11E7"/>
    <w:rsid w:val="003F46EC"/>
    <w:rsid w:val="00480872"/>
    <w:rsid w:val="004A11F6"/>
    <w:rsid w:val="004D519C"/>
    <w:rsid w:val="006A39A2"/>
    <w:rsid w:val="007D1947"/>
    <w:rsid w:val="00931CAA"/>
    <w:rsid w:val="00A11633"/>
    <w:rsid w:val="00A12B58"/>
    <w:rsid w:val="00A852CD"/>
    <w:rsid w:val="00AA2A91"/>
    <w:rsid w:val="00AE14A1"/>
    <w:rsid w:val="00C06376"/>
    <w:rsid w:val="00CA09F3"/>
    <w:rsid w:val="00CF0E48"/>
    <w:rsid w:val="00D854A5"/>
    <w:rsid w:val="00E068BA"/>
    <w:rsid w:val="00F33B24"/>
    <w:rsid w:val="00FA32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924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customStyle="1" w:styleId="Heading3Char">
    <w:name w:val="Heading 3 Char"/>
    <w:basedOn w:val="DefaultParagraphFont"/>
    <w:link w:val="Heading3"/>
    <w:uiPriority w:val="9"/>
    <w:rsid w:val="002924BD"/>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2924BD"/>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6A39A2"/>
    <w:pPr>
      <w:spacing w:after="100"/>
      <w:ind w:left="440"/>
    </w:pPr>
  </w:style>
  <w:style w:type="character" w:customStyle="1" w:styleId="apple-converted-space">
    <w:name w:val="apple-converted-space"/>
    <w:basedOn w:val="DefaultParagraphFont"/>
    <w:rsid w:val="003F46EC"/>
  </w:style>
  <w:style w:type="character" w:customStyle="1" w:styleId="whitespace-normal">
    <w:name w:val="whitespace-normal"/>
    <w:basedOn w:val="DefaultParagraphFont"/>
    <w:rsid w:val="003F4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6575</Words>
  <Characters>37482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BMMB7005-Finance for Business Managers</dc:subject>
  <dc:creator>Marie Pitson</dc:creator>
  <cp:keywords/>
  <dc:description/>
  <cp:lastModifiedBy>Laxmi Krushika Katukam (2510032)</cp:lastModifiedBy>
  <cp:revision>2</cp:revision>
  <dcterms:created xsi:type="dcterms:W3CDTF">2026-04-20T00:07:00Z</dcterms:created>
  <dcterms:modified xsi:type="dcterms:W3CDTF">2026-04-20T00:07:00Z</dcterms:modified>
</cp:coreProperties>
</file>