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CA8B8E" w14:textId="77777777" w:rsidR="00993C3C" w:rsidRDefault="0039612E" w:rsidP="00D35F99">
      <w:pPr>
        <w:spacing w:before="100" w:beforeAutospacing="1" w:after="100" w:afterAutospacing="1" w:line="300" w:lineRule="atLeast"/>
        <w:rPr>
          <w:rFonts w:eastAsia="Times New Roman" w:cs="Arial"/>
          <w:szCs w:val="22"/>
        </w:rPr>
      </w:pPr>
      <w:r>
        <w:rPr>
          <w:rFonts w:eastAsia="Times New Roman" w:cs="Arial"/>
          <w:szCs w:val="22"/>
        </w:rPr>
        <w:t>Student name: Marife Tabalba</w:t>
      </w:r>
      <w:r w:rsidR="00993C3C">
        <w:rPr>
          <w:rFonts w:eastAsia="Times New Roman" w:cs="Arial"/>
          <w:szCs w:val="22"/>
        </w:rPr>
        <w:t xml:space="preserve"> Jamiro</w:t>
      </w:r>
    </w:p>
    <w:p w14:paraId="6786F56B" w14:textId="77777777" w:rsidR="00CF5916" w:rsidRPr="00DF6109" w:rsidRDefault="0088512E" w:rsidP="00D35F99">
      <w:pPr>
        <w:spacing w:before="100" w:beforeAutospacing="1" w:after="100" w:afterAutospacing="1" w:line="300" w:lineRule="atLeast"/>
        <w:rPr>
          <w:rFonts w:eastAsia="Times New Roman" w:cs="Arial"/>
          <w:b/>
          <w:szCs w:val="22"/>
        </w:rPr>
      </w:pPr>
      <w:r w:rsidRPr="00DF6109">
        <w:rPr>
          <w:rFonts w:eastAsia="Times New Roman" w:cs="Arial"/>
          <w:b/>
          <w:szCs w:val="22"/>
        </w:rPr>
        <w:t>STUDENT ID: 2214833</w:t>
      </w:r>
    </w:p>
    <w:p w14:paraId="18B8E126" w14:textId="77777777" w:rsidR="002C43E4" w:rsidRPr="00DF6109" w:rsidRDefault="00CF5916" w:rsidP="00D35F99">
      <w:pPr>
        <w:spacing w:before="100" w:beforeAutospacing="1" w:after="100" w:afterAutospacing="1" w:line="300" w:lineRule="atLeast"/>
        <w:rPr>
          <w:rFonts w:eastAsia="Times New Roman" w:cs="Arial"/>
          <w:b/>
          <w:szCs w:val="22"/>
        </w:rPr>
      </w:pPr>
      <w:r w:rsidRPr="00DF6109">
        <w:rPr>
          <w:rFonts w:eastAsia="Times New Roman" w:cs="Arial"/>
          <w:b/>
          <w:szCs w:val="22"/>
        </w:rPr>
        <w:t>Module name: Introduction</w:t>
      </w:r>
      <w:r w:rsidR="002C43E4" w:rsidRPr="00DF6109">
        <w:rPr>
          <w:rFonts w:eastAsia="Times New Roman" w:cs="Arial"/>
          <w:b/>
          <w:szCs w:val="22"/>
        </w:rPr>
        <w:t xml:space="preserve"> of public health</w:t>
      </w:r>
    </w:p>
    <w:p w14:paraId="2B2154E7" w14:textId="77777777" w:rsidR="00550DE9" w:rsidRPr="00DF6109" w:rsidRDefault="002C43E4" w:rsidP="00D35F99">
      <w:pPr>
        <w:spacing w:before="100" w:beforeAutospacing="1" w:after="100" w:afterAutospacing="1" w:line="300" w:lineRule="atLeast"/>
        <w:rPr>
          <w:rFonts w:eastAsia="Times New Roman" w:cs="Arial"/>
          <w:b/>
          <w:szCs w:val="22"/>
        </w:rPr>
      </w:pPr>
      <w:r w:rsidRPr="00DF6109">
        <w:rPr>
          <w:rFonts w:eastAsia="Times New Roman" w:cs="Arial"/>
          <w:b/>
          <w:szCs w:val="22"/>
        </w:rPr>
        <w:t>Module code</w:t>
      </w:r>
      <w:r w:rsidR="00550DE9" w:rsidRPr="00DF6109">
        <w:rPr>
          <w:rFonts w:eastAsia="Times New Roman" w:cs="Arial"/>
          <w:b/>
          <w:szCs w:val="22"/>
        </w:rPr>
        <w:t>: LCHS 4008</w:t>
      </w:r>
    </w:p>
    <w:p w14:paraId="3D6375B0" w14:textId="3D6CEC0B" w:rsidR="003B1AF5" w:rsidRDefault="009901E7" w:rsidP="00D35F99">
      <w:pPr>
        <w:spacing w:before="100" w:beforeAutospacing="1" w:after="100" w:afterAutospacing="1" w:line="300" w:lineRule="atLeast"/>
        <w:rPr>
          <w:rFonts w:eastAsia="Times New Roman" w:cs="Arial"/>
          <w:szCs w:val="22"/>
        </w:rPr>
      </w:pPr>
      <w:r w:rsidRPr="00DF6109">
        <w:rPr>
          <w:rFonts w:eastAsia="Times New Roman" w:cs="Arial"/>
          <w:b/>
          <w:szCs w:val="22"/>
        </w:rPr>
        <w:t>Lecturer name: Patro</w:t>
      </w:r>
      <w:r w:rsidR="009362BF" w:rsidRPr="00DF6109">
        <w:rPr>
          <w:rFonts w:eastAsia="Times New Roman" w:cs="Arial"/>
          <w:b/>
          <w:szCs w:val="22"/>
        </w:rPr>
        <w:t>nella Ganza</w:t>
      </w:r>
      <w:r w:rsidR="0009550E">
        <w:rPr>
          <w:rFonts w:eastAsia="Times New Roman" w:cs="Arial"/>
          <w:b/>
          <w:szCs w:val="22"/>
        </w:rPr>
        <w:br/>
      </w:r>
      <w:r w:rsidR="0009550E">
        <w:rPr>
          <w:rFonts w:eastAsia="Times New Roman" w:cs="Arial"/>
          <w:b/>
          <w:szCs w:val="22"/>
        </w:rPr>
        <w:br/>
      </w:r>
      <w:r w:rsidR="00F92557">
        <w:rPr>
          <w:rFonts w:eastAsia="Times New Roman" w:cs="Arial"/>
          <w:szCs w:val="22"/>
        </w:rPr>
        <w:t>S</w:t>
      </w:r>
      <w:r w:rsidR="00561471">
        <w:rPr>
          <w:rFonts w:eastAsia="Times New Roman" w:cs="Arial"/>
          <w:szCs w:val="22"/>
        </w:rPr>
        <w:t>ubmitted Aug.</w:t>
      </w:r>
      <w:r w:rsidR="00C44BF6">
        <w:rPr>
          <w:rFonts w:eastAsia="Times New Roman" w:cs="Arial"/>
          <w:szCs w:val="22"/>
        </w:rPr>
        <w:t>15</w:t>
      </w:r>
      <w:r w:rsidR="0082150D">
        <w:rPr>
          <w:rFonts w:eastAsia="Times New Roman" w:cs="Arial"/>
          <w:szCs w:val="22"/>
        </w:rPr>
        <w:t>,2026</w:t>
      </w:r>
      <w:r w:rsidR="0038369D">
        <w:rPr>
          <w:rFonts w:eastAsia="Times New Roman" w:cs="Arial"/>
          <w:szCs w:val="22"/>
        </w:rPr>
        <w:br/>
      </w:r>
      <w:r w:rsidR="0038369D">
        <w:rPr>
          <w:rFonts w:eastAsia="Times New Roman" w:cs="Arial"/>
          <w:szCs w:val="22"/>
        </w:rPr>
        <w:br/>
      </w:r>
    </w:p>
    <w:p w14:paraId="0009F468" w14:textId="6046C1D1" w:rsidR="00031C68" w:rsidRDefault="003B1AF5" w:rsidP="00D35F99">
      <w:pPr>
        <w:spacing w:before="100" w:beforeAutospacing="1" w:after="100" w:afterAutospacing="1" w:line="300" w:lineRule="atLeast"/>
        <w:rPr>
          <w:rFonts w:eastAsia="Times New Roman" w:cs="Arial"/>
          <w:szCs w:val="22"/>
        </w:rPr>
      </w:pPr>
      <w:r>
        <w:rPr>
          <w:rFonts w:eastAsia="Times New Roman" w:cs="Arial"/>
          <w:szCs w:val="22"/>
        </w:rPr>
        <w:t>Introduction</w:t>
      </w:r>
      <w:r w:rsidR="00031C68">
        <w:rPr>
          <w:rFonts w:eastAsia="Times New Roman" w:cs="Arial"/>
          <w:szCs w:val="22"/>
        </w:rPr>
        <w:t>…………………………</w:t>
      </w:r>
      <w:r w:rsidR="00A60DFF">
        <w:rPr>
          <w:rFonts w:eastAsia="Times New Roman" w:cs="Arial"/>
          <w:szCs w:val="22"/>
        </w:rPr>
        <w:t>……………………..</w:t>
      </w:r>
      <w:r w:rsidR="00031C68">
        <w:rPr>
          <w:rFonts w:eastAsia="Times New Roman" w:cs="Arial"/>
          <w:szCs w:val="22"/>
        </w:rPr>
        <w:t>.1</w:t>
      </w:r>
    </w:p>
    <w:p w14:paraId="3ED4A9B9" w14:textId="141F3CDB" w:rsidR="00A60DFF" w:rsidRDefault="00DF6109" w:rsidP="00D35F99">
      <w:pPr>
        <w:spacing w:before="100" w:beforeAutospacing="1" w:after="100" w:afterAutospacing="1" w:line="300" w:lineRule="atLeast"/>
        <w:rPr>
          <w:rFonts w:eastAsia="Times New Roman" w:cs="Arial"/>
          <w:szCs w:val="22"/>
        </w:rPr>
      </w:pPr>
      <w:r>
        <w:rPr>
          <w:rFonts w:eastAsia="Times New Roman" w:cs="Arial"/>
          <w:szCs w:val="22"/>
        </w:rPr>
        <w:t>Understanding</w:t>
      </w:r>
      <w:r w:rsidR="00E279B3">
        <w:rPr>
          <w:rFonts w:eastAsia="Times New Roman" w:cs="Arial"/>
          <w:szCs w:val="22"/>
        </w:rPr>
        <w:t xml:space="preserve"> Polio</w:t>
      </w:r>
      <w:r w:rsidR="00771C05">
        <w:rPr>
          <w:rFonts w:eastAsia="Times New Roman" w:cs="Arial"/>
          <w:szCs w:val="22"/>
        </w:rPr>
        <w:t xml:space="preserve"> and importance of </w:t>
      </w:r>
      <w:r w:rsidR="007424E4">
        <w:rPr>
          <w:rFonts w:eastAsia="Times New Roman" w:cs="Arial"/>
          <w:szCs w:val="22"/>
        </w:rPr>
        <w:t>surveillance</w:t>
      </w:r>
      <w:r w:rsidR="00F255E4">
        <w:rPr>
          <w:rFonts w:eastAsia="Times New Roman" w:cs="Arial"/>
          <w:szCs w:val="22"/>
        </w:rPr>
        <w:t>…</w:t>
      </w:r>
      <w:r w:rsidR="0009550E">
        <w:rPr>
          <w:rFonts w:eastAsia="Times New Roman" w:cs="Arial"/>
          <w:szCs w:val="22"/>
        </w:rPr>
        <w:t>...</w:t>
      </w:r>
      <w:r w:rsidR="00F255E4">
        <w:rPr>
          <w:rFonts w:eastAsia="Times New Roman" w:cs="Arial"/>
          <w:szCs w:val="22"/>
        </w:rPr>
        <w:t>.</w:t>
      </w:r>
      <w:r w:rsidR="00A60DFF">
        <w:rPr>
          <w:rFonts w:eastAsia="Times New Roman" w:cs="Arial"/>
          <w:szCs w:val="22"/>
        </w:rPr>
        <w:t>2</w:t>
      </w:r>
    </w:p>
    <w:p w14:paraId="477AE360" w14:textId="1AC0649B" w:rsidR="00FF483C" w:rsidRDefault="00C7372F" w:rsidP="00D35F99">
      <w:pPr>
        <w:spacing w:before="100" w:beforeAutospacing="1" w:after="100" w:afterAutospacing="1" w:line="300" w:lineRule="atLeast"/>
        <w:rPr>
          <w:rFonts w:eastAsia="Times New Roman" w:cs="Arial"/>
          <w:szCs w:val="22"/>
        </w:rPr>
      </w:pPr>
      <w:r>
        <w:rPr>
          <w:rFonts w:eastAsia="Times New Roman" w:cs="Arial"/>
          <w:szCs w:val="22"/>
        </w:rPr>
        <w:t>Acute F</w:t>
      </w:r>
      <w:r w:rsidR="00596A7D">
        <w:rPr>
          <w:rFonts w:eastAsia="Times New Roman" w:cs="Arial"/>
          <w:szCs w:val="22"/>
        </w:rPr>
        <w:t xml:space="preserve">laccid Paralysis </w:t>
      </w:r>
      <w:r w:rsidR="00613AEF">
        <w:rPr>
          <w:rFonts w:eastAsia="Times New Roman" w:cs="Arial"/>
          <w:szCs w:val="22"/>
        </w:rPr>
        <w:t>[AFP] sur</w:t>
      </w:r>
      <w:r w:rsidR="00FF483C">
        <w:rPr>
          <w:rFonts w:eastAsia="Times New Roman" w:cs="Arial"/>
          <w:szCs w:val="22"/>
        </w:rPr>
        <w:t>veillance</w:t>
      </w:r>
      <w:r w:rsidR="003545FC">
        <w:rPr>
          <w:rFonts w:eastAsia="Times New Roman" w:cs="Arial"/>
          <w:szCs w:val="22"/>
        </w:rPr>
        <w:t>…………</w:t>
      </w:r>
      <w:r w:rsidR="0009550E">
        <w:rPr>
          <w:rFonts w:eastAsia="Times New Roman" w:cs="Arial"/>
          <w:szCs w:val="22"/>
        </w:rPr>
        <w:t>….</w:t>
      </w:r>
      <w:r w:rsidR="003545FC">
        <w:rPr>
          <w:rFonts w:eastAsia="Times New Roman" w:cs="Arial"/>
          <w:szCs w:val="22"/>
        </w:rPr>
        <w:t>3</w:t>
      </w:r>
    </w:p>
    <w:p w14:paraId="1AEEF8D7" w14:textId="50FDC3FA" w:rsidR="002C0F4D" w:rsidRDefault="008A4653" w:rsidP="00D35F99">
      <w:pPr>
        <w:spacing w:before="100" w:beforeAutospacing="1" w:after="100" w:afterAutospacing="1" w:line="300" w:lineRule="atLeast"/>
        <w:rPr>
          <w:rFonts w:eastAsia="Times New Roman" w:cs="Arial"/>
          <w:szCs w:val="22"/>
        </w:rPr>
      </w:pPr>
      <w:r>
        <w:rPr>
          <w:rFonts w:eastAsia="Times New Roman" w:cs="Arial"/>
          <w:szCs w:val="22"/>
        </w:rPr>
        <w:t>Laboratory surv</w:t>
      </w:r>
      <w:r w:rsidR="005F2D06">
        <w:rPr>
          <w:rFonts w:eastAsia="Times New Roman" w:cs="Arial"/>
          <w:szCs w:val="22"/>
        </w:rPr>
        <w:t>ei</w:t>
      </w:r>
      <w:r>
        <w:rPr>
          <w:rFonts w:eastAsia="Times New Roman" w:cs="Arial"/>
          <w:szCs w:val="22"/>
        </w:rPr>
        <w:t>lance</w:t>
      </w:r>
      <w:r w:rsidR="003545FC">
        <w:rPr>
          <w:rFonts w:eastAsia="Times New Roman" w:cs="Arial"/>
          <w:szCs w:val="22"/>
        </w:rPr>
        <w:t>…………………………………….</w:t>
      </w:r>
      <w:r w:rsidR="005F2D06">
        <w:rPr>
          <w:rFonts w:eastAsia="Times New Roman" w:cs="Arial"/>
          <w:szCs w:val="22"/>
        </w:rPr>
        <w:t>4</w:t>
      </w:r>
    </w:p>
    <w:p w14:paraId="79B09372" w14:textId="706C3A65" w:rsidR="001731C9" w:rsidRDefault="002C0F4D" w:rsidP="00D35F99">
      <w:pPr>
        <w:spacing w:before="100" w:beforeAutospacing="1" w:after="100" w:afterAutospacing="1" w:line="300" w:lineRule="atLeast"/>
        <w:rPr>
          <w:rFonts w:eastAsia="Times New Roman" w:cs="Arial"/>
          <w:szCs w:val="22"/>
        </w:rPr>
      </w:pPr>
      <w:r>
        <w:rPr>
          <w:rFonts w:eastAsia="Times New Roman" w:cs="Arial"/>
          <w:szCs w:val="22"/>
        </w:rPr>
        <w:t>Environment</w:t>
      </w:r>
      <w:r w:rsidR="001731C9">
        <w:rPr>
          <w:rFonts w:eastAsia="Times New Roman" w:cs="Arial"/>
          <w:szCs w:val="22"/>
        </w:rPr>
        <w:t xml:space="preserve">al </w:t>
      </w:r>
      <w:r w:rsidR="00C60CAF">
        <w:rPr>
          <w:rFonts w:eastAsia="Times New Roman" w:cs="Arial"/>
          <w:szCs w:val="22"/>
        </w:rPr>
        <w:t>surveillance</w:t>
      </w:r>
      <w:r w:rsidR="001731C9">
        <w:rPr>
          <w:rFonts w:eastAsia="Times New Roman" w:cs="Arial"/>
          <w:szCs w:val="22"/>
        </w:rPr>
        <w:t>……………………………</w:t>
      </w:r>
      <w:r w:rsidR="0009550E">
        <w:rPr>
          <w:rFonts w:eastAsia="Times New Roman" w:cs="Arial"/>
          <w:szCs w:val="22"/>
        </w:rPr>
        <w:t>….</w:t>
      </w:r>
      <w:r w:rsidR="001731C9">
        <w:rPr>
          <w:rFonts w:eastAsia="Times New Roman" w:cs="Arial"/>
          <w:szCs w:val="22"/>
        </w:rPr>
        <w:t>5</w:t>
      </w:r>
    </w:p>
    <w:p w14:paraId="340CAC10" w14:textId="477B8B86" w:rsidR="00CE21B0" w:rsidRDefault="0057046A" w:rsidP="00D35F99">
      <w:pPr>
        <w:spacing w:before="100" w:beforeAutospacing="1" w:after="100" w:afterAutospacing="1" w:line="300" w:lineRule="atLeast"/>
        <w:rPr>
          <w:rFonts w:eastAsia="Times New Roman" w:cs="Arial"/>
          <w:szCs w:val="22"/>
        </w:rPr>
      </w:pPr>
      <w:r>
        <w:rPr>
          <w:rFonts w:eastAsia="Times New Roman" w:cs="Arial"/>
          <w:szCs w:val="22"/>
        </w:rPr>
        <w:t>Vaccination coverage monitoring…………………………</w:t>
      </w:r>
      <w:r w:rsidR="00CE21B0">
        <w:rPr>
          <w:rFonts w:eastAsia="Times New Roman" w:cs="Arial"/>
          <w:szCs w:val="22"/>
        </w:rPr>
        <w:t>6</w:t>
      </w:r>
    </w:p>
    <w:p w14:paraId="43169DFA" w14:textId="620107EF" w:rsidR="0041292F" w:rsidRDefault="00CE21B0" w:rsidP="00D35F99">
      <w:pPr>
        <w:spacing w:before="100" w:beforeAutospacing="1" w:after="100" w:afterAutospacing="1" w:line="300" w:lineRule="atLeast"/>
        <w:rPr>
          <w:rFonts w:eastAsia="Times New Roman" w:cs="Arial"/>
          <w:szCs w:val="22"/>
        </w:rPr>
      </w:pPr>
      <w:r>
        <w:rPr>
          <w:rFonts w:eastAsia="Times New Roman" w:cs="Arial"/>
          <w:szCs w:val="22"/>
        </w:rPr>
        <w:t>Challenges</w:t>
      </w:r>
      <w:r w:rsidR="00CB6F12">
        <w:rPr>
          <w:rFonts w:eastAsia="Times New Roman" w:cs="Arial"/>
          <w:szCs w:val="22"/>
        </w:rPr>
        <w:t xml:space="preserve"> in global polio </w:t>
      </w:r>
      <w:r w:rsidR="00C60CAF">
        <w:rPr>
          <w:rFonts w:eastAsia="Times New Roman" w:cs="Arial"/>
          <w:szCs w:val="22"/>
        </w:rPr>
        <w:t>surveillance</w:t>
      </w:r>
      <w:r w:rsidR="00CB6F12">
        <w:rPr>
          <w:rFonts w:eastAsia="Times New Roman" w:cs="Arial"/>
          <w:szCs w:val="22"/>
        </w:rPr>
        <w:t>………………</w:t>
      </w:r>
      <w:r w:rsidR="0009550E">
        <w:rPr>
          <w:rFonts w:eastAsia="Times New Roman" w:cs="Arial"/>
          <w:szCs w:val="22"/>
        </w:rPr>
        <w:t>….</w:t>
      </w:r>
      <w:r w:rsidR="00CB6F12">
        <w:rPr>
          <w:rFonts w:eastAsia="Times New Roman" w:cs="Arial"/>
          <w:szCs w:val="22"/>
        </w:rPr>
        <w:t>7</w:t>
      </w:r>
    </w:p>
    <w:p w14:paraId="45093399" w14:textId="1A167C18" w:rsidR="00010E17" w:rsidRDefault="00380A5E" w:rsidP="00D35F99">
      <w:pPr>
        <w:spacing w:before="100" w:beforeAutospacing="1" w:after="100" w:afterAutospacing="1" w:line="300" w:lineRule="atLeast"/>
        <w:rPr>
          <w:rFonts w:eastAsia="Times New Roman" w:cs="Arial"/>
          <w:szCs w:val="22"/>
        </w:rPr>
      </w:pPr>
      <w:r>
        <w:rPr>
          <w:rFonts w:eastAsia="Times New Roman" w:cs="Arial"/>
          <w:szCs w:val="22"/>
        </w:rPr>
        <w:t>Concl</w:t>
      </w:r>
      <w:r w:rsidR="0041292F">
        <w:rPr>
          <w:rFonts w:eastAsia="Times New Roman" w:cs="Arial"/>
          <w:szCs w:val="22"/>
        </w:rPr>
        <w:t>usion……………</w:t>
      </w:r>
      <w:r w:rsidR="00010E17">
        <w:rPr>
          <w:rFonts w:eastAsia="Times New Roman" w:cs="Arial"/>
          <w:szCs w:val="22"/>
        </w:rPr>
        <w:t>…………………………………….8</w:t>
      </w:r>
    </w:p>
    <w:p w14:paraId="0F66CFDB" w14:textId="3253F576" w:rsidR="00D35D67" w:rsidRPr="00DF6109" w:rsidRDefault="00C04012" w:rsidP="00DF6109">
      <w:pPr>
        <w:spacing w:before="100" w:beforeAutospacing="1" w:after="100" w:afterAutospacing="1" w:line="300" w:lineRule="atLeast"/>
        <w:rPr>
          <w:rFonts w:eastAsia="Times New Roman" w:cs="Arial"/>
          <w:b/>
          <w:szCs w:val="22"/>
        </w:rPr>
      </w:pPr>
      <w:r>
        <w:rPr>
          <w:rFonts w:eastAsia="Times New Roman" w:cs="Arial"/>
          <w:szCs w:val="22"/>
        </w:rPr>
        <w:t>Re</w:t>
      </w:r>
      <w:r w:rsidR="005C553C">
        <w:rPr>
          <w:rFonts w:eastAsia="Times New Roman" w:cs="Arial"/>
          <w:szCs w:val="22"/>
        </w:rPr>
        <w:t>ferences………………………………………………….9</w:t>
      </w:r>
      <w:r w:rsidR="00DB4988">
        <w:rPr>
          <w:rFonts w:eastAsia="Times New Roman" w:cs="Arial"/>
          <w:szCs w:val="22"/>
        </w:rPr>
        <w:br/>
      </w:r>
      <w:r w:rsidR="00DB4988">
        <w:rPr>
          <w:rFonts w:eastAsia="Times New Roman" w:cs="Arial"/>
          <w:szCs w:val="22"/>
        </w:rPr>
        <w:br/>
      </w:r>
      <w:r w:rsidR="00DB4988">
        <w:rPr>
          <w:rFonts w:eastAsia="Times New Roman" w:cs="Arial"/>
          <w:szCs w:val="22"/>
        </w:rPr>
        <w:br/>
      </w:r>
      <w:r w:rsidR="00DB4988">
        <w:rPr>
          <w:rFonts w:eastAsia="Times New Roman" w:cs="Arial"/>
          <w:szCs w:val="22"/>
        </w:rPr>
        <w:br/>
      </w:r>
      <w:r w:rsidR="00DB4988">
        <w:rPr>
          <w:rFonts w:eastAsia="Times New Roman" w:cs="Arial"/>
          <w:szCs w:val="22"/>
        </w:rPr>
        <w:br/>
      </w:r>
      <w:r w:rsidR="00DB4988">
        <w:rPr>
          <w:rFonts w:eastAsia="Times New Roman" w:cs="Arial"/>
          <w:szCs w:val="22"/>
        </w:rPr>
        <w:br/>
      </w:r>
      <w:r w:rsidR="00DB4988">
        <w:rPr>
          <w:rFonts w:eastAsia="Times New Roman" w:cs="Arial"/>
          <w:szCs w:val="22"/>
        </w:rPr>
        <w:br/>
      </w:r>
      <w:r w:rsidR="00DB4988">
        <w:rPr>
          <w:rFonts w:eastAsia="Times New Roman" w:cs="Arial"/>
          <w:szCs w:val="22"/>
        </w:rPr>
        <w:br/>
      </w:r>
      <w:r w:rsidR="00DB4988">
        <w:rPr>
          <w:rFonts w:eastAsia="Times New Roman" w:cs="Arial"/>
          <w:szCs w:val="22"/>
        </w:rPr>
        <w:br/>
      </w:r>
      <w:r w:rsidR="00DB4988">
        <w:rPr>
          <w:rFonts w:eastAsia="Times New Roman" w:cs="Arial"/>
          <w:szCs w:val="22"/>
        </w:rPr>
        <w:br/>
      </w:r>
      <w:r w:rsidR="00DB4988">
        <w:rPr>
          <w:rFonts w:eastAsia="Times New Roman" w:cs="Arial"/>
          <w:szCs w:val="22"/>
        </w:rPr>
        <w:br/>
      </w:r>
      <w:r w:rsidR="00DB4988">
        <w:rPr>
          <w:rFonts w:eastAsia="Times New Roman" w:cs="Arial"/>
          <w:szCs w:val="22"/>
        </w:rPr>
        <w:br/>
      </w:r>
      <w:r w:rsidR="00DB4988">
        <w:rPr>
          <w:rFonts w:eastAsia="Times New Roman" w:cs="Arial"/>
          <w:szCs w:val="22"/>
        </w:rPr>
        <w:br/>
      </w:r>
      <w:r w:rsidR="00DB4988">
        <w:rPr>
          <w:rFonts w:eastAsia="Times New Roman" w:cs="Arial"/>
          <w:szCs w:val="22"/>
        </w:rPr>
        <w:br/>
      </w:r>
      <w:r w:rsidR="00DB4988">
        <w:rPr>
          <w:rFonts w:eastAsia="Times New Roman" w:cs="Arial"/>
          <w:szCs w:val="22"/>
        </w:rPr>
        <w:lastRenderedPageBreak/>
        <w:br/>
      </w:r>
      <w:r w:rsidR="00383F90">
        <w:rPr>
          <w:rFonts w:eastAsia="Times New Roman" w:cs="Arial"/>
          <w:szCs w:val="22"/>
        </w:rPr>
        <w:br/>
      </w:r>
      <w:r w:rsidR="00842AF6" w:rsidRPr="00263C62">
        <w:rPr>
          <w:rFonts w:cs="Arial"/>
          <w:b/>
          <w:bCs/>
          <w:szCs w:val="22"/>
        </w:rPr>
        <w:t xml:space="preserve">INTRODUCTION </w:t>
      </w:r>
      <w:r w:rsidR="0009550E">
        <w:rPr>
          <w:rFonts w:cs="Arial"/>
          <w:b/>
          <w:bCs/>
          <w:szCs w:val="22"/>
        </w:rPr>
        <w:br/>
      </w:r>
      <w:r w:rsidR="00842AF6">
        <w:rPr>
          <w:rFonts w:ascii="Segoe UI" w:hAnsi="Segoe UI"/>
          <w:sz w:val="21"/>
        </w:rPr>
        <w:br/>
      </w:r>
      <w:r w:rsidR="00D35D67">
        <w:rPr>
          <w:rFonts w:ascii="Segoe UI" w:hAnsi="Segoe UI"/>
          <w:sz w:val="21"/>
        </w:rPr>
        <w:t>Poliomyelitis, commonly known as polio, is a highly contagious viral disease caused by the poliovirus. The virus is transmitted primarily through the faecal-oral route and can spread rapidly in areas with poor sanitation, inadequate access to clean water, and low immunisation coverage. Although many infections are asymptomatic or cause only mild flu-like symptoms, severe cases can result in permanent paralysis and, in some instances, death due to respiratory muscle failure. Before the development of effective vaccines, polio outbreaks were responsible for widespread disability and mortality worldwide. Since the establishment of the Global Polio Eradication Initiative (GPEI) in 1988, global polio cases have fallen by more than 99.9%, making polio one of the closest diseases to eradication after smallpox. Despite this progress, wild poliovirus transmission persists in a small number of countries, highlighting the importance of continuous surveillance and monitoring. This essay examines the major approaches used to measure and monitor polio, including Acute Flaccid Paralysis surveillance, laboratory surveillance, environmental surveillance, and vaccination coverage monitoring.</w:t>
      </w:r>
    </w:p>
    <w:p w14:paraId="7640AE71" w14:textId="66E93C73" w:rsidR="00D35D67" w:rsidRDefault="00D35D67" w:rsidP="00D35D67">
      <w:pPr>
        <w:spacing w:line="300" w:lineRule="atLeast"/>
        <w:rPr>
          <w:rFonts w:ascii="Segoe UI" w:hAnsi="Segoe UI"/>
          <w:sz w:val="21"/>
        </w:rPr>
      </w:pPr>
    </w:p>
    <w:p w14:paraId="4F05BEEF" w14:textId="77777777" w:rsidR="00D35D67" w:rsidRPr="00263C62" w:rsidRDefault="00D35D67" w:rsidP="00D35D67">
      <w:pPr>
        <w:pStyle w:val="Heading2"/>
        <w:spacing w:line="300" w:lineRule="atLeast"/>
        <w:rPr>
          <w:rFonts w:ascii="Segoe UI" w:hAnsi="Segoe UI" w:cs="Segoe UI"/>
          <w:b/>
          <w:bCs/>
          <w:sz w:val="22"/>
          <w:szCs w:val="22"/>
        </w:rPr>
      </w:pPr>
      <w:r w:rsidRPr="00263C62">
        <w:rPr>
          <w:rFonts w:ascii="Segoe UI" w:hAnsi="Segoe UI" w:cs="Segoe UI"/>
          <w:b/>
          <w:bCs/>
          <w:sz w:val="22"/>
          <w:szCs w:val="22"/>
        </w:rPr>
        <w:t>Understanding Polio and the Importance of Surveillance</w:t>
      </w:r>
    </w:p>
    <w:p w14:paraId="2A7AC1D3" w14:textId="77777777" w:rsidR="00D35D67" w:rsidRDefault="00D35D67" w:rsidP="00D35D67">
      <w:pPr>
        <w:pStyle w:val="NormalWeb"/>
        <w:spacing w:line="300" w:lineRule="atLeast"/>
        <w:rPr>
          <w:rFonts w:ascii="Segoe UI" w:hAnsi="Segoe UI" w:cs="Segoe UI"/>
          <w:sz w:val="21"/>
        </w:rPr>
      </w:pPr>
      <w:r>
        <w:rPr>
          <w:rFonts w:ascii="Segoe UI" w:hAnsi="Segoe UI" w:cs="Segoe UI"/>
          <w:sz w:val="21"/>
        </w:rPr>
        <w:t>Polio is a vaccine-preventable disease that primarily affects young children. Once the poliovirus enters the body through contaminated food or water, it multiplies in the intestines and may invade the central nervous system. While most infected individuals do not develop symptoms, approximately one in every 200 infections can lead to irreversible paralysis (World Health Organization, 2025). Effective surveillance systems are therefore essential because many infections occur silently before a paralytic case is identified.</w:t>
      </w:r>
    </w:p>
    <w:p w14:paraId="426A7DD0" w14:textId="7E316D8B" w:rsidR="00D35D67" w:rsidRDefault="00D35D67" w:rsidP="00D35D67">
      <w:pPr>
        <w:pStyle w:val="NormalWeb"/>
        <w:spacing w:line="300" w:lineRule="atLeast"/>
        <w:rPr>
          <w:rFonts w:ascii="Segoe UI" w:hAnsi="Segoe UI" w:cs="Segoe UI"/>
          <w:sz w:val="21"/>
        </w:rPr>
      </w:pPr>
      <w:r>
        <w:rPr>
          <w:rFonts w:ascii="Segoe UI" w:hAnsi="Segoe UI" w:cs="Segoe UI"/>
          <w:sz w:val="21"/>
        </w:rPr>
        <w:t xml:space="preserve">The launch of the Global Polio Eradication Initiative in 1988 marked a turning point in public health efforts to eliminate the disease. Since then, governments, health </w:t>
      </w:r>
      <w:r w:rsidR="00596050">
        <w:rPr>
          <w:rFonts w:ascii="Segoe UI" w:hAnsi="Segoe UI" w:cs="Segoe UI"/>
          <w:sz w:val="21"/>
        </w:rPr>
        <w:t>organizations</w:t>
      </w:r>
      <w:r>
        <w:rPr>
          <w:rFonts w:ascii="Segoe UI" w:hAnsi="Segoe UI" w:cs="Segoe UI"/>
          <w:sz w:val="21"/>
        </w:rPr>
        <w:t xml:space="preserve">, and international partners have worked together to strengthen surveillance and </w:t>
      </w:r>
      <w:r w:rsidR="00596050">
        <w:rPr>
          <w:rFonts w:ascii="Segoe UI" w:hAnsi="Segoe UI" w:cs="Segoe UI"/>
          <w:sz w:val="21"/>
        </w:rPr>
        <w:t>immunization</w:t>
      </w:r>
      <w:r>
        <w:rPr>
          <w:rFonts w:ascii="Segoe UI" w:hAnsi="Segoe UI" w:cs="Segoe UI"/>
          <w:sz w:val="21"/>
        </w:rPr>
        <w:t xml:space="preserve"> systems worldwide. Surveillance enables health authorities to detect poliovirus circulation early, identify vulnerable populations, evaluate eradication progress, and implement rapid intervention measures. Without comprehensive surveillance systems, outbreaks could spread unnoticed and undermine eradication achievements.</w:t>
      </w:r>
    </w:p>
    <w:p w14:paraId="0A697D51" w14:textId="77777777" w:rsidR="00D35D67" w:rsidRDefault="00D35D67" w:rsidP="00D35D67">
      <w:pPr>
        <w:pStyle w:val="NormalWeb"/>
        <w:spacing w:line="300" w:lineRule="atLeast"/>
        <w:rPr>
          <w:rFonts w:ascii="Segoe UI" w:hAnsi="Segoe UI" w:cs="Segoe UI"/>
          <w:sz w:val="21"/>
        </w:rPr>
      </w:pPr>
      <w:r>
        <w:rPr>
          <w:rFonts w:ascii="Segoe UI" w:hAnsi="Segoe UI" w:cs="Segoe UI"/>
          <w:sz w:val="21"/>
        </w:rPr>
        <w:t>To support global eradication efforts, several surveillance approaches work together. These approaches include Acute Flaccid Paralysis (AFP) surveillance, laboratory surveillance, environmental surveillance, and vaccination coverage monitoring. Each system contributes unique information that assists policymakers and healthcare professionals in controlling and preventing poliovirus transmission.</w:t>
      </w:r>
    </w:p>
    <w:p w14:paraId="0BF93D5C" w14:textId="77777777" w:rsidR="00D35D67" w:rsidRPr="00263C62" w:rsidRDefault="00D35D67" w:rsidP="00D35D67">
      <w:pPr>
        <w:pStyle w:val="Heading2"/>
        <w:spacing w:line="300" w:lineRule="atLeast"/>
        <w:rPr>
          <w:rFonts w:ascii="Arial" w:hAnsi="Arial" w:cs="Arial"/>
          <w:b/>
          <w:bCs/>
          <w:sz w:val="22"/>
          <w:szCs w:val="22"/>
        </w:rPr>
      </w:pPr>
      <w:r w:rsidRPr="00263C62">
        <w:rPr>
          <w:rFonts w:ascii="Arial" w:hAnsi="Arial" w:cs="Arial"/>
          <w:b/>
          <w:bCs/>
          <w:sz w:val="22"/>
          <w:szCs w:val="22"/>
        </w:rPr>
        <w:lastRenderedPageBreak/>
        <w:t>Acute Flaccid Paralysis (AFP) Surveillance</w:t>
      </w:r>
    </w:p>
    <w:p w14:paraId="73B396FC" w14:textId="4C9723E0" w:rsidR="00D35D67" w:rsidRDefault="00D35D67" w:rsidP="00D35D67">
      <w:pPr>
        <w:pStyle w:val="NormalWeb"/>
        <w:spacing w:line="300" w:lineRule="atLeast"/>
        <w:rPr>
          <w:rFonts w:ascii="Segoe UI" w:hAnsi="Segoe UI" w:cs="Segoe UI"/>
          <w:sz w:val="21"/>
        </w:rPr>
      </w:pPr>
      <w:r>
        <w:rPr>
          <w:rFonts w:ascii="Segoe UI" w:hAnsi="Segoe UI" w:cs="Segoe UI"/>
          <w:sz w:val="21"/>
        </w:rPr>
        <w:t xml:space="preserve">Acute Flaccid Paralysis surveillance is widely </w:t>
      </w:r>
      <w:r w:rsidR="00596050">
        <w:rPr>
          <w:rFonts w:ascii="Segoe UI" w:hAnsi="Segoe UI" w:cs="Segoe UI"/>
          <w:sz w:val="21"/>
        </w:rPr>
        <w:t>recognized</w:t>
      </w:r>
      <w:r>
        <w:rPr>
          <w:rFonts w:ascii="Segoe UI" w:hAnsi="Segoe UI" w:cs="Segoe UI"/>
          <w:sz w:val="21"/>
        </w:rPr>
        <w:t xml:space="preserve"> as the cornerstone of global polio surveillance. AFP refers to the sudden onset of weakness or paralysis in children younger than fifteen years of age. Since paralysis is the most </w:t>
      </w:r>
      <w:r w:rsidR="00596050">
        <w:rPr>
          <w:rFonts w:ascii="Segoe UI" w:hAnsi="Segoe UI" w:cs="Segoe UI"/>
          <w:sz w:val="21"/>
        </w:rPr>
        <w:t>recognizable</w:t>
      </w:r>
      <w:r>
        <w:rPr>
          <w:rFonts w:ascii="Segoe UI" w:hAnsi="Segoe UI" w:cs="Segoe UI"/>
          <w:sz w:val="21"/>
        </w:rPr>
        <w:t xml:space="preserve"> clinical manifestation of poliovirus infection, monitoring AFP cases allows health authorities to identify potential polio cases and investigate further.</w:t>
      </w:r>
    </w:p>
    <w:p w14:paraId="4BB433F6" w14:textId="77777777" w:rsidR="00D35D67" w:rsidRDefault="00D35D67" w:rsidP="00D35D67">
      <w:pPr>
        <w:pStyle w:val="NormalWeb"/>
        <w:spacing w:line="300" w:lineRule="atLeast"/>
        <w:rPr>
          <w:rFonts w:ascii="Segoe UI" w:hAnsi="Segoe UI" w:cs="Segoe UI"/>
          <w:sz w:val="21"/>
        </w:rPr>
      </w:pPr>
      <w:r>
        <w:rPr>
          <w:rFonts w:ascii="Segoe UI" w:hAnsi="Segoe UI" w:cs="Segoe UI"/>
          <w:sz w:val="21"/>
        </w:rPr>
        <w:t>AFP surveillance involves a structured process. Healthcare workers, hospitals, clinics, and community volunteers are trained to identify and report any cases of sudden paralysis. Once a case is detected, public health authorities are notified immediately. A trained surveillance officer then conducts a detailed investigation, including medical history, vaccination status, travel history, and possible contact with infected individuals.</w:t>
      </w:r>
    </w:p>
    <w:p w14:paraId="5B3A4C4B" w14:textId="33A8C5E7" w:rsidR="00D35D67" w:rsidRDefault="00D35D67" w:rsidP="00D35D67">
      <w:pPr>
        <w:pStyle w:val="NormalWeb"/>
        <w:spacing w:line="300" w:lineRule="atLeast"/>
        <w:rPr>
          <w:rFonts w:ascii="Segoe UI" w:hAnsi="Segoe UI" w:cs="Segoe UI"/>
          <w:sz w:val="21"/>
        </w:rPr>
      </w:pPr>
      <w:r>
        <w:rPr>
          <w:rFonts w:ascii="Segoe UI" w:hAnsi="Segoe UI" w:cs="Segoe UI"/>
          <w:sz w:val="21"/>
        </w:rPr>
        <w:t xml:space="preserve">Following the investigation, two stool specimens are collected from the patient and transported through a controlled cold chain to a </w:t>
      </w:r>
      <w:r w:rsidR="00596050">
        <w:rPr>
          <w:rFonts w:ascii="Segoe UI" w:hAnsi="Segoe UI" w:cs="Segoe UI"/>
          <w:sz w:val="21"/>
        </w:rPr>
        <w:t>specialized</w:t>
      </w:r>
      <w:r>
        <w:rPr>
          <w:rFonts w:ascii="Segoe UI" w:hAnsi="Segoe UI" w:cs="Segoe UI"/>
          <w:sz w:val="21"/>
        </w:rPr>
        <w:t xml:space="preserve"> laboratory for testing. Results from laboratory analysis determine whether poliovirus is present and whether further public health interventions are required. A follow-up examination is conducted sixty days after the onset of paralysis to assess residual weakness and support final case classification.</w:t>
      </w:r>
    </w:p>
    <w:p w14:paraId="64BD48EE" w14:textId="0F58E1B1" w:rsidR="00D35D67" w:rsidRPr="001A46E8" w:rsidRDefault="00D35D67" w:rsidP="001A46E8">
      <w:pPr>
        <w:pStyle w:val="NormalWeb"/>
        <w:spacing w:line="300" w:lineRule="atLeast"/>
        <w:rPr>
          <w:rFonts w:ascii="Segoe UI" w:hAnsi="Segoe UI" w:cs="Segoe UI"/>
          <w:sz w:val="21"/>
        </w:rPr>
      </w:pPr>
      <w:r>
        <w:rPr>
          <w:rFonts w:ascii="Segoe UI" w:hAnsi="Segoe UI" w:cs="Segoe UI"/>
          <w:sz w:val="21"/>
        </w:rPr>
        <w:t>AFP surveillance provides several advantages. First, it enables early detection of imported cases and circulating vaccine-derived polioviruses. Second, it provides evidence that countries remain free from active poliovirus transmission. Third, AFP surveillance data help guide vaccination campaigns and outbreak responses. However, AFP surveillance alone may not identify all infections because many individuals infected with poliovirus never develop paralysis. Consequently, additional monitoring approaches are required to complement AFP surveillance.</w:t>
      </w:r>
      <w:r w:rsidR="001A46E8">
        <w:rPr>
          <w:rFonts w:ascii="Segoe UI" w:hAnsi="Segoe UI" w:cs="Segoe UI"/>
          <w:sz w:val="21"/>
        </w:rPr>
        <w:br/>
      </w:r>
      <w:r w:rsidR="001A46E8">
        <w:rPr>
          <w:rFonts w:ascii="Segoe UI" w:hAnsi="Segoe UI" w:cs="Segoe UI"/>
          <w:sz w:val="21"/>
        </w:rPr>
        <w:br/>
      </w:r>
      <w:r>
        <w:rPr>
          <w:rFonts w:ascii="Segoe UI" w:hAnsi="Segoe UI" w:cs="Segoe UI"/>
        </w:rPr>
        <w:t>Laboratory Surveillance</w:t>
      </w:r>
    </w:p>
    <w:p w14:paraId="4CA3C0C1" w14:textId="1E3E7A15" w:rsidR="00D35D67" w:rsidRDefault="00D35D67" w:rsidP="00D35D67">
      <w:pPr>
        <w:pStyle w:val="NormalWeb"/>
        <w:spacing w:line="300" w:lineRule="atLeast"/>
        <w:rPr>
          <w:rFonts w:ascii="Segoe UI" w:hAnsi="Segoe UI" w:cs="Segoe UI"/>
          <w:sz w:val="21"/>
        </w:rPr>
      </w:pPr>
      <w:r>
        <w:rPr>
          <w:rFonts w:ascii="Segoe UI" w:hAnsi="Segoe UI" w:cs="Segoe UI"/>
          <w:sz w:val="21"/>
        </w:rPr>
        <w:t xml:space="preserve">Laboratory surveillance is a critical component of the global polio eradication program because it confirms suspected cases and </w:t>
      </w:r>
      <w:r w:rsidR="00596050">
        <w:rPr>
          <w:rFonts w:ascii="Segoe UI" w:hAnsi="Segoe UI" w:cs="Segoe UI"/>
          <w:sz w:val="21"/>
        </w:rPr>
        <w:t>characterizes</w:t>
      </w:r>
      <w:r>
        <w:rPr>
          <w:rFonts w:ascii="Segoe UI" w:hAnsi="Segoe UI" w:cs="Segoe UI"/>
          <w:sz w:val="21"/>
        </w:rPr>
        <w:t xml:space="preserve"> circulating virus strains. While AFP surveillance identifies possible cases, laboratory testing provides scientific evidence regarding the presence and type of poliovirus involved.</w:t>
      </w:r>
    </w:p>
    <w:p w14:paraId="41269457" w14:textId="77777777" w:rsidR="00D35D67" w:rsidRDefault="00D35D67" w:rsidP="00D35D67">
      <w:pPr>
        <w:pStyle w:val="NormalWeb"/>
        <w:spacing w:line="300" w:lineRule="atLeast"/>
        <w:rPr>
          <w:rFonts w:ascii="Segoe UI" w:hAnsi="Segoe UI" w:cs="Segoe UI"/>
          <w:sz w:val="21"/>
        </w:rPr>
      </w:pPr>
      <w:r>
        <w:rPr>
          <w:rFonts w:ascii="Segoe UI" w:hAnsi="Segoe UI" w:cs="Segoe UI"/>
          <w:sz w:val="21"/>
        </w:rPr>
        <w:t>The process begins with virus isolation, during which stool samples obtained from AFP cases are cultured in specialised laboratories. If poliovirus is detected, further testing is conducted to determine whether the virus is a wild poliovirus, a vaccine-derived poliovirus, or a vaccine-related strain. Molecular diagnostic methods such as polymerase chain reaction (PCR) and genomic sequencing are used extensively throughout this process.</w:t>
      </w:r>
    </w:p>
    <w:p w14:paraId="00159A7C" w14:textId="77777777" w:rsidR="00D35D67" w:rsidRDefault="00D35D67" w:rsidP="00D35D67">
      <w:pPr>
        <w:pStyle w:val="NormalWeb"/>
        <w:spacing w:line="300" w:lineRule="atLeast"/>
        <w:rPr>
          <w:rFonts w:ascii="Segoe UI" w:hAnsi="Segoe UI" w:cs="Segoe UI"/>
          <w:sz w:val="21"/>
        </w:rPr>
      </w:pPr>
      <w:r>
        <w:rPr>
          <w:rFonts w:ascii="Segoe UI" w:hAnsi="Segoe UI" w:cs="Segoe UI"/>
          <w:sz w:val="21"/>
        </w:rPr>
        <w:t xml:space="preserve">Genomic sequencing has become particularly important because it allows scientists to identify genetic relationships among poliovirus isolates. Through sequencing, public health officials can trace transmission pathways, establish the origins of outbreaks, and determine whether cases in different </w:t>
      </w:r>
      <w:r>
        <w:rPr>
          <w:rFonts w:ascii="Segoe UI" w:hAnsi="Segoe UI" w:cs="Segoe UI"/>
          <w:sz w:val="21"/>
        </w:rPr>
        <w:lastRenderedPageBreak/>
        <w:t>regions are connected. Such information is essential when planning targeted vaccination strategies and monitoring the effectiveness of interventions.</w:t>
      </w:r>
    </w:p>
    <w:p w14:paraId="57D44875" w14:textId="298EFBA8" w:rsidR="00D35D67" w:rsidRDefault="00D35D67" w:rsidP="00D35D67">
      <w:pPr>
        <w:pStyle w:val="NormalWeb"/>
        <w:spacing w:line="300" w:lineRule="atLeast"/>
        <w:rPr>
          <w:rFonts w:ascii="Segoe UI" w:hAnsi="Segoe UI" w:cs="Segoe UI"/>
          <w:sz w:val="21"/>
        </w:rPr>
      </w:pPr>
      <w:r>
        <w:rPr>
          <w:rFonts w:ascii="Segoe UI" w:hAnsi="Segoe UI" w:cs="Segoe UI"/>
          <w:sz w:val="21"/>
        </w:rPr>
        <w:t>The Global Polio Laboratory Network (GPLN) supports these activities by providing standardised testing procedures and quality assurance across laboratories worldwide. This network ensures that surveillance data remain accurate, reliable, and comparable between countries. Laboratory surveillance therefore strengthens the evidence base for eradication progra</w:t>
      </w:r>
      <w:r w:rsidR="00C87D2A">
        <w:rPr>
          <w:rFonts w:ascii="Segoe UI" w:hAnsi="Segoe UI" w:cs="Segoe UI"/>
          <w:sz w:val="21"/>
        </w:rPr>
        <w:t xml:space="preserve">m </w:t>
      </w:r>
      <w:r>
        <w:rPr>
          <w:rFonts w:ascii="Segoe UI" w:hAnsi="Segoe UI" w:cs="Segoe UI"/>
          <w:sz w:val="21"/>
        </w:rPr>
        <w:t>and enhances the capacity of health systems to respond rapidly to outbreaks.</w:t>
      </w:r>
    </w:p>
    <w:p w14:paraId="05ECA04D" w14:textId="77777777" w:rsidR="00D35D67" w:rsidRPr="00263C62" w:rsidRDefault="00D35D67" w:rsidP="00D35D67">
      <w:pPr>
        <w:pStyle w:val="Heading2"/>
        <w:spacing w:line="300" w:lineRule="atLeast"/>
        <w:rPr>
          <w:rFonts w:ascii="Arial" w:hAnsi="Arial" w:cs="Arial"/>
          <w:sz w:val="22"/>
          <w:szCs w:val="22"/>
        </w:rPr>
      </w:pPr>
      <w:r w:rsidRPr="00263C62">
        <w:rPr>
          <w:rFonts w:ascii="Arial" w:hAnsi="Arial" w:cs="Arial"/>
          <w:sz w:val="22"/>
          <w:szCs w:val="22"/>
        </w:rPr>
        <w:t>Environmental Surveillance</w:t>
      </w:r>
    </w:p>
    <w:p w14:paraId="61CE6B62" w14:textId="77777777" w:rsidR="00D35D67" w:rsidRDefault="00D35D67" w:rsidP="00D35D67">
      <w:pPr>
        <w:pStyle w:val="NormalWeb"/>
        <w:spacing w:line="300" w:lineRule="atLeast"/>
        <w:rPr>
          <w:rFonts w:ascii="Segoe UI" w:hAnsi="Segoe UI" w:cs="Segoe UI"/>
          <w:sz w:val="21"/>
        </w:rPr>
      </w:pPr>
      <w:r>
        <w:rPr>
          <w:rFonts w:ascii="Segoe UI" w:hAnsi="Segoe UI" w:cs="Segoe UI"/>
          <w:sz w:val="21"/>
        </w:rPr>
        <w:t>Environmental surveillance, commonly referred to as wastewater or sewage surveillance, has emerged as a highly effective method for detecting hidden poliovirus transmission. Unlike AFP surveillance, which depends on identifying clinical cases, environmental surveillance can detect poliovirus shed in human faeces even when infected individuals display no symptoms.</w:t>
      </w:r>
    </w:p>
    <w:p w14:paraId="46FA7E65" w14:textId="77777777" w:rsidR="00D35D67" w:rsidRDefault="00D35D67" w:rsidP="00D35D67">
      <w:pPr>
        <w:pStyle w:val="NormalWeb"/>
        <w:spacing w:line="300" w:lineRule="atLeast"/>
        <w:rPr>
          <w:rFonts w:ascii="Segoe UI" w:hAnsi="Segoe UI" w:cs="Segoe UI"/>
          <w:sz w:val="21"/>
        </w:rPr>
      </w:pPr>
      <w:r>
        <w:rPr>
          <w:rFonts w:ascii="Segoe UI" w:hAnsi="Segoe UI" w:cs="Segoe UI"/>
          <w:sz w:val="21"/>
        </w:rPr>
        <w:t>The surveillance process involves collecting wastewater samples from selected sewage sites at regular intervals. Samples are transported to accredited laboratories and analysed using molecular methods to identify the presence of poliovirus. When the virus is detected in sewage, public health officials can investigate affected areas and implement preventive interventions before paralytic cases occur.</w:t>
      </w:r>
    </w:p>
    <w:p w14:paraId="12CFC2D5" w14:textId="77777777" w:rsidR="00D35D67" w:rsidRDefault="00D35D67" w:rsidP="00D35D67">
      <w:pPr>
        <w:pStyle w:val="NormalWeb"/>
        <w:spacing w:line="300" w:lineRule="atLeast"/>
        <w:rPr>
          <w:rFonts w:ascii="Segoe UI" w:hAnsi="Segoe UI" w:cs="Segoe UI"/>
          <w:sz w:val="21"/>
        </w:rPr>
      </w:pPr>
      <w:r>
        <w:rPr>
          <w:rFonts w:ascii="Segoe UI" w:hAnsi="Segoe UI" w:cs="Segoe UI"/>
          <w:sz w:val="21"/>
        </w:rPr>
        <w:t>One of the principal advantages of environmental surveillance is its ability to provide an early warning system. Because infected individuals may excrete poliovirus for several weeks without symptoms, wastewater testing can reveal circulation before traditional surveillance systems detect cases. This approach has become increasingly valuable in countries that have already eliminated polio but remain at risk of imported infections.</w:t>
      </w:r>
    </w:p>
    <w:p w14:paraId="47722C90" w14:textId="77777777" w:rsidR="00D35D67" w:rsidRDefault="00D35D67" w:rsidP="00D35D67">
      <w:pPr>
        <w:pStyle w:val="NormalWeb"/>
        <w:spacing w:line="300" w:lineRule="atLeast"/>
        <w:rPr>
          <w:rFonts w:ascii="Segoe UI" w:hAnsi="Segoe UI" w:cs="Segoe UI"/>
          <w:sz w:val="21"/>
        </w:rPr>
      </w:pPr>
      <w:r>
        <w:rPr>
          <w:rFonts w:ascii="Segoe UI" w:hAnsi="Segoe UI" w:cs="Segoe UI"/>
          <w:sz w:val="21"/>
        </w:rPr>
        <w:t>Environmental surveillance also complements AFP surveillance by filling potential gaps in case detection. For example, poliovirus identified in wastewater may indicate ongoing community transmission in areas where no cases of paralysis have been reported. Consequently, environmental surveillance strengthens confidence in eradication efforts and improves overall surveillance sensitivity.</w:t>
      </w:r>
    </w:p>
    <w:p w14:paraId="02245939" w14:textId="77777777" w:rsidR="00D35D67" w:rsidRDefault="00D35D67" w:rsidP="00D35D67">
      <w:pPr>
        <w:pStyle w:val="NormalWeb"/>
        <w:spacing w:line="300" w:lineRule="atLeast"/>
        <w:rPr>
          <w:rFonts w:ascii="Segoe UI" w:hAnsi="Segoe UI" w:cs="Segoe UI"/>
          <w:sz w:val="21"/>
        </w:rPr>
      </w:pPr>
      <w:r>
        <w:rPr>
          <w:rFonts w:ascii="Segoe UI" w:hAnsi="Segoe UI" w:cs="Segoe UI"/>
          <w:sz w:val="21"/>
        </w:rPr>
        <w:t>Recent experience with COVID-19 wastewater monitoring has further demonstrated the value of environmental surveillance for public health decision-making. The lessons learned from polio surveillance have influenced broader applications of wastewater-based epidemiology for infectious diseases worldwide.</w:t>
      </w:r>
    </w:p>
    <w:p w14:paraId="477F8911" w14:textId="77777777" w:rsidR="00D35D67" w:rsidRPr="00263C62" w:rsidRDefault="00D35D67" w:rsidP="00D35D67">
      <w:pPr>
        <w:pStyle w:val="Heading2"/>
        <w:spacing w:line="300" w:lineRule="atLeast"/>
        <w:rPr>
          <w:rFonts w:ascii="Arial" w:hAnsi="Arial" w:cs="Arial"/>
          <w:b/>
          <w:bCs/>
          <w:sz w:val="22"/>
          <w:szCs w:val="22"/>
        </w:rPr>
      </w:pPr>
      <w:r w:rsidRPr="00263C62">
        <w:rPr>
          <w:rFonts w:ascii="Arial" w:hAnsi="Arial" w:cs="Arial"/>
          <w:b/>
          <w:bCs/>
          <w:sz w:val="22"/>
          <w:szCs w:val="22"/>
        </w:rPr>
        <w:lastRenderedPageBreak/>
        <w:t>Vaccination Coverage Monitoring</w:t>
      </w:r>
    </w:p>
    <w:p w14:paraId="02BA3536" w14:textId="77777777" w:rsidR="00D35D67" w:rsidRDefault="00D35D67" w:rsidP="00D35D67">
      <w:pPr>
        <w:pStyle w:val="NormalWeb"/>
        <w:spacing w:line="300" w:lineRule="atLeast"/>
        <w:rPr>
          <w:rFonts w:ascii="Segoe UI" w:hAnsi="Segoe UI" w:cs="Segoe UI"/>
          <w:sz w:val="21"/>
        </w:rPr>
      </w:pPr>
      <w:r>
        <w:rPr>
          <w:rFonts w:ascii="Segoe UI" w:hAnsi="Segoe UI" w:cs="Segoe UI"/>
          <w:sz w:val="21"/>
        </w:rPr>
        <w:t>Vaccination coverage monitoring is another important strategy used to measure and monitor polio control efforts. Unlike surveillance systems that focus on detecting the virus itself, vaccination monitoring evaluates population immunity and identifies communities at risk of outbreaks.</w:t>
      </w:r>
    </w:p>
    <w:p w14:paraId="3C980F8A" w14:textId="4AB4C11A" w:rsidR="00D35D67" w:rsidRDefault="00D35D67" w:rsidP="00D35D67">
      <w:pPr>
        <w:pStyle w:val="NormalWeb"/>
        <w:spacing w:line="300" w:lineRule="atLeast"/>
        <w:rPr>
          <w:rFonts w:ascii="Segoe UI" w:hAnsi="Segoe UI" w:cs="Segoe UI"/>
          <w:sz w:val="21"/>
        </w:rPr>
      </w:pPr>
      <w:r>
        <w:rPr>
          <w:rFonts w:ascii="Segoe UI" w:hAnsi="Segoe UI" w:cs="Segoe UI"/>
          <w:sz w:val="21"/>
        </w:rPr>
        <w:t xml:space="preserve">The primary objective of vaccination coverage monitoring is to assess the proportion of individuals, particularly children, who have received recommended polio vaccine doses. Health authorities collect data through </w:t>
      </w:r>
      <w:r w:rsidR="009C3B80">
        <w:rPr>
          <w:rFonts w:ascii="Segoe UI" w:hAnsi="Segoe UI" w:cs="Segoe UI"/>
          <w:sz w:val="21"/>
        </w:rPr>
        <w:t>immunization</w:t>
      </w:r>
      <w:r>
        <w:rPr>
          <w:rFonts w:ascii="Segoe UI" w:hAnsi="Segoe UI" w:cs="Segoe UI"/>
          <w:sz w:val="21"/>
        </w:rPr>
        <w:t xml:space="preserve"> records, household surveys, vaccination registers, and national health information systems. This information helps determine whether communities have sufficient immunity to interrupt poliovirus transmission.</w:t>
      </w:r>
    </w:p>
    <w:p w14:paraId="30990072" w14:textId="399E99F4" w:rsidR="00D35D67" w:rsidRDefault="00D35D67" w:rsidP="00D35D67">
      <w:pPr>
        <w:pStyle w:val="NormalWeb"/>
        <w:spacing w:line="300" w:lineRule="atLeast"/>
        <w:rPr>
          <w:rFonts w:ascii="Segoe UI" w:hAnsi="Segoe UI" w:cs="Segoe UI"/>
          <w:sz w:val="21"/>
        </w:rPr>
      </w:pPr>
      <w:r>
        <w:rPr>
          <w:rFonts w:ascii="Segoe UI" w:hAnsi="Segoe UI" w:cs="Segoe UI"/>
          <w:sz w:val="21"/>
        </w:rPr>
        <w:t>High vaccination coverage is essential because poliovirus spreads easily in under-</w:t>
      </w:r>
      <w:r w:rsidR="009C3B80">
        <w:rPr>
          <w:rFonts w:ascii="Segoe UI" w:hAnsi="Segoe UI" w:cs="Segoe UI"/>
          <w:sz w:val="21"/>
        </w:rPr>
        <w:t>immunized</w:t>
      </w:r>
      <w:r>
        <w:rPr>
          <w:rFonts w:ascii="Segoe UI" w:hAnsi="Segoe UI" w:cs="Segoe UI"/>
          <w:sz w:val="21"/>
        </w:rPr>
        <w:t xml:space="preserve"> populations. Monitoring vaccine uptake allows public health officials to identify immunity gaps and target vulnerable communities with supplementary </w:t>
      </w:r>
      <w:r w:rsidR="009C3B80">
        <w:rPr>
          <w:rFonts w:ascii="Segoe UI" w:hAnsi="Segoe UI" w:cs="Segoe UI"/>
          <w:sz w:val="21"/>
        </w:rPr>
        <w:t>immunization</w:t>
      </w:r>
      <w:r>
        <w:rPr>
          <w:rFonts w:ascii="Segoe UI" w:hAnsi="Segoe UI" w:cs="Segoe UI"/>
          <w:sz w:val="21"/>
        </w:rPr>
        <w:t xml:space="preserve"> activities. Such interventions may include mass vaccination campaigns, mobile vaccination services, and outreach program</w:t>
      </w:r>
      <w:r w:rsidR="009C3B80">
        <w:rPr>
          <w:rFonts w:ascii="Segoe UI" w:hAnsi="Segoe UI" w:cs="Segoe UI"/>
          <w:sz w:val="21"/>
        </w:rPr>
        <w:t xml:space="preserve"> </w:t>
      </w:r>
      <w:r>
        <w:rPr>
          <w:rFonts w:ascii="Segoe UI" w:hAnsi="Segoe UI" w:cs="Segoe UI"/>
          <w:sz w:val="21"/>
        </w:rPr>
        <w:t>in remote areas.</w:t>
      </w:r>
    </w:p>
    <w:p w14:paraId="78B2E1B0" w14:textId="7614BCEF" w:rsidR="00D35D67" w:rsidRDefault="00D35D67" w:rsidP="00D35D67">
      <w:pPr>
        <w:pStyle w:val="NormalWeb"/>
        <w:spacing w:line="300" w:lineRule="atLeast"/>
        <w:rPr>
          <w:rFonts w:ascii="Segoe UI" w:hAnsi="Segoe UI" w:cs="Segoe UI"/>
          <w:sz w:val="21"/>
        </w:rPr>
      </w:pPr>
      <w:r>
        <w:rPr>
          <w:rFonts w:ascii="Segoe UI" w:hAnsi="Segoe UI" w:cs="Segoe UI"/>
          <w:sz w:val="21"/>
        </w:rPr>
        <w:t>Vaccination coverage data are also important for evaluating program</w:t>
      </w:r>
      <w:r w:rsidR="00C80FA4">
        <w:rPr>
          <w:rFonts w:ascii="Segoe UI" w:hAnsi="Segoe UI" w:cs="Segoe UI"/>
          <w:sz w:val="21"/>
        </w:rPr>
        <w:t xml:space="preserve"> </w:t>
      </w:r>
      <w:r>
        <w:rPr>
          <w:rFonts w:ascii="Segoe UI" w:hAnsi="Segoe UI" w:cs="Segoe UI"/>
          <w:sz w:val="21"/>
        </w:rPr>
        <w:t xml:space="preserve">performance. Governments and international </w:t>
      </w:r>
      <w:r w:rsidR="00C80FA4">
        <w:rPr>
          <w:rFonts w:ascii="Segoe UI" w:hAnsi="Segoe UI" w:cs="Segoe UI"/>
          <w:sz w:val="21"/>
        </w:rPr>
        <w:t>organizations</w:t>
      </w:r>
      <w:r>
        <w:rPr>
          <w:rFonts w:ascii="Segoe UI" w:hAnsi="Segoe UI" w:cs="Segoe UI"/>
          <w:sz w:val="21"/>
        </w:rPr>
        <w:t xml:space="preserve"> use coverage indicators to allocate resources, assess policy effectiveness, and monitor progress toward eradication targets. Areas with low </w:t>
      </w:r>
      <w:r w:rsidR="00C80FA4">
        <w:rPr>
          <w:rFonts w:ascii="Segoe UI" w:hAnsi="Segoe UI" w:cs="Segoe UI"/>
          <w:sz w:val="21"/>
        </w:rPr>
        <w:t>immunization</w:t>
      </w:r>
      <w:r>
        <w:rPr>
          <w:rFonts w:ascii="Segoe UI" w:hAnsi="Segoe UI" w:cs="Segoe UI"/>
          <w:sz w:val="21"/>
        </w:rPr>
        <w:t xml:space="preserve"> rates can be </w:t>
      </w:r>
      <w:r w:rsidR="00C80FA4">
        <w:rPr>
          <w:rFonts w:ascii="Segoe UI" w:hAnsi="Segoe UI" w:cs="Segoe UI"/>
          <w:sz w:val="21"/>
        </w:rPr>
        <w:t>prioritized</w:t>
      </w:r>
      <w:r>
        <w:rPr>
          <w:rFonts w:ascii="Segoe UI" w:hAnsi="Segoe UI" w:cs="Segoe UI"/>
          <w:sz w:val="21"/>
        </w:rPr>
        <w:t xml:space="preserve"> for additional support and public health interventions.</w:t>
      </w:r>
    </w:p>
    <w:p w14:paraId="018919B2" w14:textId="779299CD" w:rsidR="00D35D67" w:rsidRDefault="00D35D67" w:rsidP="00D35D67">
      <w:pPr>
        <w:pStyle w:val="NormalWeb"/>
        <w:spacing w:line="300" w:lineRule="atLeast"/>
        <w:rPr>
          <w:rFonts w:ascii="Segoe UI" w:hAnsi="Segoe UI" w:cs="Segoe UI"/>
          <w:sz w:val="21"/>
        </w:rPr>
      </w:pPr>
      <w:r>
        <w:rPr>
          <w:rFonts w:ascii="Segoe UI" w:hAnsi="Segoe UI" w:cs="Segoe UI"/>
          <w:sz w:val="21"/>
        </w:rPr>
        <w:t xml:space="preserve">Furthermore, vaccination monitoring contributes to health equity by highlighting populations with limited access to healthcare services. Addressing disparities in </w:t>
      </w:r>
      <w:r w:rsidR="00C80FA4">
        <w:rPr>
          <w:rFonts w:ascii="Segoe UI" w:hAnsi="Segoe UI" w:cs="Segoe UI"/>
          <w:sz w:val="21"/>
        </w:rPr>
        <w:t>immunization</w:t>
      </w:r>
      <w:r>
        <w:rPr>
          <w:rFonts w:ascii="Segoe UI" w:hAnsi="Segoe UI" w:cs="Segoe UI"/>
          <w:sz w:val="21"/>
        </w:rPr>
        <w:t xml:space="preserve"> coverage not only protects individuals from polio but also strengthens broader public health systems and disease prevention programs.</w:t>
      </w:r>
    </w:p>
    <w:p w14:paraId="03AB85C7" w14:textId="77777777" w:rsidR="00D35D67" w:rsidRPr="00263C62" w:rsidRDefault="00D35D67" w:rsidP="00D35D67">
      <w:pPr>
        <w:pStyle w:val="Heading2"/>
        <w:spacing w:line="300" w:lineRule="atLeast"/>
        <w:rPr>
          <w:rFonts w:ascii="Arial" w:hAnsi="Arial" w:cs="Arial"/>
          <w:b/>
          <w:bCs/>
          <w:sz w:val="22"/>
          <w:szCs w:val="22"/>
        </w:rPr>
      </w:pPr>
      <w:r w:rsidRPr="00263C62">
        <w:rPr>
          <w:rFonts w:ascii="Arial" w:hAnsi="Arial" w:cs="Arial"/>
          <w:b/>
          <w:bCs/>
          <w:sz w:val="22"/>
          <w:szCs w:val="22"/>
        </w:rPr>
        <w:t>Challenges in Global Polio Surveillance</w:t>
      </w:r>
    </w:p>
    <w:p w14:paraId="6637DB0A" w14:textId="77777777" w:rsidR="00D35D67" w:rsidRDefault="00D35D67" w:rsidP="00D35D67">
      <w:pPr>
        <w:pStyle w:val="NormalWeb"/>
        <w:spacing w:line="300" w:lineRule="atLeast"/>
        <w:rPr>
          <w:rFonts w:ascii="Segoe UI" w:hAnsi="Segoe UI" w:cs="Segoe UI"/>
          <w:sz w:val="21"/>
        </w:rPr>
      </w:pPr>
      <w:r>
        <w:rPr>
          <w:rFonts w:ascii="Segoe UI" w:hAnsi="Segoe UI" w:cs="Segoe UI"/>
          <w:sz w:val="21"/>
        </w:rPr>
        <w:t>Despite remarkable achievements, several challenges continue to affect global polio surveillance efforts. Political instability, armed conflict, population displacement, and insecurity have hindered vaccination and surveillance activities in some regions. Afghanistan and Pakistan remain the only countries where endemic wild poliovirus transmission persists, presenting ongoing risks to global eradication.</w:t>
      </w:r>
    </w:p>
    <w:p w14:paraId="07DAF95F" w14:textId="5E1AC1D2" w:rsidR="00D35D67" w:rsidRDefault="00D35D67" w:rsidP="00D35D67">
      <w:pPr>
        <w:pStyle w:val="NormalWeb"/>
        <w:spacing w:line="300" w:lineRule="atLeast"/>
        <w:rPr>
          <w:rFonts w:ascii="Segoe UI" w:hAnsi="Segoe UI" w:cs="Segoe UI"/>
          <w:sz w:val="21"/>
        </w:rPr>
      </w:pPr>
      <w:r>
        <w:rPr>
          <w:rFonts w:ascii="Segoe UI" w:hAnsi="Segoe UI" w:cs="Segoe UI"/>
          <w:sz w:val="21"/>
        </w:rPr>
        <w:t>Another challenge involves vaccine-derived polioviruses, which can emerge in communities with low vaccination coverage. Although oral polio vaccines have played a crucial role in reducing disease transmission, under-</w:t>
      </w:r>
      <w:r w:rsidR="00FC217B">
        <w:rPr>
          <w:rFonts w:ascii="Segoe UI" w:hAnsi="Segoe UI" w:cs="Segoe UI"/>
          <w:sz w:val="21"/>
        </w:rPr>
        <w:t>immunized</w:t>
      </w:r>
      <w:r>
        <w:rPr>
          <w:rFonts w:ascii="Segoe UI" w:hAnsi="Segoe UI" w:cs="Segoe UI"/>
          <w:sz w:val="21"/>
        </w:rPr>
        <w:t xml:space="preserve"> populations may occasionally experience outbreaks associated with mutated vaccine strains. Continuous surveillance is therefore necessary to detect both wild and vaccine-derived polioviruses.</w:t>
      </w:r>
    </w:p>
    <w:p w14:paraId="769D6E80" w14:textId="77777777" w:rsidR="00D35D67" w:rsidRDefault="00D35D67" w:rsidP="00D35D67">
      <w:pPr>
        <w:pStyle w:val="NormalWeb"/>
        <w:spacing w:line="300" w:lineRule="atLeast"/>
        <w:rPr>
          <w:rFonts w:ascii="Segoe UI" w:hAnsi="Segoe UI" w:cs="Segoe UI"/>
          <w:sz w:val="21"/>
        </w:rPr>
      </w:pPr>
      <w:r>
        <w:rPr>
          <w:rFonts w:ascii="Segoe UI" w:hAnsi="Segoe UI" w:cs="Segoe UI"/>
          <w:sz w:val="21"/>
        </w:rPr>
        <w:lastRenderedPageBreak/>
        <w:t>Funding constraints also pose difficulties for surveillance systems. Maintaining laboratory networks, environmental monitoring sites, vaccination campaigns, and trained personnel requires substantial investment. As polio cases decline, securing long-term financial support may become increasingly challenging. Nevertheless, sustained commitment remains essential until eradication has been achieved and certified globally.</w:t>
      </w:r>
    </w:p>
    <w:p w14:paraId="10A51F29" w14:textId="36E5EFEF" w:rsidR="00D35D67" w:rsidRDefault="00D35D67" w:rsidP="00D35D67">
      <w:pPr>
        <w:pStyle w:val="NormalWeb"/>
        <w:spacing w:line="300" w:lineRule="atLeast"/>
        <w:rPr>
          <w:rFonts w:ascii="Segoe UI" w:hAnsi="Segoe UI" w:cs="Segoe UI"/>
          <w:sz w:val="21"/>
        </w:rPr>
      </w:pPr>
      <w:r>
        <w:rPr>
          <w:rFonts w:ascii="Segoe UI" w:hAnsi="Segoe UI" w:cs="Segoe UI"/>
          <w:sz w:val="21"/>
        </w:rPr>
        <w:t xml:space="preserve">Finally, </w:t>
      </w:r>
      <w:r w:rsidR="00FC217B">
        <w:rPr>
          <w:rFonts w:ascii="Segoe UI" w:hAnsi="Segoe UI" w:cs="Segoe UI"/>
          <w:sz w:val="21"/>
        </w:rPr>
        <w:t>globalization</w:t>
      </w:r>
      <w:r>
        <w:rPr>
          <w:rFonts w:ascii="Segoe UI" w:hAnsi="Segoe UI" w:cs="Segoe UI"/>
          <w:sz w:val="21"/>
        </w:rPr>
        <w:t xml:space="preserve"> and international travel increase the possibility of imported cases. Even countries that have been polio-free for decades remain vulnerable if surveillance systems weaken. Consequently, continuous monitoring, high </w:t>
      </w:r>
      <w:r w:rsidR="00FC217B">
        <w:rPr>
          <w:rFonts w:ascii="Segoe UI" w:hAnsi="Segoe UI" w:cs="Segoe UI"/>
          <w:sz w:val="21"/>
        </w:rPr>
        <w:t>immunization</w:t>
      </w:r>
      <w:r>
        <w:rPr>
          <w:rFonts w:ascii="Segoe UI" w:hAnsi="Segoe UI" w:cs="Segoe UI"/>
          <w:sz w:val="21"/>
        </w:rPr>
        <w:t xml:space="preserve"> coverage, and rapid outbreak response mechanisms must remain priorities for public health authorities.</w:t>
      </w:r>
    </w:p>
    <w:p w14:paraId="29A928B6" w14:textId="77777777" w:rsidR="00D35D67" w:rsidRDefault="00986192" w:rsidP="00D35D67">
      <w:pPr>
        <w:spacing w:line="300" w:lineRule="atLeast"/>
        <w:rPr>
          <w:rFonts w:ascii="Segoe UI" w:hAnsi="Segoe UI"/>
          <w:sz w:val="21"/>
        </w:rPr>
      </w:pPr>
      <w:r>
        <w:pict w14:anchorId="3CC7E960">
          <v:rect id="Horizontal Line 2" o:spid="_x0000_s1026"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598B862A" w14:textId="2A43C529" w:rsidR="00D35D67" w:rsidRPr="00263C62" w:rsidRDefault="00D35D67" w:rsidP="00D35D67">
      <w:pPr>
        <w:pStyle w:val="Heading1"/>
        <w:spacing w:line="300" w:lineRule="atLeast"/>
        <w:rPr>
          <w:rFonts w:ascii="Arial" w:hAnsi="Arial" w:cs="Arial"/>
          <w:b/>
          <w:bCs/>
          <w:sz w:val="22"/>
          <w:szCs w:val="22"/>
        </w:rPr>
      </w:pPr>
      <w:r w:rsidRPr="00263C62">
        <w:rPr>
          <w:rFonts w:ascii="Arial" w:hAnsi="Arial" w:cs="Arial"/>
          <w:b/>
          <w:bCs/>
          <w:sz w:val="22"/>
          <w:szCs w:val="22"/>
        </w:rPr>
        <w:t xml:space="preserve">Conclusion </w:t>
      </w:r>
    </w:p>
    <w:p w14:paraId="58A6CE00" w14:textId="5947959E" w:rsidR="00D35D67" w:rsidRDefault="00D35D67" w:rsidP="00D35D67">
      <w:pPr>
        <w:pStyle w:val="NormalWeb"/>
        <w:spacing w:line="300" w:lineRule="atLeast"/>
        <w:rPr>
          <w:rFonts w:ascii="Segoe UI" w:hAnsi="Segoe UI" w:cs="Segoe UI"/>
          <w:sz w:val="21"/>
        </w:rPr>
      </w:pPr>
      <w:r>
        <w:rPr>
          <w:rFonts w:ascii="Segoe UI" w:hAnsi="Segoe UI" w:cs="Segoe UI"/>
          <w:sz w:val="21"/>
        </w:rPr>
        <w:t xml:space="preserve">Polio remains one of the most significant public health challenges targeted for global eradication. Although the disease has been eliminated from most parts of the world, its continued presence in a small number of countries highlights the need for robust surveillance and monitoring systems. Acute Flaccid Paralysis surveillance, laboratory surveillance, environmental surveillance, and vaccination coverage monitoring each play a vital role in detecting poliovirus transmission, assessing population immunity, and guiding public health interventions. Together, these complementary approaches provide comprehensive information that supports rapid outbreak detection, effective vaccination campaigns, and evidence-based decision-making. The substantial reduction in global polio cases since 1988 demonstrates the success of coordinated international efforts involving governments, healthcare professionals, researchers, and global health </w:t>
      </w:r>
      <w:r w:rsidR="00FC217B">
        <w:rPr>
          <w:rFonts w:ascii="Segoe UI" w:hAnsi="Segoe UI" w:cs="Segoe UI"/>
          <w:sz w:val="21"/>
        </w:rPr>
        <w:t>organizations</w:t>
      </w:r>
      <w:r>
        <w:rPr>
          <w:rFonts w:ascii="Segoe UI" w:hAnsi="Segoe UI" w:cs="Segoe UI"/>
          <w:sz w:val="21"/>
        </w:rPr>
        <w:t xml:space="preserve">. However, until all poliovirus transmission is interrupted worldwide, continued vigilance remains essential. Sustained investment in surveillance and </w:t>
      </w:r>
      <w:r w:rsidR="00FC217B">
        <w:rPr>
          <w:rFonts w:ascii="Segoe UI" w:hAnsi="Segoe UI" w:cs="Segoe UI"/>
          <w:sz w:val="21"/>
        </w:rPr>
        <w:t>immunization</w:t>
      </w:r>
      <w:r>
        <w:rPr>
          <w:rFonts w:ascii="Segoe UI" w:hAnsi="Segoe UI" w:cs="Segoe UI"/>
          <w:sz w:val="21"/>
        </w:rPr>
        <w:t xml:space="preserve"> programs will be critical to achieving the </w:t>
      </w:r>
      <w:r w:rsidR="00FC217B">
        <w:rPr>
          <w:rFonts w:ascii="Segoe UI" w:hAnsi="Segoe UI" w:cs="Segoe UI"/>
          <w:sz w:val="21"/>
        </w:rPr>
        <w:t>goal</w:t>
      </w:r>
      <w:r>
        <w:rPr>
          <w:rFonts w:ascii="Segoe UI" w:hAnsi="Segoe UI" w:cs="Segoe UI"/>
          <w:sz w:val="21"/>
        </w:rPr>
        <w:t xml:space="preserve"> of a permanently polio-free world.</w:t>
      </w:r>
    </w:p>
    <w:p w14:paraId="1239C08D" w14:textId="2209A547" w:rsidR="00D35D67" w:rsidRDefault="00D35D67" w:rsidP="00D35D67">
      <w:pPr>
        <w:spacing w:line="300" w:lineRule="atLeast"/>
        <w:rPr>
          <w:rFonts w:ascii="Segoe UI" w:hAnsi="Segoe UI"/>
          <w:sz w:val="21"/>
        </w:rPr>
      </w:pPr>
    </w:p>
    <w:p w14:paraId="4C9C9FF0" w14:textId="77777777" w:rsidR="00D35D67" w:rsidRPr="00263C62" w:rsidRDefault="00D35D67" w:rsidP="00D35D67">
      <w:pPr>
        <w:pStyle w:val="Heading1"/>
        <w:spacing w:line="300" w:lineRule="atLeast"/>
        <w:rPr>
          <w:rFonts w:ascii="Arial" w:hAnsi="Arial" w:cs="Arial"/>
          <w:b/>
          <w:bCs/>
          <w:sz w:val="22"/>
          <w:szCs w:val="22"/>
        </w:rPr>
      </w:pPr>
      <w:r w:rsidRPr="00263C62">
        <w:rPr>
          <w:rFonts w:ascii="Arial" w:hAnsi="Arial" w:cs="Arial"/>
          <w:b/>
          <w:bCs/>
          <w:sz w:val="22"/>
          <w:szCs w:val="22"/>
        </w:rPr>
        <w:t>References</w:t>
      </w:r>
    </w:p>
    <w:p w14:paraId="2FB0954D" w14:textId="6EC718D8" w:rsidR="00D35D67" w:rsidRDefault="00D35D67" w:rsidP="00D35D67">
      <w:pPr>
        <w:pStyle w:val="NormalWeb"/>
        <w:spacing w:line="300" w:lineRule="atLeast"/>
        <w:rPr>
          <w:rFonts w:ascii="Segoe UI" w:hAnsi="Segoe UI" w:cs="Segoe UI"/>
          <w:sz w:val="21"/>
        </w:rPr>
      </w:pPr>
      <w:r>
        <w:rPr>
          <w:rFonts w:ascii="Segoe UI" w:hAnsi="Segoe UI" w:cs="Segoe UI"/>
          <w:sz w:val="21"/>
        </w:rPr>
        <w:t xml:space="preserve">Centers for Disease Control and Prevention (CDC) (2026) </w:t>
      </w:r>
      <w:r>
        <w:rPr>
          <w:rStyle w:val="Emphasis"/>
          <w:rFonts w:ascii="Segoe UI" w:hAnsi="Segoe UI" w:cs="Segoe UI"/>
          <w:sz w:val="21"/>
        </w:rPr>
        <w:t>About Global Polio Eradication</w:t>
      </w:r>
      <w:r>
        <w:rPr>
          <w:rFonts w:ascii="Segoe UI" w:hAnsi="Segoe UI" w:cs="Segoe UI"/>
          <w:sz w:val="21"/>
        </w:rPr>
        <w:t>. Available at: https://www.cdc.gov/global-polio-vaccination</w:t>
      </w:r>
    </w:p>
    <w:p w14:paraId="245C8005" w14:textId="5FC39F67" w:rsidR="00D35D67" w:rsidRDefault="00D35D67" w:rsidP="00D35D67">
      <w:pPr>
        <w:pStyle w:val="NormalWeb"/>
        <w:spacing w:line="300" w:lineRule="atLeast"/>
        <w:rPr>
          <w:rFonts w:ascii="Segoe UI" w:hAnsi="Segoe UI" w:cs="Segoe UI"/>
          <w:sz w:val="21"/>
        </w:rPr>
      </w:pPr>
      <w:r>
        <w:rPr>
          <w:rFonts w:ascii="Segoe UI" w:hAnsi="Segoe UI" w:cs="Segoe UI"/>
          <w:sz w:val="21"/>
        </w:rPr>
        <w:t xml:space="preserve">Global Polio Eradication Initiative (GPEI) (2026) </w:t>
      </w:r>
      <w:r>
        <w:rPr>
          <w:rStyle w:val="Emphasis"/>
          <w:rFonts w:ascii="Segoe UI" w:hAnsi="Segoe UI" w:cs="Segoe UI"/>
          <w:sz w:val="21"/>
        </w:rPr>
        <w:t>Polio Eradication Strategy 2022-2026</w:t>
      </w:r>
      <w:r>
        <w:rPr>
          <w:rFonts w:ascii="Segoe UI" w:hAnsi="Segoe UI" w:cs="Segoe UI"/>
          <w:sz w:val="21"/>
        </w:rPr>
        <w:t xml:space="preserve">. Available at: https://polioeradication.org/ </w:t>
      </w:r>
    </w:p>
    <w:p w14:paraId="0BA7F984" w14:textId="6B6A1564" w:rsidR="00D35D67" w:rsidRDefault="00D35D67" w:rsidP="00D35D67">
      <w:pPr>
        <w:pStyle w:val="NormalWeb"/>
        <w:spacing w:line="300" w:lineRule="atLeast"/>
        <w:rPr>
          <w:rFonts w:ascii="Segoe UI" w:hAnsi="Segoe UI" w:cs="Segoe UI"/>
          <w:sz w:val="21"/>
        </w:rPr>
      </w:pPr>
      <w:r>
        <w:rPr>
          <w:rFonts w:ascii="Segoe UI" w:hAnsi="Segoe UI" w:cs="Segoe UI"/>
          <w:sz w:val="21"/>
        </w:rPr>
        <w:t xml:space="preserve">National Health Service (NHS) (2025) </w:t>
      </w:r>
      <w:r>
        <w:rPr>
          <w:rStyle w:val="Emphasis"/>
          <w:rFonts w:ascii="Segoe UI" w:hAnsi="Segoe UI" w:cs="Segoe UI"/>
          <w:sz w:val="21"/>
        </w:rPr>
        <w:t>Polio</w:t>
      </w:r>
      <w:r>
        <w:rPr>
          <w:rFonts w:ascii="Segoe UI" w:hAnsi="Segoe UI" w:cs="Segoe UI"/>
          <w:sz w:val="21"/>
        </w:rPr>
        <w:t>. Available at: https://www.nhs.uk</w:t>
      </w:r>
    </w:p>
    <w:p w14:paraId="461BEB2F" w14:textId="20262FEF" w:rsidR="00D35D67" w:rsidRDefault="00D35D67" w:rsidP="00D35D67">
      <w:pPr>
        <w:pStyle w:val="NormalWeb"/>
        <w:spacing w:line="300" w:lineRule="atLeast"/>
        <w:rPr>
          <w:rFonts w:ascii="Segoe UI" w:hAnsi="Segoe UI" w:cs="Segoe UI"/>
          <w:sz w:val="21"/>
        </w:rPr>
      </w:pPr>
      <w:r>
        <w:rPr>
          <w:rFonts w:ascii="Segoe UI" w:hAnsi="Segoe UI" w:cs="Segoe UI"/>
          <w:sz w:val="21"/>
        </w:rPr>
        <w:lastRenderedPageBreak/>
        <w:t xml:space="preserve">UK Health Security Agency (2026) </w:t>
      </w:r>
      <w:r>
        <w:rPr>
          <w:rStyle w:val="Emphasis"/>
          <w:rFonts w:ascii="Segoe UI" w:hAnsi="Segoe UI" w:cs="Segoe UI"/>
          <w:sz w:val="21"/>
        </w:rPr>
        <w:t>Global Polio Eradication Program</w:t>
      </w:r>
      <w:r>
        <w:rPr>
          <w:rFonts w:ascii="Segoe UI" w:hAnsi="Segoe UI" w:cs="Segoe UI"/>
          <w:sz w:val="21"/>
        </w:rPr>
        <w:t xml:space="preserve">. Available at: https://www.gov.uk/government/publications/polio-global-eradication-nac-and-environmental-surveillance </w:t>
      </w:r>
    </w:p>
    <w:p w14:paraId="381A46B0" w14:textId="77777777" w:rsidR="00D35D67" w:rsidRDefault="00D35D67" w:rsidP="00D35D67">
      <w:pPr>
        <w:pStyle w:val="NormalWeb"/>
        <w:spacing w:line="300" w:lineRule="atLeast"/>
        <w:rPr>
          <w:rFonts w:ascii="Segoe UI" w:hAnsi="Segoe UI" w:cs="Segoe UI"/>
          <w:sz w:val="21"/>
        </w:rPr>
      </w:pPr>
      <w:r>
        <w:rPr>
          <w:rFonts w:ascii="Segoe UI" w:hAnsi="Segoe UI" w:cs="Segoe UI"/>
          <w:sz w:val="21"/>
        </w:rPr>
        <w:t xml:space="preserve">World Health Organization (WHO) (2025) </w:t>
      </w:r>
      <w:r>
        <w:rPr>
          <w:rStyle w:val="Emphasis"/>
          <w:rFonts w:ascii="Segoe UI" w:hAnsi="Segoe UI" w:cs="Segoe UI"/>
          <w:sz w:val="21"/>
        </w:rPr>
        <w:t>Global Polio Surveillance Action Plan 2025-2026</w:t>
      </w:r>
      <w:r>
        <w:rPr>
          <w:rFonts w:ascii="Segoe UI" w:hAnsi="Segoe UI" w:cs="Segoe UI"/>
          <w:sz w:val="21"/>
        </w:rPr>
        <w:t>. Geneva: WHO.</w:t>
      </w:r>
    </w:p>
    <w:p w14:paraId="631694E5" w14:textId="77777777" w:rsidR="00D35D67" w:rsidRDefault="00D35D67" w:rsidP="00D35D67">
      <w:pPr>
        <w:pStyle w:val="NormalWeb"/>
        <w:spacing w:line="300" w:lineRule="atLeast"/>
        <w:rPr>
          <w:rFonts w:ascii="Segoe UI" w:hAnsi="Segoe UI" w:cs="Segoe UI"/>
          <w:sz w:val="21"/>
        </w:rPr>
      </w:pPr>
      <w:r>
        <w:rPr>
          <w:rFonts w:ascii="Segoe UI" w:hAnsi="Segoe UI" w:cs="Segoe UI"/>
          <w:sz w:val="21"/>
        </w:rPr>
        <w:t xml:space="preserve">World Health Organization (WHO) (2025) </w:t>
      </w:r>
      <w:r>
        <w:rPr>
          <w:rStyle w:val="Emphasis"/>
          <w:rFonts w:ascii="Segoe UI" w:hAnsi="Segoe UI" w:cs="Segoe UI"/>
          <w:sz w:val="21"/>
        </w:rPr>
        <w:t>Poliomyelitis (Polio) Fact Sheet</w:t>
      </w:r>
      <w:r>
        <w:rPr>
          <w:rFonts w:ascii="Segoe UI" w:hAnsi="Segoe UI" w:cs="Segoe UI"/>
          <w:sz w:val="21"/>
        </w:rPr>
        <w:t>. Geneva: WHO.</w:t>
      </w:r>
    </w:p>
    <w:p w14:paraId="745AEF8D" w14:textId="740999FF" w:rsidR="00D35D67" w:rsidRDefault="00D35D67" w:rsidP="00D35D67">
      <w:pPr>
        <w:pStyle w:val="NormalWeb"/>
        <w:spacing w:line="300" w:lineRule="atLeast"/>
        <w:rPr>
          <w:rFonts w:ascii="Segoe UI" w:hAnsi="Segoe UI" w:cs="Segoe UI"/>
          <w:sz w:val="21"/>
        </w:rPr>
      </w:pPr>
      <w:r>
        <w:rPr>
          <w:rFonts w:ascii="Segoe UI" w:hAnsi="Segoe UI" w:cs="Segoe UI"/>
          <w:sz w:val="21"/>
        </w:rPr>
        <w:t xml:space="preserve">World Health Organization Regional Office for Africa (2025) </w:t>
      </w:r>
      <w:r>
        <w:rPr>
          <w:rStyle w:val="Emphasis"/>
          <w:rFonts w:ascii="Segoe UI" w:hAnsi="Segoe UI" w:cs="Segoe UI"/>
          <w:sz w:val="21"/>
        </w:rPr>
        <w:t>Polio Environmental Surveillance Bulletin</w:t>
      </w:r>
      <w:r>
        <w:rPr>
          <w:rFonts w:ascii="Segoe UI" w:hAnsi="Segoe UI" w:cs="Segoe UI"/>
          <w:sz w:val="21"/>
        </w:rPr>
        <w:t xml:space="preserve">. Available at: https://www.afro.who.int </w:t>
      </w:r>
    </w:p>
    <w:p w14:paraId="5FA4F6AC" w14:textId="2F65B1FD" w:rsidR="00D35D67" w:rsidRDefault="00D35D67" w:rsidP="00D35D67">
      <w:pPr>
        <w:pStyle w:val="NormalWeb"/>
        <w:spacing w:line="300" w:lineRule="atLeast"/>
        <w:rPr>
          <w:rFonts w:ascii="Segoe UI" w:hAnsi="Segoe UI" w:cs="Segoe UI"/>
          <w:sz w:val="21"/>
        </w:rPr>
      </w:pPr>
      <w:r>
        <w:rPr>
          <w:rFonts w:ascii="Segoe UI" w:hAnsi="Segoe UI" w:cs="Segoe UI"/>
          <w:sz w:val="21"/>
        </w:rPr>
        <w:t xml:space="preserve">World Health Organization Regional Office for the Eastern Mediterranean (2025) </w:t>
      </w:r>
      <w:r>
        <w:rPr>
          <w:rStyle w:val="Emphasis"/>
          <w:rFonts w:ascii="Segoe UI" w:hAnsi="Segoe UI" w:cs="Segoe UI"/>
          <w:sz w:val="21"/>
        </w:rPr>
        <w:t>Surveillance in Polio Eradication</w:t>
      </w:r>
      <w:r>
        <w:rPr>
          <w:rFonts w:ascii="Segoe UI" w:hAnsi="Segoe UI" w:cs="Segoe UI"/>
          <w:sz w:val="21"/>
        </w:rPr>
        <w:t xml:space="preserve">. Available at: https://www.emro.who.int </w:t>
      </w:r>
    </w:p>
    <w:p w14:paraId="2B55DDD0" w14:textId="56980777" w:rsidR="00740F52" w:rsidRPr="003C2A5A" w:rsidRDefault="00740F52" w:rsidP="00D35D67">
      <w:pPr>
        <w:spacing w:before="100" w:beforeAutospacing="1" w:after="100" w:afterAutospacing="1" w:line="300" w:lineRule="atLeast"/>
        <w:ind w:left="720"/>
        <w:rPr>
          <w:rFonts w:eastAsia="Times New Roman" w:cs="Arial"/>
          <w:szCs w:val="22"/>
        </w:rPr>
      </w:pPr>
    </w:p>
    <w:sectPr w:rsidR="00740F52" w:rsidRPr="003C2A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16B6E74"/>
    <w:multiLevelType w:val="multilevel"/>
    <w:tmpl w:val="41CCB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7B5D48"/>
    <w:multiLevelType w:val="multilevel"/>
    <w:tmpl w:val="A23C5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C565F3"/>
    <w:multiLevelType w:val="multilevel"/>
    <w:tmpl w:val="DEB20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592345"/>
    <w:multiLevelType w:val="multilevel"/>
    <w:tmpl w:val="2AEAAAC4"/>
    <w:lvl w:ilvl="0">
      <w:start w:val="1"/>
      <w:numFmt w:val="decimal"/>
      <w:lvlText w:val="%1."/>
      <w:lvlJc w:val="left"/>
      <w:pPr>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375602"/>
    <w:multiLevelType w:val="multilevel"/>
    <w:tmpl w:val="C9AE8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256F6D"/>
    <w:multiLevelType w:val="multilevel"/>
    <w:tmpl w:val="EBF83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60261F"/>
    <w:multiLevelType w:val="multilevel"/>
    <w:tmpl w:val="03D66316"/>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7" w15:restartNumberingAfterBreak="0">
    <w:nsid w:val="462F46ED"/>
    <w:multiLevelType w:val="multilevel"/>
    <w:tmpl w:val="71B81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3C049B"/>
    <w:multiLevelType w:val="multilevel"/>
    <w:tmpl w:val="DBA27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19490C"/>
    <w:multiLevelType w:val="multilevel"/>
    <w:tmpl w:val="40DA4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01842542">
    <w:abstractNumId w:val="2"/>
  </w:num>
  <w:num w:numId="2" w16cid:durableId="702747786">
    <w:abstractNumId w:val="7"/>
  </w:num>
  <w:num w:numId="3" w16cid:durableId="1423838448">
    <w:abstractNumId w:val="4"/>
  </w:num>
  <w:num w:numId="4" w16cid:durableId="209465256">
    <w:abstractNumId w:val="9"/>
  </w:num>
  <w:num w:numId="5" w16cid:durableId="2064598107">
    <w:abstractNumId w:val="8"/>
  </w:num>
  <w:num w:numId="6" w16cid:durableId="445928861">
    <w:abstractNumId w:val="1"/>
  </w:num>
  <w:num w:numId="7" w16cid:durableId="1233350929">
    <w:abstractNumId w:val="5"/>
  </w:num>
  <w:num w:numId="8" w16cid:durableId="1578051919">
    <w:abstractNumId w:val="0"/>
  </w:num>
  <w:num w:numId="9" w16cid:durableId="1412652547">
    <w:abstractNumId w:val="3"/>
  </w:num>
  <w:num w:numId="10" w16cid:durableId="1374962503">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969"/>
    <w:rsid w:val="00010E17"/>
    <w:rsid w:val="00031C68"/>
    <w:rsid w:val="0009550E"/>
    <w:rsid w:val="000D2BCC"/>
    <w:rsid w:val="00156A8B"/>
    <w:rsid w:val="001731C9"/>
    <w:rsid w:val="001A46E8"/>
    <w:rsid w:val="001B6969"/>
    <w:rsid w:val="001D7AC2"/>
    <w:rsid w:val="00263C62"/>
    <w:rsid w:val="00284D11"/>
    <w:rsid w:val="002B19EC"/>
    <w:rsid w:val="002C0F4D"/>
    <w:rsid w:val="002C43E4"/>
    <w:rsid w:val="003545FC"/>
    <w:rsid w:val="00380A5E"/>
    <w:rsid w:val="0038369D"/>
    <w:rsid w:val="00383F90"/>
    <w:rsid w:val="0039612E"/>
    <w:rsid w:val="003B1AF5"/>
    <w:rsid w:val="003C2A5A"/>
    <w:rsid w:val="0041292F"/>
    <w:rsid w:val="004141AF"/>
    <w:rsid w:val="00441817"/>
    <w:rsid w:val="004B360A"/>
    <w:rsid w:val="00550DE9"/>
    <w:rsid w:val="00561471"/>
    <w:rsid w:val="0057046A"/>
    <w:rsid w:val="00596050"/>
    <w:rsid w:val="00596A7D"/>
    <w:rsid w:val="005C3280"/>
    <w:rsid w:val="005C553C"/>
    <w:rsid w:val="005F2D06"/>
    <w:rsid w:val="00613AEF"/>
    <w:rsid w:val="00615E5C"/>
    <w:rsid w:val="00740BE0"/>
    <w:rsid w:val="00740F52"/>
    <w:rsid w:val="007424E4"/>
    <w:rsid w:val="00771C05"/>
    <w:rsid w:val="007C68F8"/>
    <w:rsid w:val="0082150D"/>
    <w:rsid w:val="00827890"/>
    <w:rsid w:val="00842AF6"/>
    <w:rsid w:val="0088512E"/>
    <w:rsid w:val="008A4653"/>
    <w:rsid w:val="008E79F4"/>
    <w:rsid w:val="009362BF"/>
    <w:rsid w:val="00986192"/>
    <w:rsid w:val="009901E7"/>
    <w:rsid w:val="00993C3C"/>
    <w:rsid w:val="009A1105"/>
    <w:rsid w:val="009C3B80"/>
    <w:rsid w:val="00A23A0D"/>
    <w:rsid w:val="00A50DB7"/>
    <w:rsid w:val="00A60DFF"/>
    <w:rsid w:val="00A96C7B"/>
    <w:rsid w:val="00B14E7F"/>
    <w:rsid w:val="00B268C7"/>
    <w:rsid w:val="00C04012"/>
    <w:rsid w:val="00C44BF6"/>
    <w:rsid w:val="00C60CAF"/>
    <w:rsid w:val="00C7372F"/>
    <w:rsid w:val="00C80FA4"/>
    <w:rsid w:val="00C85535"/>
    <w:rsid w:val="00C87D2A"/>
    <w:rsid w:val="00CB4D64"/>
    <w:rsid w:val="00CB6F12"/>
    <w:rsid w:val="00CE21B0"/>
    <w:rsid w:val="00CE41F5"/>
    <w:rsid w:val="00CE58C3"/>
    <w:rsid w:val="00CF16BB"/>
    <w:rsid w:val="00CF5916"/>
    <w:rsid w:val="00D35D67"/>
    <w:rsid w:val="00D35F99"/>
    <w:rsid w:val="00D938E6"/>
    <w:rsid w:val="00D965D5"/>
    <w:rsid w:val="00DA65E0"/>
    <w:rsid w:val="00DB1B69"/>
    <w:rsid w:val="00DB4988"/>
    <w:rsid w:val="00DF6109"/>
    <w:rsid w:val="00E011A4"/>
    <w:rsid w:val="00E279B3"/>
    <w:rsid w:val="00E347EA"/>
    <w:rsid w:val="00E43544"/>
    <w:rsid w:val="00E76D03"/>
    <w:rsid w:val="00ED3B59"/>
    <w:rsid w:val="00F10A44"/>
    <w:rsid w:val="00F255E4"/>
    <w:rsid w:val="00F426BF"/>
    <w:rsid w:val="00F92557"/>
    <w:rsid w:val="00FC217B"/>
    <w:rsid w:val="00FF48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56D3AC9"/>
  <w15:chartTrackingRefBased/>
  <w15:docId w15:val="{1E7FBFDE-6D08-134E-93F9-68285737D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Theme="minorHAnsi" w:hAnsi="Arial" w:cs="Segoe UI"/>
        <w:sz w:val="22"/>
        <w:szCs w:val="21"/>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69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B69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B69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69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69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B69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69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69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69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9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B69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B69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69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6969"/>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B69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69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69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6969"/>
    <w:rPr>
      <w:rFonts w:eastAsiaTheme="majorEastAsia" w:cstheme="majorBidi"/>
      <w:color w:val="272727" w:themeColor="text1" w:themeTint="D8"/>
    </w:rPr>
  </w:style>
  <w:style w:type="paragraph" w:styleId="Title">
    <w:name w:val="Title"/>
    <w:basedOn w:val="Normal"/>
    <w:next w:val="Normal"/>
    <w:link w:val="TitleChar"/>
    <w:uiPriority w:val="10"/>
    <w:qFormat/>
    <w:rsid w:val="001B69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69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69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69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6969"/>
    <w:pPr>
      <w:spacing w:before="160"/>
      <w:jc w:val="center"/>
    </w:pPr>
    <w:rPr>
      <w:i/>
      <w:iCs/>
      <w:color w:val="404040" w:themeColor="text1" w:themeTint="BF"/>
    </w:rPr>
  </w:style>
  <w:style w:type="character" w:customStyle="1" w:styleId="QuoteChar">
    <w:name w:val="Quote Char"/>
    <w:basedOn w:val="DefaultParagraphFont"/>
    <w:link w:val="Quote"/>
    <w:uiPriority w:val="29"/>
    <w:rsid w:val="001B6969"/>
    <w:rPr>
      <w:i/>
      <w:iCs/>
      <w:color w:val="404040" w:themeColor="text1" w:themeTint="BF"/>
    </w:rPr>
  </w:style>
  <w:style w:type="paragraph" w:styleId="ListParagraph">
    <w:name w:val="List Paragraph"/>
    <w:basedOn w:val="Normal"/>
    <w:uiPriority w:val="34"/>
    <w:qFormat/>
    <w:rsid w:val="001B6969"/>
    <w:pPr>
      <w:ind w:left="720"/>
      <w:contextualSpacing/>
    </w:pPr>
  </w:style>
  <w:style w:type="character" w:styleId="IntenseEmphasis">
    <w:name w:val="Intense Emphasis"/>
    <w:basedOn w:val="DefaultParagraphFont"/>
    <w:uiPriority w:val="21"/>
    <w:qFormat/>
    <w:rsid w:val="001B6969"/>
    <w:rPr>
      <w:i/>
      <w:iCs/>
      <w:color w:val="0F4761" w:themeColor="accent1" w:themeShade="BF"/>
    </w:rPr>
  </w:style>
  <w:style w:type="paragraph" w:styleId="IntenseQuote">
    <w:name w:val="Intense Quote"/>
    <w:basedOn w:val="Normal"/>
    <w:next w:val="Normal"/>
    <w:link w:val="IntenseQuoteChar"/>
    <w:uiPriority w:val="30"/>
    <w:qFormat/>
    <w:rsid w:val="001B69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6969"/>
    <w:rPr>
      <w:i/>
      <w:iCs/>
      <w:color w:val="0F4761" w:themeColor="accent1" w:themeShade="BF"/>
    </w:rPr>
  </w:style>
  <w:style w:type="character" w:styleId="IntenseReference">
    <w:name w:val="Intense Reference"/>
    <w:basedOn w:val="DefaultParagraphFont"/>
    <w:uiPriority w:val="32"/>
    <w:qFormat/>
    <w:rsid w:val="001B6969"/>
    <w:rPr>
      <w:b/>
      <w:bCs/>
      <w:smallCaps/>
      <w:color w:val="0F4761" w:themeColor="accent1" w:themeShade="BF"/>
      <w:spacing w:val="5"/>
    </w:rPr>
  </w:style>
  <w:style w:type="character" w:styleId="Hyperlink">
    <w:name w:val="Hyperlink"/>
    <w:basedOn w:val="DefaultParagraphFont"/>
    <w:uiPriority w:val="99"/>
    <w:semiHidden/>
    <w:unhideWhenUsed/>
    <w:rsid w:val="001B6969"/>
    <w:rPr>
      <w:strike w:val="0"/>
      <w:dstrike w:val="0"/>
      <w:color w:val="464FEB"/>
      <w:u w:val="none"/>
      <w:effect w:val="none"/>
    </w:rPr>
  </w:style>
  <w:style w:type="paragraph" w:styleId="NormalWeb">
    <w:name w:val="Normal (Web)"/>
    <w:basedOn w:val="Normal"/>
    <w:uiPriority w:val="99"/>
    <w:unhideWhenUsed/>
    <w:rsid w:val="001B6969"/>
    <w:pPr>
      <w:spacing w:before="100" w:beforeAutospacing="1" w:after="100" w:afterAutospacing="1" w:line="240" w:lineRule="auto"/>
    </w:pPr>
    <w:rPr>
      <w:rFonts w:ascii="Times New Roman" w:eastAsia="Times New Roman" w:hAnsi="Times New Roman" w:cs="Times New Roman"/>
    </w:rPr>
  </w:style>
  <w:style w:type="character" w:customStyle="1" w:styleId="1idhmhe">
    <w:name w:val="___1idhmhe"/>
    <w:basedOn w:val="DefaultParagraphFont"/>
    <w:rsid w:val="001B6969"/>
  </w:style>
  <w:style w:type="paragraph" w:styleId="NoSpacing">
    <w:name w:val="No Spacing"/>
    <w:next w:val="Heading1"/>
    <w:uiPriority w:val="1"/>
    <w:qFormat/>
    <w:rsid w:val="00DA65E0"/>
    <w:pPr>
      <w:spacing w:after="0" w:line="240" w:lineRule="auto"/>
    </w:pPr>
  </w:style>
  <w:style w:type="character" w:styleId="Emphasis">
    <w:name w:val="Emphasis"/>
    <w:basedOn w:val="DefaultParagraphFont"/>
    <w:uiPriority w:val="20"/>
    <w:qFormat/>
    <w:rsid w:val="00DA65E0"/>
    <w:rPr>
      <w:i/>
      <w:iCs/>
    </w:rPr>
  </w:style>
  <w:style w:type="character" w:styleId="Strong">
    <w:name w:val="Strong"/>
    <w:basedOn w:val="DefaultParagraphFont"/>
    <w:uiPriority w:val="22"/>
    <w:qFormat/>
    <w:rsid w:val="00DA65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Pages>7</Pages>
  <Words>2175</Words>
  <Characters>12402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Marife Tabalba (2214833)</dc:creator>
  <cp:keywords/>
  <dc:description/>
  <cp:lastModifiedBy>Marife Tabalba (2214833)</cp:lastModifiedBy>
  <cp:revision>80</cp:revision>
  <dcterms:created xsi:type="dcterms:W3CDTF">2026-08-14T20:54:00Z</dcterms:created>
  <dcterms:modified xsi:type="dcterms:W3CDTF">2026-08-15T09:24:00Z</dcterms:modified>
</cp:coreProperties>
</file>